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bookmarkStart w:id="0" w:name="_GoBack"/>
      <w:bookmarkEnd w:id="0"/>
    </w:p>
    <w:p>
      <w:pPr>
        <w:spacing w:line="60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lang w:val="en-US" w:eastAsia="zh-CN"/>
        </w:rPr>
      </w:pP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中国人民政治协商会议</w:t>
      </w: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攀枝花市西区委员会办公室</w:t>
      </w: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_GBK" w:cs="Times New Roman"/>
          <w:b w:val="0"/>
          <w:bCs w:val="0"/>
          <w:color w:val="000000"/>
          <w:kern w:val="2"/>
          <w:sz w:val="44"/>
          <w:szCs w:val="44"/>
          <w:u w:val="none"/>
          <w:lang w:val="en-US" w:eastAsia="zh-CN" w:bidi="ar-SA"/>
        </w:rPr>
        <w:t>2025</w:t>
      </w:r>
      <w:r>
        <w:rPr>
          <w:rFonts w:hint="default" w:ascii="Times New Roman" w:hAnsi="Times New Roman" w:eastAsia="方正小标宋简体" w:cs="Times New Roman"/>
          <w:sz w:val="44"/>
          <w:szCs w:val="44"/>
          <w:lang w:val="en-US" w:eastAsia="zh-CN"/>
        </w:rPr>
        <w:t>年部门预算编制说明</w:t>
      </w:r>
    </w:p>
    <w:p>
      <w:pPr>
        <w:rPr>
          <w:rFonts w:hint="default" w:ascii="Times New Roman" w:hAnsi="Times New Roman" w:cs="Times New Roman"/>
        </w:rPr>
        <w:sectPr>
          <w:pgSz w:w="11906" w:h="16838"/>
          <w:pgMar w:top="1531" w:right="1417" w:bottom="1417" w:left="141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default" w:ascii="Times New Roman" w:hAnsi="Times New Roman" w:eastAsia="黑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一、基本职能及主要工作........................................................1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lang w:val="en-US" w:eastAsia="zh-CN"/>
        </w:rPr>
      </w:pPr>
      <w:r>
        <w:rPr>
          <w:rFonts w:hint="default" w:ascii="Times New Roman" w:hAnsi="Times New Roman" w:eastAsia="仿宋_GB2312" w:cs="Times New Roman"/>
          <w:b w:val="0"/>
          <w:bCs w:val="0"/>
          <w:lang w:val="en-US" w:eastAsia="zh-CN"/>
        </w:rPr>
        <w:t>（一）政协攀枝花市西区委员会办公室职能简介</w:t>
      </w:r>
      <w:r>
        <w:rPr>
          <w:rFonts w:hint="default"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bCs/>
          <w:spacing w:val="-17"/>
          <w:sz w:val="32"/>
          <w:lang w:val="en-US" w:eastAsia="zh-CN"/>
        </w:rPr>
      </w:pPr>
      <w:r>
        <w:rPr>
          <w:rFonts w:hint="default" w:ascii="Times New Roman" w:hAnsi="Times New Roman" w:eastAsia="仿宋_GB2312" w:cs="Times New Roman"/>
          <w:b w:val="0"/>
          <w:bCs w:val="0"/>
          <w:lang w:val="en-US" w:eastAsia="zh-CN"/>
        </w:rPr>
        <w:t>（二）</w:t>
      </w:r>
      <w:r>
        <w:rPr>
          <w:rFonts w:hint="default" w:ascii="Times New Roman" w:hAnsi="Times New Roman" w:eastAsia="仿宋_GB2312" w:cs="Times New Roman"/>
          <w:b w:val="0"/>
          <w:bCs w:val="0"/>
          <w:spacing w:val="-17"/>
          <w:sz w:val="32"/>
          <w:lang w:val="en-US" w:eastAsia="zh-CN"/>
        </w:rPr>
        <w:t>政协攀枝花市西区委员会办公室2025年重点工作</w:t>
      </w:r>
      <w:r>
        <w:rPr>
          <w:rFonts w:hint="default" w:ascii="Times New Roman" w:hAnsi="Times New Roman" w:eastAsia="楷体_GB2312" w:cs="Times New Roman"/>
          <w:spacing w:val="-17"/>
          <w:sz w:val="32"/>
          <w:lang w:val="en-US" w:eastAsia="zh-CN"/>
        </w:rPr>
        <w:t>....</w:t>
      </w:r>
      <w:r>
        <w:rPr>
          <w:rFonts w:hint="default" w:ascii="Times New Roman" w:hAnsi="Times New Roman" w:eastAsia="楷体_GB2312" w:cs="Times New Roman"/>
          <w:lang w:val="en-US" w:eastAsia="zh-CN"/>
        </w:rPr>
        <w:t>1</w:t>
      </w:r>
    </w:p>
    <w:p>
      <w:pPr>
        <w:keepNext w:val="0"/>
        <w:keepLines w:val="0"/>
        <w:pageBreakBefore w:val="0"/>
        <w:widowControl w:val="0"/>
        <w:tabs>
          <w:tab w:val="left" w:pos="8000"/>
        </w:tabs>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二、机构设置情况....................................................................5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三、收支预算情况说明............................................................5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（一）收入预算情况</w:t>
      </w:r>
      <w:r>
        <w:rPr>
          <w:rFonts w:hint="default"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（二）支出预算情况</w:t>
      </w:r>
      <w:r>
        <w:rPr>
          <w:rFonts w:hint="default"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四、财政拨款收支预算情况说明............................................6五、一般公共预算当年拨款情况说明....................................6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（一）一般公共预算当年拨款规模变化情况</w:t>
      </w:r>
      <w:r>
        <w:rPr>
          <w:rFonts w:hint="default"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（二）一般公共预算当年拨款结构情况</w:t>
      </w:r>
      <w:r>
        <w:rPr>
          <w:rFonts w:hint="default"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（三）一般公共预算当年拨款具体使用情况</w:t>
      </w:r>
      <w:r>
        <w:rPr>
          <w:rFonts w:hint="default"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六、一般公共预算基本支出情况说明....................................</w:t>
      </w:r>
      <w:r>
        <w:rPr>
          <w:rFonts w:hint="eastAsia" w:eastAsia="楷体_GB2312" w:cs="Times New Roman"/>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七、“三公”经费财政拨款预算安排情况说明.........................9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八、“三公”经费非财政拨款预算安排情况说明.....................9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九、政府性基金预算支出情况说明........................................10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十、国有资本经营预算情况说明.............................................10十一、其他重要事项的情况说明.............................................10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（一）机关运行经费</w:t>
      </w:r>
      <w:r>
        <w:rPr>
          <w:rFonts w:hint="default" w:ascii="Times New Roman" w:hAnsi="Times New Roman"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（二）政府采购情况</w:t>
      </w:r>
      <w:r>
        <w:rPr>
          <w:rFonts w:hint="default" w:ascii="Times New Roman" w:hAnsi="Times New Roman" w:eastAsia="楷体_GB2312" w:cs="Times New Roman"/>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left"/>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lang w:val="en-US" w:eastAsia="zh-CN"/>
        </w:rPr>
        <w:t>（三）国有资产占有使用情况</w:t>
      </w:r>
      <w:r>
        <w:rPr>
          <w:rFonts w:hint="default" w:ascii="Times New Roman" w:hAnsi="Times New Roman" w:eastAsia="楷体_GB2312" w:cs="Times New Roman"/>
          <w:lang w:val="en-US" w:eastAsia="zh-CN"/>
        </w:rPr>
        <w:t>.......................................11</w:t>
      </w:r>
      <w:r>
        <w:rPr>
          <w:rFonts w:hint="default" w:ascii="Times New Roman" w:hAnsi="Times New Roman" w:eastAsia="仿宋_GB2312" w:cs="Times New Roman"/>
          <w:b w:val="0"/>
          <w:bCs w:val="0"/>
          <w:lang w:val="en-US" w:eastAsia="zh-CN"/>
        </w:rPr>
        <w:t>（四）绩效目标设置情况</w:t>
      </w:r>
      <w:r>
        <w:rPr>
          <w:rFonts w:hint="default" w:ascii="Times New Roman" w:hAnsi="Times New Roman" w:eastAsia="楷体_GB2312" w:cs="Times New Roman"/>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lang w:val="en-US"/>
        </w:rPr>
      </w:pPr>
      <w:r>
        <w:rPr>
          <w:rFonts w:hint="default" w:ascii="Times New Roman" w:hAnsi="Times New Roman" w:eastAsia="楷体_GB2312" w:cs="Times New Roman"/>
          <w:lang w:val="en-US" w:eastAsia="zh-CN"/>
        </w:rPr>
        <w:t>十二、名词解释.......................................................................11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sectPr>
          <w:footerReference r:id="rId3" w:type="default"/>
          <w:pgSz w:w="11906" w:h="16838"/>
          <w:pgMar w:top="1247" w:right="1531" w:bottom="1247" w:left="2098" w:header="851" w:footer="992" w:gutter="0"/>
          <w:pgNumType w:fmt="numberInDash" w:start="1"/>
          <w:cols w:space="425" w:num="1"/>
          <w:docGrid w:type="lines" w:linePitch="312" w:charSpace="0"/>
        </w:sectPr>
      </w:pPr>
      <w:r>
        <w:rPr>
          <w:rFonts w:hint="default" w:ascii="Times New Roman" w:hAnsi="Times New Roman" w:eastAsia="楷体_GB2312" w:cs="Times New Roman"/>
          <w:lang w:val="en-US" w:eastAsia="zh-CN"/>
        </w:rPr>
        <w:t>附件...........................................................................................13</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rPr>
      </w:pPr>
      <w:r>
        <w:rPr>
          <w:rFonts w:hint="default" w:ascii="Times New Roman" w:hAnsi="Times New Roman" w:eastAsia="方正楷体_GBK" w:cs="Times New Roman"/>
          <w:b/>
          <w:bCs/>
          <w:spacing w:val="0"/>
          <w:sz w:val="33"/>
          <w:szCs w:val="33"/>
        </w:rPr>
        <w:t>（一）</w:t>
      </w:r>
      <w:r>
        <w:rPr>
          <w:rFonts w:hint="default" w:ascii="Times New Roman" w:hAnsi="Times New Roman" w:eastAsia="方正楷体_GBK" w:cs="Times New Roman"/>
          <w:b/>
          <w:bCs/>
          <w:spacing w:val="0"/>
          <w:sz w:val="33"/>
          <w:szCs w:val="33"/>
          <w:lang w:eastAsia="zh-CN"/>
        </w:rPr>
        <w:t>政协攀枝花市西区委员会办公室</w:t>
      </w:r>
      <w:r>
        <w:rPr>
          <w:rFonts w:hint="default" w:ascii="Times New Roman" w:hAnsi="Times New Roman" w:eastAsia="方正楷体_GBK" w:cs="Times New Roman"/>
          <w:b/>
          <w:bCs/>
          <w:spacing w:val="0"/>
          <w:sz w:val="33"/>
          <w:szCs w:val="33"/>
        </w:rPr>
        <w:t>职能简介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lang w:val="en-US" w:eastAsia="zh-CN"/>
        </w:rPr>
        <w:t>政协攀枝花市西区委员会办公室是政协攀枝花市西区委员会的工作机构，承担为区政协履行政治协商、民主监督、参政议</w:t>
      </w:r>
      <w:r>
        <w:rPr>
          <w:rFonts w:hint="default" w:ascii="Times New Roman" w:hAnsi="Times New Roman" w:eastAsia="方正仿宋_GBK" w:cs="Times New Roman"/>
          <w:spacing w:val="0"/>
          <w:sz w:val="33"/>
          <w:szCs w:val="33"/>
        </w:rPr>
        <w:t>政职能服务的各项工作。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1.负责政协攀枝花市西区委员会全体会议、常委会议、主席会议和其他重要会议的会务工作；并起草全体会议、常委会议和其他会议的文字工作以及政协工作的综合性文件。2.组织实施区政协组织的调研、视察、考察和其他各种活动的协调服务工作。3.辖区市政协委员活动服务工作和区政协委员活动的服务工作。4.负责政协工作的对内对外宣传，收集反映各族各界人士的意见和建议。5.密切联系区委办公室、区人大</w:t>
      </w:r>
      <w:r>
        <w:rPr>
          <w:rFonts w:hint="eastAsia" w:eastAsia="方正仿宋_GBK" w:cs="Times New Roman"/>
          <w:spacing w:val="0"/>
          <w:sz w:val="33"/>
          <w:szCs w:val="33"/>
          <w:lang w:val="en-US" w:eastAsia="zh-CN"/>
        </w:rPr>
        <w:t>常委会</w:t>
      </w:r>
      <w:r>
        <w:rPr>
          <w:rFonts w:hint="default" w:ascii="Times New Roman" w:hAnsi="Times New Roman" w:eastAsia="方正仿宋_GBK" w:cs="Times New Roman"/>
          <w:spacing w:val="0"/>
          <w:sz w:val="33"/>
          <w:szCs w:val="33"/>
          <w:lang w:val="en-US" w:eastAsia="zh-CN"/>
        </w:rPr>
        <w:t>办公室、区政府办公室以及区级各部门，相互配合，协同工作。6.负责区政协机关文电处理、文书档案、文印、通讯、机要保密工作。7.负责区政协机关各种接待和联络工作。8.承办区政协委员和各界人士的来信来访工作，加强与委员联系，为他们履职尽责做好服务工作。9.负责区政协机关国有资产管理、财务管理、车辆管理和物品采购管理，负责区政协机关综治、精神文明、卫生、消防和后勤保障及管理工作。10.负责区政协机构编制、培训考核、目标管理和区政协机关的自身建设工作。11.承担区政协主席、副主席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val="en-US" w:eastAsia="zh-CN"/>
        </w:rPr>
      </w:pPr>
      <w:r>
        <w:rPr>
          <w:rFonts w:hint="default" w:ascii="Times New Roman" w:hAnsi="Times New Roman" w:eastAsia="方正楷体_GBK" w:cs="Times New Roman"/>
          <w:b/>
          <w:bCs/>
          <w:spacing w:val="0"/>
          <w:sz w:val="33"/>
          <w:szCs w:val="33"/>
          <w:lang w:val="en-US" w:eastAsia="zh-CN"/>
        </w:rPr>
        <w:t>（二）政协攀枝花市西区委员会办公室2025年重点工作</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bCs/>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1、坚持党的领导，以更强定力把牢政治方向</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一是</w:t>
      </w:r>
      <w:r>
        <w:rPr>
          <w:rFonts w:hint="default" w:ascii="Times New Roman" w:hAnsi="Times New Roman" w:eastAsia="方正仿宋_GBK" w:cs="Times New Roman"/>
          <w:spacing w:val="0"/>
          <w:sz w:val="33"/>
          <w:szCs w:val="33"/>
          <w:lang w:val="en-US" w:eastAsia="zh-CN"/>
        </w:rPr>
        <w:t>坚定政治方向，不断提升政治判断力。深刻认识习近平总书记关于人民政协制度和人民政协组织的鲜明政治属性的重要论述，深刻领悟“两个确立”决定性意义，切实增强“四个意识”、坚定“四个自信”、做到“两个维护”。始终坚持党的全面领导，确保政协工作始终与区委决策部署心向一致、同频共振。</w:t>
      </w:r>
      <w:r>
        <w:rPr>
          <w:rFonts w:hint="default" w:ascii="Times New Roman" w:hAnsi="Times New Roman" w:eastAsia="方正仿宋_GBK" w:cs="Times New Roman"/>
          <w:b/>
          <w:bCs/>
          <w:spacing w:val="0"/>
          <w:sz w:val="33"/>
          <w:szCs w:val="33"/>
          <w:lang w:val="en-US" w:eastAsia="zh-CN"/>
        </w:rPr>
        <w:t>二是</w:t>
      </w:r>
      <w:r>
        <w:rPr>
          <w:rFonts w:hint="default" w:ascii="Times New Roman" w:hAnsi="Times New Roman" w:eastAsia="方正仿宋_GBK" w:cs="Times New Roman"/>
          <w:spacing w:val="0"/>
          <w:sz w:val="33"/>
          <w:szCs w:val="33"/>
          <w:lang w:val="en-US" w:eastAsia="zh-CN"/>
        </w:rPr>
        <w:t>强化理论武装，不断提升政治领悟力。更加深悟把握习近平总书记关于加强和改进人民政协工作重要思想的核心要义和对政协工作的新部署、新要求。认真落实“第一议题”制度，发挥政协党组和理论中心组学习引领作用。</w:t>
      </w:r>
      <w:r>
        <w:rPr>
          <w:rFonts w:hint="default" w:ascii="Times New Roman" w:hAnsi="Times New Roman" w:eastAsia="方正仿宋_GBK" w:cs="Times New Roman"/>
          <w:b/>
          <w:bCs/>
          <w:spacing w:val="0"/>
          <w:sz w:val="33"/>
          <w:szCs w:val="33"/>
          <w:lang w:val="en-US" w:eastAsia="zh-CN"/>
        </w:rPr>
        <w:t>三是</w:t>
      </w:r>
      <w:r>
        <w:rPr>
          <w:rFonts w:hint="default" w:ascii="Times New Roman" w:hAnsi="Times New Roman" w:eastAsia="方正仿宋_GBK" w:cs="Times New Roman"/>
          <w:spacing w:val="0"/>
          <w:sz w:val="33"/>
          <w:szCs w:val="33"/>
          <w:lang w:val="en-US" w:eastAsia="zh-CN"/>
        </w:rPr>
        <w:t>严守政治纪律，不断提升政治执行力。着力加强政协党组、机关党组织和委员党组织建设，压实党建、意识形态和党风廉政建设工作责任。强化使命和责任担当，自觉投身凝心聚力、民主协商、基层治理一线实践。</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bCs/>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2、深入调研协商，以更好成效服务中心大局</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一是</w:t>
      </w:r>
      <w:r>
        <w:rPr>
          <w:rFonts w:hint="default" w:ascii="Times New Roman" w:hAnsi="Times New Roman" w:eastAsia="方正仿宋_GBK" w:cs="Times New Roman"/>
          <w:spacing w:val="0"/>
          <w:sz w:val="33"/>
          <w:szCs w:val="33"/>
          <w:lang w:val="en-US" w:eastAsia="zh-CN"/>
        </w:rPr>
        <w:t>协商议政“选对题”。聚焦全区改革发展重大决策部署，围绕工业、科技、人才、生态、创富在产业优进、创新优为、菁英优聚、环境优化、民生优享等方面，确定调研视察、协商资政主题，为破解制约高质量发展和共同富裕试验区建设的问题障碍献计献策。</w:t>
      </w:r>
      <w:r>
        <w:rPr>
          <w:rFonts w:hint="default" w:ascii="Times New Roman" w:hAnsi="Times New Roman" w:eastAsia="方正仿宋_GBK" w:cs="Times New Roman"/>
          <w:b/>
          <w:bCs/>
          <w:spacing w:val="0"/>
          <w:sz w:val="33"/>
          <w:szCs w:val="33"/>
          <w:lang w:val="en-US" w:eastAsia="zh-CN"/>
        </w:rPr>
        <w:t>二是</w:t>
      </w:r>
      <w:r>
        <w:rPr>
          <w:rFonts w:hint="default" w:ascii="Times New Roman" w:hAnsi="Times New Roman" w:eastAsia="方正仿宋_GBK" w:cs="Times New Roman"/>
          <w:spacing w:val="0"/>
          <w:sz w:val="33"/>
          <w:szCs w:val="33"/>
          <w:lang w:val="en-US" w:eastAsia="zh-CN"/>
        </w:rPr>
        <w:t>对策建议“踩到点”。大兴调查研究，形成高质量调研成果。紧贴“一区一城”战略目标和“一号工程”重点工作，聚焦构建三大产业生态圈和九大产业链开展协商议政，助力重大部署落地；围绕农村基础设施建设等重点难点问题开展视察调研，助推城乡融合发展。</w:t>
      </w:r>
      <w:r>
        <w:rPr>
          <w:rFonts w:hint="default" w:ascii="Times New Roman" w:hAnsi="Times New Roman" w:eastAsia="方正仿宋_GBK" w:cs="Times New Roman"/>
          <w:b/>
          <w:bCs/>
          <w:spacing w:val="0"/>
          <w:sz w:val="33"/>
          <w:szCs w:val="33"/>
          <w:lang w:val="en-US" w:eastAsia="zh-CN"/>
        </w:rPr>
        <w:t>三是</w:t>
      </w:r>
      <w:r>
        <w:rPr>
          <w:rFonts w:hint="default" w:ascii="Times New Roman" w:hAnsi="Times New Roman" w:eastAsia="方正仿宋_GBK" w:cs="Times New Roman"/>
          <w:b w:val="0"/>
          <w:bCs w:val="0"/>
          <w:spacing w:val="0"/>
          <w:sz w:val="33"/>
          <w:szCs w:val="33"/>
          <w:lang w:val="en-US" w:eastAsia="zh-CN"/>
        </w:rPr>
        <w:t>民主</w:t>
      </w:r>
      <w:r>
        <w:rPr>
          <w:rFonts w:hint="default" w:ascii="Times New Roman" w:hAnsi="Times New Roman" w:eastAsia="方正仿宋_GBK" w:cs="Times New Roman"/>
          <w:spacing w:val="0"/>
          <w:sz w:val="33"/>
          <w:szCs w:val="33"/>
          <w:lang w:val="en-US" w:eastAsia="zh-CN"/>
        </w:rPr>
        <w:t>监督“定准位”。围绕深化三线红色文化品牌建设、推进养老事业养老产业联动发展、加快城市更新等开展民主监督，助推工作落实。通过提案督办、项目督导、社情民意信息反映等方式，持续推动意见建议落地见效。</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bCs/>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3、忠实履职为民，以更多实惠增进民生福祉</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一是</w:t>
      </w:r>
      <w:r>
        <w:rPr>
          <w:rFonts w:hint="default" w:ascii="Times New Roman" w:hAnsi="Times New Roman" w:eastAsia="方正仿宋_GBK" w:cs="Times New Roman"/>
          <w:spacing w:val="0"/>
          <w:sz w:val="33"/>
          <w:szCs w:val="33"/>
          <w:lang w:val="en-US" w:eastAsia="zh-CN"/>
        </w:rPr>
        <w:t>深入开展“小微协商”，助力改善民生和基层治理。持续重点关注就业、教育、医疗、养老等民生热点难点问题，把群众的“心上事”作为政协和委员履职的“上心事”。</w:t>
      </w:r>
      <w:r>
        <w:rPr>
          <w:rFonts w:hint="default" w:ascii="Times New Roman" w:hAnsi="Times New Roman" w:eastAsia="方正仿宋_GBK" w:cs="Times New Roman"/>
          <w:b/>
          <w:bCs/>
          <w:spacing w:val="0"/>
          <w:sz w:val="33"/>
          <w:szCs w:val="33"/>
          <w:lang w:val="en-US" w:eastAsia="zh-CN"/>
        </w:rPr>
        <w:t>二是</w:t>
      </w:r>
      <w:r>
        <w:rPr>
          <w:rFonts w:hint="default" w:ascii="Times New Roman" w:hAnsi="Times New Roman" w:eastAsia="方正仿宋_GBK" w:cs="Times New Roman"/>
          <w:spacing w:val="0"/>
          <w:sz w:val="33"/>
          <w:szCs w:val="33"/>
          <w:lang w:val="en-US" w:eastAsia="zh-CN"/>
        </w:rPr>
        <w:t>扎实推进“专项行动”，履职服务为民见成效。深入开展“我为共同富裕试验区建设献一策”和服务为民活动。</w:t>
      </w:r>
      <w:r>
        <w:rPr>
          <w:rFonts w:hint="default" w:ascii="Times New Roman" w:hAnsi="Times New Roman" w:eastAsia="方正仿宋_GBK" w:cs="Times New Roman"/>
          <w:b/>
          <w:bCs/>
          <w:spacing w:val="0"/>
          <w:sz w:val="33"/>
          <w:szCs w:val="33"/>
          <w:lang w:val="en-US" w:eastAsia="zh-CN"/>
        </w:rPr>
        <w:t>三是</w:t>
      </w:r>
      <w:r>
        <w:rPr>
          <w:rFonts w:hint="default" w:ascii="Times New Roman" w:hAnsi="Times New Roman" w:eastAsia="方正仿宋_GBK" w:cs="Times New Roman"/>
          <w:spacing w:val="0"/>
          <w:sz w:val="33"/>
          <w:szCs w:val="33"/>
          <w:lang w:val="en-US" w:eastAsia="zh-CN"/>
        </w:rPr>
        <w:t>切实推进提案办理和社情民意信息工作上台阶。创新推进提案和社情民意信息工作，探索建立提案办理协商、社情民意信息跟踪反馈、民主监督与法律监督协同配合等机制，提升提案和社情民意信息工作“民生温度”。</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bCs/>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4、加强实践探索，以更实举措推动工作创新</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一是</w:t>
      </w:r>
      <w:r>
        <w:rPr>
          <w:rFonts w:hint="default" w:ascii="Times New Roman" w:hAnsi="Times New Roman" w:eastAsia="方正仿宋_GBK" w:cs="Times New Roman"/>
          <w:spacing w:val="0"/>
          <w:sz w:val="33"/>
          <w:szCs w:val="33"/>
          <w:lang w:val="en-US" w:eastAsia="zh-CN"/>
        </w:rPr>
        <w:t>在顾大局促和谐中求共识，突出团结民主主题。坚持主席会议成员联系民主党派和走访委员制度，加强与民主党派、工商联、无党派人士和人民团体合作共事，为其更好履职创造条件。聚焦群众急难愁盼问题，切实发挥好统一战线组织优势作用，协助做好收集民情、凝聚共识、协调关系、化解矛盾等工作。</w:t>
      </w:r>
      <w:r>
        <w:rPr>
          <w:rFonts w:hint="default" w:ascii="Times New Roman" w:hAnsi="Times New Roman" w:eastAsia="方正仿宋_GBK" w:cs="Times New Roman"/>
          <w:b/>
          <w:bCs/>
          <w:spacing w:val="0"/>
          <w:sz w:val="33"/>
          <w:szCs w:val="33"/>
          <w:lang w:val="en-US" w:eastAsia="zh-CN"/>
        </w:rPr>
        <w:t>二是</w:t>
      </w:r>
      <w:r>
        <w:rPr>
          <w:rFonts w:hint="default" w:ascii="Times New Roman" w:hAnsi="Times New Roman" w:eastAsia="方正仿宋_GBK" w:cs="Times New Roman"/>
          <w:spacing w:val="0"/>
          <w:sz w:val="33"/>
          <w:szCs w:val="33"/>
          <w:lang w:val="en-US" w:eastAsia="zh-CN"/>
        </w:rPr>
        <w:t>在搭平台建载体中求共识，突出协商民主成效。探索“专委会+界别”联动履职方式，突出专委会“专”和界别“特”的优势，用好界别委员联系点履职新平台，建立有效联系机制，特别是发挥企业家委员作用，及时反映企业所期所盼，助推问题解决和经济高质量发展。进一步加强各委员工作站建设，充分发挥综合阵地作用。进一步加强和拓展“书香政协”平台建设，开展“学思践</w:t>
      </w:r>
      <w:r>
        <w:rPr>
          <w:rFonts w:hint="eastAsia" w:eastAsia="方正仿宋_GBK" w:cs="Times New Roman"/>
          <w:spacing w:val="0"/>
          <w:sz w:val="33"/>
          <w:szCs w:val="33"/>
          <w:lang w:val="en-US" w:eastAsia="zh-CN"/>
        </w:rPr>
        <w:t>行</w:t>
      </w:r>
      <w:r>
        <w:rPr>
          <w:rFonts w:hint="default" w:ascii="Times New Roman" w:hAnsi="Times New Roman" w:eastAsia="方正仿宋_GBK" w:cs="Times New Roman"/>
          <w:spacing w:val="0"/>
          <w:sz w:val="33"/>
          <w:szCs w:val="33"/>
          <w:lang w:val="en-US" w:eastAsia="zh-CN"/>
        </w:rPr>
        <w:t>、讲‘三爱’故事”读书实践分享活动，助力精神共富。继续提升“看项目、聚共识、增团结、强信心”委员活动质效，激发委员在知情明政中聚民心、筑同心、添活力、增动力。</w:t>
      </w:r>
      <w:r>
        <w:rPr>
          <w:rFonts w:hint="default" w:ascii="Times New Roman" w:hAnsi="Times New Roman" w:eastAsia="方正仿宋_GBK" w:cs="Times New Roman"/>
          <w:b/>
          <w:bCs/>
          <w:spacing w:val="0"/>
          <w:sz w:val="33"/>
          <w:szCs w:val="33"/>
          <w:lang w:val="en-US" w:eastAsia="zh-CN"/>
        </w:rPr>
        <w:t>三是</w:t>
      </w:r>
      <w:r>
        <w:rPr>
          <w:rFonts w:hint="default" w:ascii="Times New Roman" w:hAnsi="Times New Roman" w:eastAsia="方正仿宋_GBK" w:cs="Times New Roman"/>
          <w:spacing w:val="0"/>
          <w:sz w:val="33"/>
          <w:szCs w:val="33"/>
          <w:lang w:val="en-US" w:eastAsia="zh-CN"/>
        </w:rPr>
        <w:t>在探索深化改革路径中求共识，突出创新实践成效。按照区委决策部署，找准政协工作和区委中心工作的契合点，牵头推进3项共富试验改革事项。</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bCs/>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5、着力固本强基，以更严要求锻造过硬队伍</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一是</w:t>
      </w:r>
      <w:r>
        <w:rPr>
          <w:rFonts w:hint="default" w:ascii="Times New Roman" w:hAnsi="Times New Roman" w:eastAsia="方正仿宋_GBK" w:cs="Times New Roman"/>
          <w:spacing w:val="0"/>
          <w:sz w:val="33"/>
          <w:szCs w:val="33"/>
          <w:lang w:val="en-US" w:eastAsia="zh-CN"/>
        </w:rPr>
        <w:t>进一步加强委员队伍建设。因地制宜开展多种形式的委员学习培训，优化委员服务管理和考核激励，搭建多层次的委员联络联系联谊平台。</w:t>
      </w:r>
      <w:r>
        <w:rPr>
          <w:rFonts w:hint="default" w:ascii="Times New Roman" w:hAnsi="Times New Roman" w:eastAsia="方正仿宋_GBK" w:cs="Times New Roman"/>
          <w:b/>
          <w:bCs/>
          <w:spacing w:val="0"/>
          <w:sz w:val="33"/>
          <w:szCs w:val="33"/>
          <w:lang w:val="en-US" w:eastAsia="zh-CN"/>
        </w:rPr>
        <w:t>二是</w:t>
      </w:r>
      <w:r>
        <w:rPr>
          <w:rFonts w:hint="default" w:ascii="Times New Roman" w:hAnsi="Times New Roman" w:eastAsia="方正仿宋_GBK" w:cs="Times New Roman"/>
          <w:spacing w:val="0"/>
          <w:sz w:val="33"/>
          <w:szCs w:val="33"/>
          <w:lang w:val="en-US" w:eastAsia="zh-CN"/>
        </w:rPr>
        <w:t>进一步加强政协机关建设。深化政治机关建设，认真落实“三个身边”群众工作机制，推动党纪学习教育常态化长效化，持续推进机关巡察问题整改工作，强化政治纪律和组织纪律，打造忠诚干净担当的政协机关干部队伍。</w:t>
      </w:r>
      <w:r>
        <w:rPr>
          <w:rFonts w:hint="default" w:ascii="Times New Roman" w:hAnsi="Times New Roman" w:eastAsia="方正仿宋_GBK" w:cs="Times New Roman"/>
          <w:b/>
          <w:bCs/>
          <w:spacing w:val="0"/>
          <w:sz w:val="33"/>
          <w:szCs w:val="33"/>
          <w:lang w:val="en-US" w:eastAsia="zh-CN"/>
        </w:rPr>
        <w:t>三是</w:t>
      </w:r>
      <w:r>
        <w:rPr>
          <w:rFonts w:hint="default" w:ascii="Times New Roman" w:hAnsi="Times New Roman" w:eastAsia="方正仿宋_GBK" w:cs="Times New Roman"/>
          <w:spacing w:val="0"/>
          <w:sz w:val="33"/>
          <w:szCs w:val="33"/>
          <w:lang w:val="en-US" w:eastAsia="zh-CN"/>
        </w:rPr>
        <w:t>进一步加强制度化规范化程序化建设。聚焦机制制度建设，着力建立广泛凝聚共识和加强民主监督等制度，健全协</w:t>
      </w:r>
      <w:r>
        <w:rPr>
          <w:rFonts w:hint="default" w:ascii="Times New Roman" w:hAnsi="Times New Roman" w:eastAsia="方正仿宋_GBK" w:cs="Times New Roman"/>
          <w:spacing w:val="-6"/>
          <w:sz w:val="33"/>
          <w:szCs w:val="33"/>
          <w:lang w:val="en-US" w:eastAsia="zh-CN"/>
        </w:rPr>
        <w:t>商民主机制，完善制度落实机制，提升制度化规范化程序化水平。</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二、</w:t>
      </w:r>
      <w:r>
        <w:rPr>
          <w:rFonts w:hint="default" w:ascii="Times New Roman" w:hAnsi="Times New Roman" w:eastAsia="方正黑体_GBK" w:cs="Times New Roman"/>
          <w:spacing w:val="0"/>
          <w:sz w:val="33"/>
          <w:szCs w:val="33"/>
          <w:lang w:eastAsia="zh-CN"/>
        </w:rPr>
        <w:t>机构设置</w:t>
      </w:r>
      <w:r>
        <w:rPr>
          <w:rFonts w:hint="default" w:ascii="Times New Roman" w:hAnsi="Times New Roman" w:eastAsia="方正黑体_GBK" w:cs="Times New Roman"/>
          <w:spacing w:val="0"/>
          <w:sz w:val="33"/>
          <w:szCs w:val="33"/>
        </w:rPr>
        <w:t>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eastAsia="zh-CN"/>
        </w:rPr>
      </w:pPr>
      <w:r>
        <w:rPr>
          <w:rFonts w:hint="default" w:ascii="Times New Roman" w:hAnsi="Times New Roman" w:eastAsia="方正仿宋_GBK" w:cs="Times New Roman"/>
          <w:spacing w:val="0"/>
          <w:sz w:val="33"/>
          <w:szCs w:val="33"/>
          <w:lang w:val="en-US" w:eastAsia="zh-CN"/>
        </w:rPr>
        <w:t>西区政协内设七委二室，即：提案委员会、经济委员会、人口资源环境委员会、社会和法制委员会、文化文史和学习委员会、教科卫体委员会、委员联络委员会和办公室（挂政策研究室牌子）。</w:t>
      </w:r>
      <w:r>
        <w:rPr>
          <w:rFonts w:hint="default" w:ascii="Times New Roman" w:hAnsi="Times New Roman" w:eastAsia="方正仿宋_GBK" w:cs="Times New Roman"/>
          <w:spacing w:val="0"/>
          <w:sz w:val="33"/>
          <w:szCs w:val="33"/>
        </w:rPr>
        <w:t>下属</w:t>
      </w:r>
      <w:r>
        <w:rPr>
          <w:rFonts w:hint="default" w:ascii="Times New Roman" w:hAnsi="Times New Roman" w:eastAsia="方正仿宋_GBK" w:cs="Times New Roman"/>
          <w:spacing w:val="0"/>
          <w:sz w:val="33"/>
          <w:szCs w:val="33"/>
          <w:lang w:eastAsia="zh-CN"/>
        </w:rPr>
        <w:t>非独立核算事业单位</w:t>
      </w:r>
      <w:r>
        <w:rPr>
          <w:rFonts w:hint="default" w:ascii="Times New Roman" w:hAnsi="Times New Roman" w:eastAsia="方正仿宋_GBK" w:cs="Times New Roman"/>
          <w:spacing w:val="0"/>
          <w:sz w:val="33"/>
          <w:szCs w:val="33"/>
          <w:lang w:val="en-US" w:eastAsia="zh-CN"/>
        </w:rPr>
        <w:t>1</w:t>
      </w:r>
      <w:r>
        <w:rPr>
          <w:rFonts w:hint="default" w:ascii="Times New Roman" w:hAnsi="Times New Roman" w:eastAsia="方正仿宋_GBK" w:cs="Times New Roman"/>
          <w:spacing w:val="0"/>
          <w:sz w:val="33"/>
          <w:szCs w:val="33"/>
        </w:rPr>
        <w:t>个，即攀枝花市西区政协委员联络服务中心。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三、收支预算情况说明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按照综合预算的原则，政协攀枝花市西区委员会办公室所有收入和支出均纳入部门预算管理。收入包括：一般公共预算拨款收入；支出包括：一般公共服务支出、社会保障和就业支出、卫生健康支出、住房保障支出。政协攀枝花市西区委员会办公室2025年收支总预算687.51万元。比2024年预算数增加29.13万元，主要是人员变动增加了相关经费。</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政协攀枝花市西区委员会办公室2025年收入预算687.51万元，其中：上年结转0万元，占0%；一般公共预算拨款收入687.51万元，占100%；政府性基金预算拨款收入0万元，占0%；事业收入0万元，占%。</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val="en-US" w:eastAsia="zh-CN"/>
        </w:rPr>
      </w:pPr>
      <w:r>
        <w:rPr>
          <w:rFonts w:hint="default" w:ascii="Times New Roman" w:hAnsi="Times New Roman" w:eastAsia="方正楷体_GBK" w:cs="Times New Roman"/>
          <w:b/>
          <w:bCs/>
          <w:spacing w:val="0"/>
          <w:sz w:val="33"/>
          <w:szCs w:val="33"/>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政协攀枝花市西区委员会办公室2025年支出预算687.51万元，其中：基本支出626.51万元，占91.13%；项目支出61万元，占8.87%。</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四、财政拨款收支预算情况说明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财政拨款收支总预算687.51万元。收入包括：本年一般公共预算拨款收入687.51万元；支出包括：一般公共服务支出531.75万元、社会保障和就业支出73.56万元、卫生健康支出35.05万元、住房保障支出47.14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lang w:val="en-US" w:eastAsia="zh-CN"/>
        </w:rPr>
        <w:t>政协攀枝花市西区委员会办公室2025年一般公共预算当年拨款687.51万元，比2024年预算数增加95.13万元，主要是人员变动相关经费增加。</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一般公共服务支出531.75万元，占77.34%；社会保障和就业支出73.56万元，占10.70%；卫生健康支出35.05万元，占5.10%；住房保障支出47.14万元，占6.86%。</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1.一般公共服务（类）政协事务（款）行政运行（项）2025年预算数为420.37万元，主要用于：</w:t>
      </w:r>
      <w:r>
        <w:rPr>
          <w:rFonts w:hint="default" w:ascii="Times New Roman" w:hAnsi="Times New Roman" w:eastAsia="方正仿宋_GBK" w:cs="Times New Roman"/>
          <w:spacing w:val="0"/>
          <w:sz w:val="33"/>
          <w:szCs w:val="33"/>
          <w:lang w:val="en-US" w:eastAsia="zh-CN"/>
        </w:rPr>
        <w:t>保障行政人员工资、保险、日常运转的基本支出；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2.一般公共服务（类）政协事务（款）事业运行（项）2025年预算数为50.38万元，主要用于：</w:t>
      </w:r>
      <w:r>
        <w:rPr>
          <w:rFonts w:hint="default" w:ascii="Times New Roman" w:hAnsi="Times New Roman" w:eastAsia="方正仿宋_GBK" w:cs="Times New Roman"/>
          <w:spacing w:val="0"/>
          <w:sz w:val="33"/>
          <w:szCs w:val="33"/>
          <w:lang w:val="en-US" w:eastAsia="zh-CN"/>
        </w:rPr>
        <w:t>保障事业人员工资、保险、日常运转的基本支出；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3.一般公共服务（类）政协事务（款）政协会议（项）2025年预算数为24万元，主要用于：</w:t>
      </w:r>
      <w:r>
        <w:rPr>
          <w:rFonts w:hint="default" w:ascii="Times New Roman" w:hAnsi="Times New Roman" w:eastAsia="方正仿宋_GBK" w:cs="Times New Roman"/>
          <w:spacing w:val="0"/>
          <w:sz w:val="33"/>
          <w:szCs w:val="33"/>
          <w:lang w:val="en-US" w:eastAsia="zh-CN"/>
        </w:rPr>
        <w:t>保障政协全体委员会议、常委会议、主席会议、专题座谈会、专题协商会等会议支出；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4.一般公共服务（类）政协事务（款）其他政协事务支出（项）2025年预算数为37万元，主要用于：</w:t>
      </w:r>
      <w:r>
        <w:rPr>
          <w:rFonts w:hint="default" w:ascii="Times New Roman" w:hAnsi="Times New Roman" w:eastAsia="方正仿宋_GBK" w:cs="Times New Roman"/>
          <w:spacing w:val="0"/>
          <w:sz w:val="33"/>
          <w:szCs w:val="33"/>
          <w:lang w:val="en-US" w:eastAsia="zh-CN"/>
        </w:rPr>
        <w:t>政协委员履职、提案办理、调研视察、委员学习活动、书画院活动、专委会工作等支出；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5.社会保障和就业（类）行政事业单位养老支出（款）行政单位离退休（项）2025年预算数为16.24万元，主要用于：</w:t>
      </w:r>
      <w:r>
        <w:rPr>
          <w:rFonts w:hint="default" w:ascii="Times New Roman" w:hAnsi="Times New Roman" w:eastAsia="方正仿宋_GBK" w:cs="Times New Roman"/>
          <w:spacing w:val="0"/>
          <w:sz w:val="33"/>
          <w:szCs w:val="33"/>
          <w:lang w:val="en-US" w:eastAsia="zh-CN"/>
        </w:rPr>
        <w:t>主要用于单位离退休人员支出；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6.社会保障和就业（类）行政事业单位养老支出（款）  机关事业单位基本养老保险缴费支出（项）2025年预算数为57.32万元，主要用于：</w:t>
      </w:r>
      <w:r>
        <w:rPr>
          <w:rFonts w:hint="default" w:ascii="Times New Roman" w:hAnsi="Times New Roman" w:eastAsia="方正仿宋_GBK" w:cs="Times New Roman"/>
          <w:spacing w:val="0"/>
          <w:sz w:val="33"/>
          <w:szCs w:val="33"/>
          <w:lang w:val="en-US" w:eastAsia="zh-CN"/>
        </w:rPr>
        <w:t>单位按规定标准为职工缴纳的基本养老保险费支出；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7.卫生健康（类）行政事业单位医疗（款）行政单位医疗（项）2025年预算数为26.86万元，主要用于：</w:t>
      </w:r>
      <w:r>
        <w:rPr>
          <w:rFonts w:hint="default" w:ascii="Times New Roman" w:hAnsi="Times New Roman" w:eastAsia="方正仿宋_GBK" w:cs="Times New Roman"/>
          <w:spacing w:val="0"/>
          <w:sz w:val="33"/>
          <w:szCs w:val="33"/>
          <w:lang w:val="en-US" w:eastAsia="zh-CN"/>
        </w:rPr>
        <w:t>单位按规定标准为行政人员缴纳的医疗保险费支出；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8.卫生健康（类）行政事业单位医疗（款）事业单位医疗（项）2025年预算数为3.39万元，主要用于：</w:t>
      </w:r>
      <w:r>
        <w:rPr>
          <w:rFonts w:hint="default" w:ascii="Times New Roman" w:hAnsi="Times New Roman" w:eastAsia="方正仿宋_GBK" w:cs="Times New Roman"/>
          <w:spacing w:val="0"/>
          <w:sz w:val="33"/>
          <w:szCs w:val="33"/>
          <w:lang w:val="en-US" w:eastAsia="zh-CN"/>
        </w:rPr>
        <w:t>单位按规定标准为事业人员缴纳的医疗保险费支出；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9.卫生健康（类）行政事业单位医疗（款）公务员医疗补助（项）2025年预算数为4.32万元，主要用于：</w:t>
      </w:r>
      <w:r>
        <w:rPr>
          <w:rFonts w:hint="default" w:ascii="Times New Roman" w:hAnsi="Times New Roman" w:eastAsia="方正仿宋_GBK" w:cs="Times New Roman"/>
          <w:spacing w:val="0"/>
          <w:sz w:val="33"/>
          <w:szCs w:val="33"/>
          <w:lang w:val="en-US" w:eastAsia="zh-CN"/>
        </w:rPr>
        <w:t>单位按规定标准为职工缴纳的公务员医疗补助支出；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10.卫生健康（类）行政事业单位医疗（款）其他行政事业单位医疗支出（项）2025年预算数为0.48万元，主要用于：</w:t>
      </w:r>
      <w:r>
        <w:rPr>
          <w:rFonts w:hint="default" w:ascii="Times New Roman" w:hAnsi="Times New Roman" w:eastAsia="方正仿宋_GBK" w:cs="Times New Roman"/>
          <w:spacing w:val="0"/>
          <w:sz w:val="33"/>
          <w:szCs w:val="33"/>
          <w:lang w:val="en-US" w:eastAsia="zh-CN"/>
        </w:rPr>
        <w:t>单位按规定标准为行政人员缴纳的工伤保险支出和为事业人员缴纳的工伤、失业保险支出；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11.住房保障（类）住房改革支出（款）住房公积金（项）2025年预算数为47.14万元，主要用于：</w:t>
      </w:r>
      <w:r>
        <w:rPr>
          <w:rFonts w:hint="default" w:ascii="Times New Roman" w:hAnsi="Times New Roman" w:eastAsia="方正仿宋_GBK" w:cs="Times New Roman"/>
          <w:spacing w:val="0"/>
          <w:sz w:val="33"/>
          <w:szCs w:val="33"/>
          <w:lang w:val="en-US" w:eastAsia="zh-CN"/>
        </w:rPr>
        <w:t>单位按规定标准为职工缴纳的住房公积金支出。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政协攀枝花市西区委员会办公室2025年一般公共预算基本支出626.51万元，其中：</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人员经费559.10万元，主要包括：</w:t>
      </w:r>
      <w:r>
        <w:rPr>
          <w:rFonts w:hint="default" w:ascii="Times New Roman" w:hAnsi="Times New Roman" w:eastAsia="方正仿宋_GBK" w:cs="Times New Roman"/>
          <w:spacing w:val="0"/>
          <w:sz w:val="33"/>
          <w:szCs w:val="33"/>
          <w:lang w:val="en-US" w:eastAsia="zh-CN"/>
        </w:rPr>
        <w:t>基本工资137.56万元、津贴补贴91.23万元、奖金135.60万元、机关事业单位基本养老保险缴费57.32万元、职工基本医疗保险缴费30.25万元、公务员医疗补助缴费2.88万元、其他社会保障缴费1.31万元、住房公积金47.14万元、其他工资福利支出9.16万元、生活补助16.24万元、医疗费补助1.92万元、奖励金0.02万元、绩效工资28.46万元。</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公用经费67.41万元，主要包括：</w:t>
      </w:r>
      <w:r>
        <w:rPr>
          <w:rFonts w:hint="default" w:ascii="Times New Roman" w:hAnsi="Times New Roman" w:eastAsia="方正仿宋_GBK" w:cs="Times New Roman"/>
          <w:spacing w:val="0"/>
          <w:sz w:val="33"/>
          <w:szCs w:val="33"/>
          <w:lang w:val="en-US" w:eastAsia="zh-CN"/>
        </w:rPr>
        <w:t>办公费14.80万元、差旅费12万元、公务接待费0.60万元、工会经费5.78万元、福利费4.37万元、其他交通费25.38万元、其他商品和服务支出1.03万元、党建经费1.45万元、邮电费2万元。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政协攀枝花市西区委员会办公室2025年“三公”经费财政拨款预算数0.60万元，其中：因公出国（境）经费0万元，公务接待费0.60万元，公务用车购置及运行维护费0万元。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val="en-US" w:eastAsia="zh-CN"/>
        </w:rPr>
        <w:t>（一）</w:t>
      </w:r>
      <w:r>
        <w:rPr>
          <w:rFonts w:hint="default" w:ascii="Times New Roman" w:hAnsi="Times New Roman" w:eastAsia="方正楷体_GBK" w:cs="Times New Roman"/>
          <w:b/>
          <w:bCs/>
          <w:spacing w:val="0"/>
          <w:sz w:val="33"/>
          <w:szCs w:val="33"/>
        </w:rPr>
        <w:t>因公出国（境）经费较</w:t>
      </w:r>
      <w:r>
        <w:rPr>
          <w:rFonts w:hint="default" w:ascii="Times New Roman" w:hAnsi="Times New Roman" w:eastAsia="方正楷体_GBK" w:cs="Times New Roman"/>
          <w:b/>
          <w:bCs/>
          <w:spacing w:val="0"/>
          <w:sz w:val="33"/>
          <w:szCs w:val="33"/>
          <w:lang w:eastAsia="zh-CN"/>
        </w:rPr>
        <w:t>202</w:t>
      </w:r>
      <w:r>
        <w:rPr>
          <w:rFonts w:hint="default" w:ascii="Times New Roman" w:hAnsi="Times New Roman" w:eastAsia="方正楷体_GBK" w:cs="Times New Roman"/>
          <w:b/>
          <w:bCs/>
          <w:spacing w:val="0"/>
          <w:sz w:val="33"/>
          <w:szCs w:val="33"/>
          <w:lang w:val="en-US" w:eastAsia="zh-CN"/>
        </w:rPr>
        <w:t>4</w:t>
      </w:r>
      <w:r>
        <w:rPr>
          <w:rFonts w:hint="default" w:ascii="Times New Roman" w:hAnsi="Times New Roman" w:eastAsia="方正楷体_GBK" w:cs="Times New Roman"/>
          <w:b/>
          <w:bCs/>
          <w:spacing w:val="0"/>
          <w:sz w:val="33"/>
          <w:szCs w:val="33"/>
        </w:rPr>
        <w:t>年预算</w:t>
      </w:r>
      <w:r>
        <w:rPr>
          <w:rFonts w:hint="default" w:ascii="Times New Roman" w:hAnsi="Times New Roman" w:eastAsia="方正楷体_GBK" w:cs="Times New Roman"/>
          <w:b/>
          <w:bCs/>
          <w:spacing w:val="0"/>
          <w:sz w:val="33"/>
          <w:szCs w:val="33"/>
          <w:lang w:eastAsia="zh-CN"/>
        </w:rPr>
        <w:t>持平</w:t>
      </w:r>
      <w:r>
        <w:rPr>
          <w:rFonts w:hint="eastAsia" w:eastAsia="方正楷体_GBK" w:cs="Times New Roman"/>
          <w:b/>
          <w:bCs/>
          <w:spacing w:val="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rPr>
        <w:t>（二）公务接待费较</w:t>
      </w:r>
      <w:r>
        <w:rPr>
          <w:rFonts w:hint="default" w:ascii="Times New Roman" w:hAnsi="Times New Roman" w:eastAsia="方正楷体_GBK" w:cs="Times New Roman"/>
          <w:b/>
          <w:bCs/>
          <w:spacing w:val="0"/>
          <w:sz w:val="33"/>
          <w:szCs w:val="33"/>
          <w:lang w:eastAsia="zh-CN"/>
        </w:rPr>
        <w:t>202</w:t>
      </w:r>
      <w:r>
        <w:rPr>
          <w:rFonts w:hint="default" w:ascii="Times New Roman" w:hAnsi="Times New Roman" w:eastAsia="方正楷体_GBK" w:cs="Times New Roman"/>
          <w:b/>
          <w:bCs/>
          <w:spacing w:val="0"/>
          <w:sz w:val="33"/>
          <w:szCs w:val="33"/>
          <w:lang w:val="en-US" w:eastAsia="zh-CN"/>
        </w:rPr>
        <w:t>4</w:t>
      </w:r>
      <w:r>
        <w:rPr>
          <w:rFonts w:hint="default" w:ascii="Times New Roman" w:hAnsi="Times New Roman" w:eastAsia="方正楷体_GBK" w:cs="Times New Roman"/>
          <w:b/>
          <w:bCs/>
          <w:spacing w:val="0"/>
          <w:sz w:val="33"/>
          <w:szCs w:val="33"/>
        </w:rPr>
        <w:t>年预算</w:t>
      </w:r>
      <w:r>
        <w:rPr>
          <w:rFonts w:hint="default" w:ascii="Times New Roman" w:hAnsi="Times New Roman" w:eastAsia="方正楷体_GBK" w:cs="Times New Roman"/>
          <w:b/>
          <w:bCs/>
          <w:spacing w:val="0"/>
          <w:sz w:val="33"/>
          <w:szCs w:val="33"/>
          <w:lang w:eastAsia="zh-CN"/>
        </w:rPr>
        <w:t>持平</w:t>
      </w:r>
      <w:r>
        <w:rPr>
          <w:rFonts w:hint="eastAsia" w:eastAsia="方正楷体_GBK" w:cs="Times New Roman"/>
          <w:b/>
          <w:bCs/>
          <w:spacing w:val="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2025年公务接待费计划用于执行公务、考察调研、学习交流、检查指导等公务活动支出。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楷体_GBK" w:cs="Times New Roman"/>
          <w:b/>
          <w:bCs/>
          <w:spacing w:val="0"/>
          <w:sz w:val="33"/>
          <w:szCs w:val="33"/>
          <w:lang w:eastAsia="zh-CN"/>
        </w:rPr>
        <w:t>（三）</w:t>
      </w:r>
      <w:r>
        <w:rPr>
          <w:rFonts w:hint="default" w:ascii="Times New Roman" w:hAnsi="Times New Roman" w:eastAsia="方正楷体_GBK" w:cs="Times New Roman"/>
          <w:b/>
          <w:bCs/>
          <w:spacing w:val="0"/>
          <w:sz w:val="33"/>
          <w:szCs w:val="33"/>
        </w:rPr>
        <w:t>公务用车购置及运行维护费较</w:t>
      </w:r>
      <w:r>
        <w:rPr>
          <w:rFonts w:hint="default" w:ascii="Times New Roman" w:hAnsi="Times New Roman" w:eastAsia="方正楷体_GBK" w:cs="Times New Roman"/>
          <w:b/>
          <w:bCs/>
          <w:spacing w:val="0"/>
          <w:sz w:val="33"/>
          <w:szCs w:val="33"/>
          <w:lang w:eastAsia="zh-CN"/>
        </w:rPr>
        <w:t>202</w:t>
      </w:r>
      <w:r>
        <w:rPr>
          <w:rFonts w:hint="default" w:ascii="Times New Roman" w:hAnsi="Times New Roman" w:eastAsia="方正楷体_GBK" w:cs="Times New Roman"/>
          <w:b/>
          <w:bCs/>
          <w:spacing w:val="0"/>
          <w:sz w:val="33"/>
          <w:szCs w:val="33"/>
          <w:lang w:val="en-US" w:eastAsia="zh-CN"/>
        </w:rPr>
        <w:t>4</w:t>
      </w:r>
      <w:r>
        <w:rPr>
          <w:rFonts w:hint="default" w:ascii="Times New Roman" w:hAnsi="Times New Roman" w:eastAsia="方正楷体_GBK" w:cs="Times New Roman"/>
          <w:b/>
          <w:bCs/>
          <w:spacing w:val="0"/>
          <w:sz w:val="33"/>
          <w:szCs w:val="33"/>
        </w:rPr>
        <w:t>年预算</w:t>
      </w:r>
      <w:r>
        <w:rPr>
          <w:rFonts w:hint="default" w:ascii="Times New Roman" w:hAnsi="Times New Roman" w:eastAsia="方正楷体_GBK" w:cs="Times New Roman"/>
          <w:b/>
          <w:bCs/>
          <w:spacing w:val="0"/>
          <w:sz w:val="33"/>
          <w:szCs w:val="33"/>
          <w:lang w:eastAsia="zh-CN"/>
        </w:rPr>
        <w:t>持平</w:t>
      </w:r>
      <w:r>
        <w:rPr>
          <w:rFonts w:hint="eastAsia" w:eastAsia="方正楷体_GBK" w:cs="Times New Roman"/>
          <w:b/>
          <w:bCs/>
          <w:spacing w:val="0"/>
          <w:sz w:val="33"/>
          <w:szCs w:val="33"/>
          <w:lang w:eastAsia="zh-CN"/>
        </w:rPr>
        <w:t>。</w:t>
      </w:r>
      <w:r>
        <w:rPr>
          <w:rFonts w:hint="default" w:ascii="Times New Roman" w:hAnsi="Times New Roman" w:eastAsia="方正仿宋_GBK" w:cs="Times New Roman"/>
          <w:spacing w:val="0"/>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单位现有公务用车0辆，其中：轿车（含7座以下商务车、城市越野车）0辆，7座以上19座（含19座）以下客车0辆，越野车0辆，货车及19座以上客车0辆，摩托车0辆。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lang w:eastAsia="zh-CN"/>
        </w:rPr>
        <w:t>八、</w:t>
      </w:r>
      <w:r>
        <w:rPr>
          <w:rFonts w:hint="default" w:ascii="Times New Roman" w:hAnsi="Times New Roman" w:eastAsia="方正黑体_GBK" w:cs="Times New Roman"/>
          <w:spacing w:val="0"/>
          <w:sz w:val="33"/>
          <w:szCs w:val="33"/>
        </w:rPr>
        <w:t>“三公”经费</w:t>
      </w:r>
      <w:r>
        <w:rPr>
          <w:rFonts w:hint="default" w:ascii="Times New Roman" w:hAnsi="Times New Roman" w:eastAsia="方正黑体_GBK" w:cs="Times New Roman"/>
          <w:spacing w:val="0"/>
          <w:sz w:val="33"/>
          <w:szCs w:val="33"/>
          <w:lang w:eastAsia="zh-CN"/>
        </w:rPr>
        <w:t>非</w:t>
      </w:r>
      <w:r>
        <w:rPr>
          <w:rFonts w:hint="default" w:ascii="Times New Roman" w:hAnsi="Times New Roman" w:eastAsia="方正黑体_GBK" w:cs="Times New Roman"/>
          <w:spacing w:val="0"/>
          <w:sz w:val="33"/>
          <w:szCs w:val="33"/>
        </w:rPr>
        <w:t>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政协攀枝花市西区委员会办公室2025年没有使用非财政拨款安排“三公”经费预算。</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eastAsia="zh-CN"/>
        </w:rPr>
        <w:t>（一）非财政拨款安排公务接待费情况说明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政协攀枝花市西区委员会办公室2025年无非财政拨款安排公务接待费，与2024年预算持平。</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方正楷体_GBK" w:cs="Times New Roman"/>
          <w:b/>
          <w:bCs/>
          <w:spacing w:val="-6"/>
          <w:sz w:val="33"/>
          <w:szCs w:val="33"/>
          <w:lang w:eastAsia="zh-CN"/>
        </w:rPr>
      </w:pPr>
      <w:r>
        <w:rPr>
          <w:rFonts w:hint="default" w:ascii="Times New Roman" w:hAnsi="Times New Roman" w:eastAsia="方正楷体_GBK" w:cs="Times New Roman"/>
          <w:b/>
          <w:bCs/>
          <w:spacing w:val="-6"/>
          <w:sz w:val="33"/>
          <w:szCs w:val="33"/>
          <w:lang w:eastAsia="zh-CN"/>
        </w:rPr>
        <w:t>（二）非财政拨款安排公务用车购置及运行维护费情况说明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政协攀枝花市西区委员会办公室2025年无非财政拨款安排公务用车购置及运行维护费，与2024年预算持平。</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部门现有公务用车0辆，其中：轿车0辆，旅行车（含商务车）0辆，越野车0辆，大型客、货车0辆。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2025年安排非财政拨款公务用车购置费0万元，拟购置公务用车0辆，其中：轿车0辆，旅行车（含商务车）0辆，越野车0辆，大型客、货车0辆。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2025年安排非财政拨款公务用车运行维护费0万元。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lang w:eastAsia="zh-CN"/>
        </w:rPr>
        <w:t>九</w:t>
      </w:r>
      <w:r>
        <w:rPr>
          <w:rFonts w:hint="default" w:ascii="Times New Roman" w:hAnsi="Times New Roman" w:eastAsia="方正黑体_GBK" w:cs="Times New Roman"/>
          <w:spacing w:val="0"/>
          <w:sz w:val="33"/>
          <w:szCs w:val="33"/>
        </w:rPr>
        <w:t>、政府性基金预算支出情况说明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lang w:eastAsia="zh-CN"/>
        </w:rPr>
      </w:pPr>
      <w:r>
        <w:rPr>
          <w:rFonts w:hint="default" w:ascii="Times New Roman" w:hAnsi="Times New Roman" w:eastAsia="方正黑体_GBK" w:cs="Times New Roman"/>
          <w:spacing w:val="0"/>
          <w:sz w:val="33"/>
          <w:szCs w:val="33"/>
          <w:lang w:eastAsia="zh-CN"/>
        </w:rPr>
        <w:t>十</w:t>
      </w:r>
      <w:r>
        <w:rPr>
          <w:rFonts w:hint="default" w:ascii="Times New Roman" w:hAnsi="Times New Roman" w:eastAsia="方正黑体_GBK" w:cs="Times New Roman"/>
          <w:spacing w:val="0"/>
          <w:sz w:val="33"/>
          <w:szCs w:val="33"/>
        </w:rPr>
        <w:t>、国有资本经营预算</w:t>
      </w:r>
      <w:r>
        <w:rPr>
          <w:rFonts w:hint="default" w:ascii="Times New Roman" w:hAnsi="Times New Roman" w:eastAsia="方正黑体_GBK" w:cs="Times New Roman"/>
          <w:spacing w:val="0"/>
          <w:sz w:val="33"/>
          <w:szCs w:val="33"/>
          <w:lang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lang w:eastAsia="zh-CN"/>
        </w:rPr>
        <w:t>十一</w:t>
      </w:r>
      <w:r>
        <w:rPr>
          <w:rFonts w:hint="default" w:ascii="Times New Roman" w:hAnsi="Times New Roman" w:eastAsia="方正黑体_GBK" w:cs="Times New Roman"/>
          <w:spacing w:val="0"/>
          <w:sz w:val="33"/>
          <w:szCs w:val="33"/>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eastAsia="zh-CN"/>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政协攀枝花市西区委员会办公室的机关运行经费财政拨款预算为67.41万元，比2024年预算增加3.51万元，增长5.21%。主要包括：办公费14.80万元、差旅费12万元、公务接待费0.60万元、工会经费5.78万元、福利费4.37万元、其他交通费25.38万元、其他商品和服务支出1.03万元、党建经费1.45万元、邮电费2万元。</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eastAsia="zh-CN"/>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政协攀枝花市西区委员会办公室2025年无政府采购项目，未安排政府采购预算。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b/>
          <w:bCs/>
          <w:spacing w:val="0"/>
          <w:sz w:val="33"/>
          <w:szCs w:val="33"/>
          <w:lang w:val="en-US" w:eastAsia="zh-CN"/>
        </w:rPr>
      </w:pPr>
      <w:r>
        <w:rPr>
          <w:rFonts w:hint="default" w:ascii="Times New Roman" w:hAnsi="Times New Roman" w:eastAsia="方正仿宋_GBK" w:cs="Times New Roman"/>
          <w:spacing w:val="0"/>
          <w:sz w:val="33"/>
          <w:szCs w:val="33"/>
          <w:lang w:val="en-US" w:eastAsia="zh-CN"/>
        </w:rPr>
        <w:t>截至2024年底，政协攀枝花市西区委员会办公室共有车辆0辆，其中，执法执勤用车0辆。单位价值200万元以上大型设备0台（套）。</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楷体_GBK" w:cs="Times New Roman"/>
          <w:b/>
          <w:bCs/>
          <w:spacing w:val="0"/>
          <w:sz w:val="33"/>
          <w:szCs w:val="33"/>
          <w:lang w:eastAsia="zh-CN"/>
        </w:rPr>
      </w:pPr>
      <w:r>
        <w:rPr>
          <w:rFonts w:hint="default" w:ascii="Times New Roman" w:hAnsi="Times New Roman" w:eastAsia="方正楷体_GBK" w:cs="Times New Roman"/>
          <w:b/>
          <w:bCs/>
          <w:spacing w:val="0"/>
          <w:sz w:val="33"/>
          <w:szCs w:val="33"/>
          <w:lang w:eastAsia="zh-CN"/>
        </w:rPr>
        <w:t>（四）预算绩效情况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2025年政协攀枝花市西区委员会办公室开展绩效目标管理的项目2个，涉及预算61万元。其中：人员类项目0个，涉及预算0万元；运转类项目0个，涉及预算0万元；特定目标类项目2个，涉及预算61万元。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黑体_GBK" w:cs="Times New Roman"/>
          <w:spacing w:val="0"/>
          <w:sz w:val="33"/>
          <w:szCs w:val="33"/>
        </w:rPr>
      </w:pPr>
      <w:r>
        <w:rPr>
          <w:rFonts w:hint="default" w:ascii="Times New Roman" w:hAnsi="Times New Roman" w:eastAsia="方正黑体_GBK" w:cs="Times New Roman"/>
          <w:spacing w:val="0"/>
          <w:sz w:val="33"/>
          <w:szCs w:val="33"/>
        </w:rPr>
        <w:t>十</w:t>
      </w:r>
      <w:r>
        <w:rPr>
          <w:rFonts w:hint="default" w:ascii="Times New Roman" w:hAnsi="Times New Roman" w:eastAsia="方正黑体_GBK" w:cs="Times New Roman"/>
          <w:spacing w:val="0"/>
          <w:sz w:val="33"/>
          <w:szCs w:val="33"/>
          <w:lang w:eastAsia="zh-CN"/>
        </w:rPr>
        <w:t>二</w:t>
      </w:r>
      <w:r>
        <w:rPr>
          <w:rFonts w:hint="default" w:ascii="Times New Roman" w:hAnsi="Times New Roman" w:eastAsia="方正黑体_GBK" w:cs="Times New Roman"/>
          <w:spacing w:val="0"/>
          <w:sz w:val="33"/>
          <w:szCs w:val="33"/>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1.一般公共预算拨款收入：</w:t>
      </w:r>
      <w:r>
        <w:rPr>
          <w:rFonts w:hint="default" w:ascii="Times New Roman" w:hAnsi="Times New Roman" w:eastAsia="方正仿宋_GBK" w:cs="Times New Roman"/>
          <w:spacing w:val="0"/>
          <w:sz w:val="33"/>
          <w:szCs w:val="33"/>
          <w:lang w:val="en-US" w:eastAsia="zh-CN"/>
        </w:rPr>
        <w:t>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2.卫生健康支出（类）行政事业单位医疗（款）行政单位医疗（项）：</w:t>
      </w:r>
      <w:r>
        <w:rPr>
          <w:rFonts w:hint="default" w:ascii="Times New Roman" w:hAnsi="Times New Roman" w:eastAsia="方正仿宋_GBK" w:cs="Times New Roman"/>
          <w:spacing w:val="0"/>
          <w:sz w:val="33"/>
          <w:szCs w:val="33"/>
          <w:lang w:val="en-US" w:eastAsia="zh-CN"/>
        </w:rPr>
        <w:t>指区机关及参公管理事业单位用于缴纳单位基本医疗保险支出。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3.基本支出：</w:t>
      </w:r>
      <w:r>
        <w:rPr>
          <w:rFonts w:hint="default" w:ascii="Times New Roman" w:hAnsi="Times New Roman" w:eastAsia="方正仿宋_GBK" w:cs="Times New Roman"/>
          <w:spacing w:val="0"/>
          <w:sz w:val="33"/>
          <w:szCs w:val="33"/>
          <w:lang w:val="en-US" w:eastAsia="zh-CN"/>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4.项目支出：</w:t>
      </w:r>
      <w:r>
        <w:rPr>
          <w:rFonts w:hint="default" w:ascii="Times New Roman" w:hAnsi="Times New Roman" w:eastAsia="方正仿宋_GBK" w:cs="Times New Roman"/>
          <w:spacing w:val="0"/>
          <w:sz w:val="33"/>
          <w:szCs w:val="33"/>
          <w:lang w:val="en-US" w:eastAsia="zh-CN"/>
        </w:rPr>
        <w:t>指在基本支出之外为完成特定的工作任务和事业发展目标所发生的支出。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5.“三公”经费：</w:t>
      </w:r>
      <w:r>
        <w:rPr>
          <w:rFonts w:hint="default" w:ascii="Times New Roman" w:hAnsi="Times New Roman" w:eastAsia="方正仿宋_GBK" w:cs="Times New Roman"/>
          <w:spacing w:val="0"/>
          <w:sz w:val="33"/>
          <w:szCs w:val="33"/>
          <w:lang w:val="en-US" w:eastAsia="zh-CN"/>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ind w:firstLine="662" w:firstLineChars="200"/>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b/>
          <w:bCs/>
          <w:spacing w:val="0"/>
          <w:sz w:val="33"/>
          <w:szCs w:val="33"/>
          <w:lang w:val="en-US" w:eastAsia="zh-CN"/>
        </w:rPr>
        <w:t>6.机关运行经费：</w:t>
      </w:r>
      <w:r>
        <w:rPr>
          <w:rFonts w:hint="default" w:ascii="Times New Roman" w:hAnsi="Times New Roman" w:eastAsia="方正仿宋_GBK" w:cs="Times New Roman"/>
          <w:spacing w:val="0"/>
          <w:sz w:val="33"/>
          <w:szCs w:val="33"/>
          <w:lang w:val="en-US" w:eastAsia="zh-CN"/>
        </w:rPr>
        <w:t>为保障行政单位（包括参照公务员法管理事业单位）运行用于购买货物和服务的各项资金，包括办公及印刷费、邮电费、差旅费、会议费、福利费、日常维护费、专用材料及一般设备购置费、办公用房水电费、办公用房取暖费、办公用房物业管理费、公务用车运行维护以及其他费用。</w:t>
      </w:r>
    </w:p>
    <w:p>
      <w:pPr>
        <w:pStyle w:val="2"/>
        <w:rPr>
          <w:rFonts w:hint="default" w:ascii="Times New Roman" w:hAnsi="Times New Roman" w:eastAsia="方正仿宋_GBK" w:cs="Times New Roman"/>
          <w:spacing w:val="0"/>
          <w:sz w:val="33"/>
          <w:szCs w:val="33"/>
          <w:lang w:val="en-US" w:eastAsia="zh-CN"/>
        </w:rPr>
      </w:pPr>
    </w:p>
    <w:p>
      <w:pPr>
        <w:rPr>
          <w:rFonts w:hint="default" w:ascii="Times New Roman" w:hAnsi="Times New Roman" w:eastAsia="方正仿宋_GBK" w:cs="Times New Roman"/>
          <w:spacing w:val="0"/>
          <w:sz w:val="33"/>
          <w:szCs w:val="33"/>
          <w:lang w:val="en-US" w:eastAsia="zh-CN"/>
        </w:rPr>
      </w:pPr>
    </w:p>
    <w:p>
      <w:pPr>
        <w:pStyle w:val="2"/>
        <w:rPr>
          <w:rFonts w:hint="default" w:ascii="Times New Roman" w:hAnsi="Times New Roman" w:eastAsia="方正仿宋_GBK" w:cs="Times New Roman"/>
          <w:spacing w:val="0"/>
          <w:sz w:val="33"/>
          <w:szCs w:val="33"/>
          <w:lang w:val="en-US" w:eastAsia="zh-CN"/>
        </w:rPr>
      </w:pPr>
    </w:p>
    <w:p>
      <w:pPr>
        <w:rPr>
          <w:rFonts w:hint="default" w:ascii="Times New Roman" w:hAnsi="Times New Roman" w:eastAsia="方正仿宋_GBK" w:cs="Times New Roman"/>
          <w:spacing w:val="0"/>
          <w:sz w:val="33"/>
          <w:szCs w:val="33"/>
          <w:lang w:val="en-US" w:eastAsia="zh-CN"/>
        </w:rPr>
      </w:pPr>
    </w:p>
    <w:p>
      <w:pPr>
        <w:pStyle w:val="2"/>
        <w:rPr>
          <w:rFonts w:hint="default" w:ascii="Times New Roman" w:hAnsi="Times New Roman" w:eastAsia="方正仿宋_GBK" w:cs="Times New Roman"/>
          <w:spacing w:val="0"/>
          <w:sz w:val="33"/>
          <w:szCs w:val="33"/>
          <w:lang w:val="en-US" w:eastAsia="zh-CN"/>
        </w:rPr>
      </w:pPr>
    </w:p>
    <w:p>
      <w:pPr>
        <w:rPr>
          <w:rFonts w:hint="default" w:ascii="Times New Roman" w:hAnsi="Times New Roman" w:eastAsia="方正仿宋_GBK" w:cs="Times New Roman"/>
          <w:spacing w:val="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rPr>
        <w:t>附件：</w:t>
      </w:r>
      <w:r>
        <w:rPr>
          <w:rFonts w:hint="default" w:ascii="Times New Roman" w:hAnsi="Times New Roman" w:eastAsia="方正仿宋_GBK" w:cs="Times New Roman"/>
          <w:spacing w:val="0"/>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rPr>
        <w:t xml:space="preserve">表1.部门收支总表   </w:t>
      </w:r>
      <w:r>
        <w:rPr>
          <w:rFonts w:hint="default" w:ascii="Times New Roman" w:hAnsi="Times New Roman" w:eastAsia="方正仿宋_GBK" w:cs="Times New Roman"/>
          <w:spacing w:val="0"/>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表1-1.部门收入总表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表1-2.部门支出总表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表2.财政拨款收支预算总表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eastAsia="zh-CN"/>
        </w:rPr>
      </w:pPr>
      <w:r>
        <w:rPr>
          <w:rFonts w:hint="default" w:ascii="Times New Roman" w:hAnsi="Times New Roman" w:eastAsia="方正仿宋_GBK" w:cs="Times New Roman"/>
          <w:spacing w:val="0"/>
          <w:sz w:val="33"/>
          <w:szCs w:val="33"/>
          <w:lang w:eastAsia="zh-CN"/>
        </w:rPr>
        <w:t>表</w:t>
      </w:r>
      <w:r>
        <w:rPr>
          <w:rFonts w:hint="default" w:ascii="Times New Roman" w:hAnsi="Times New Roman" w:eastAsia="方正仿宋_GBK" w:cs="Times New Roman"/>
          <w:spacing w:val="0"/>
          <w:sz w:val="33"/>
          <w:szCs w:val="33"/>
          <w:lang w:val="en-US" w:eastAsia="zh-CN"/>
        </w:rPr>
        <w:t>2-1.财政拨款支出预算表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表3.一般公共预算支出预算表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表4.政府性基金支出预算表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表5.国有资本经营预算支出预算表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eastAsia="zh-CN"/>
        </w:rPr>
        <w:t>表</w:t>
      </w:r>
      <w:r>
        <w:rPr>
          <w:rFonts w:hint="default" w:ascii="Times New Roman" w:hAnsi="Times New Roman" w:eastAsia="方正仿宋_GBK" w:cs="Times New Roman"/>
          <w:spacing w:val="0"/>
          <w:sz w:val="33"/>
          <w:szCs w:val="33"/>
          <w:lang w:val="en-US" w:eastAsia="zh-CN"/>
        </w:rPr>
        <w:t>6.部门预算项目绩效目标表</w:t>
      </w:r>
    </w:p>
    <w:p>
      <w:pPr>
        <w:pStyle w:val="2"/>
        <w:ind w:firstLine="660" w:firstLineChars="200"/>
        <w:rPr>
          <w:rFonts w:hint="default" w:ascii="Times New Roman" w:hAnsi="Times New Roman" w:cs="Times New Roman"/>
        </w:rPr>
      </w:pPr>
      <w:r>
        <w:rPr>
          <w:rFonts w:hint="default" w:ascii="Times New Roman" w:hAnsi="Times New Roman" w:eastAsia="方正仿宋_GBK" w:cs="Times New Roman"/>
          <w:spacing w:val="0"/>
          <w:sz w:val="33"/>
          <w:szCs w:val="33"/>
          <w:lang w:val="en-US" w:eastAsia="zh-CN"/>
        </w:rPr>
        <w:t>表7.部门整体支出绩效目标表</w:t>
      </w: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D428D"/>
    <w:rsid w:val="112428AE"/>
    <w:rsid w:val="2A122A37"/>
    <w:rsid w:val="2C306FC5"/>
    <w:rsid w:val="2E0C45F4"/>
    <w:rsid w:val="36974C91"/>
    <w:rsid w:val="3D2E696D"/>
    <w:rsid w:val="3D570BF9"/>
    <w:rsid w:val="41583CC4"/>
    <w:rsid w:val="4497053B"/>
    <w:rsid w:val="463B4047"/>
    <w:rsid w:val="54B64657"/>
    <w:rsid w:val="5DEF04B1"/>
    <w:rsid w:val="667C5974"/>
    <w:rsid w:val="746D428D"/>
    <w:rsid w:val="7DB42008"/>
    <w:rsid w:val="7F88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默认"/>
    <w:basedOn w:val="1"/>
    <w:next w:val="1"/>
    <w:qFormat/>
    <w:uiPriority w:val="0"/>
    <w:pPr>
      <w:widowControl/>
    </w:pPr>
    <w:rPr>
      <w:rFonts w:ascii="Helvetica Neue" w:hAnsi="Helvetica Neue" w:cs="Arial Unicode MS"/>
      <w:color w:val="000000"/>
      <w:sz w:val="2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6271</Words>
  <Characters>7775</Characters>
  <Lines>0</Lines>
  <Paragraphs>0</Paragraphs>
  <TotalTime>11</TotalTime>
  <ScaleCrop>false</ScaleCrop>
  <LinksUpToDate>false</LinksUpToDate>
  <CharactersWithSpaces>7789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2025-03-19T10:53:00Z</dcterms:created>
  <dc:creator>丛丛办公号</dc:creator>
  <cp:lastModifiedBy>user</cp:lastModifiedBy>
  <cp:lastPrinted>2025-03-20T09:18:00Z</cp:lastPrinted>
  <dcterms:modified xsi:type="dcterms:W3CDTF">2025-03-27T16:31:51Z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6AD5875A528B47A5F70CE567BFC129D9</vt:lpwstr>
  </property>
  <property fmtid="{D5CDD505-2E9C-101B-9397-08002B2CF9AE}" pid="4" name="KSOTemplateDocerSaveRecord">
    <vt:lpwstr>eyJoZGlkIjoiNTdkZGIyOTM3YmZlOTk3NmYyNTkyYmQwZjEyNzdjYjUiLCJ1c2VySWQiOiIxMjAxMjE3MDg5In0=</vt:lpwstr>
  </property>
</Properties>
</file>