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DB0E2">
      <w:pPr>
        <w:spacing w:line="600" w:lineRule="exact"/>
        <w:jc w:val="left"/>
        <w:outlineLvl w:val="9"/>
        <w:rPr>
          <w:rFonts w:ascii="方正小标宋简体" w:hAnsi="宋体" w:eastAsia="方正小标宋简体"/>
          <w:szCs w:val="21"/>
        </w:rPr>
      </w:pPr>
      <w:bookmarkStart w:id="0" w:name="_Toc15306267"/>
    </w:p>
    <w:p w14:paraId="012DBFCD">
      <w:pPr>
        <w:spacing w:line="600" w:lineRule="exact"/>
        <w:jc w:val="center"/>
        <w:outlineLvl w:val="9"/>
        <w:rPr>
          <w:rFonts w:ascii="方正小标宋简体" w:hAnsi="宋体" w:eastAsia="方正小标宋简体"/>
          <w:sz w:val="72"/>
          <w:szCs w:val="72"/>
        </w:rPr>
      </w:pPr>
    </w:p>
    <w:p w14:paraId="06414D50">
      <w:pPr>
        <w:spacing w:line="600" w:lineRule="exact"/>
        <w:jc w:val="center"/>
        <w:outlineLvl w:val="9"/>
        <w:rPr>
          <w:rFonts w:ascii="方正小标宋简体" w:hAnsi="宋体" w:eastAsia="方正小标宋简体"/>
          <w:sz w:val="72"/>
          <w:szCs w:val="72"/>
        </w:rPr>
      </w:pPr>
    </w:p>
    <w:p w14:paraId="4896A21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597"/>
      <w:bookmarkStart w:id="3" w:name="_Toc18343"/>
      <w:bookmarkStart w:id="4" w:name="_Toc15396475"/>
      <w:bookmarkStart w:id="5" w:name="_Toc15377193"/>
      <w:bookmarkStart w:id="6"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14:paraId="483AE7E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598"/>
      <w:bookmarkStart w:id="8" w:name="_Toc15396476"/>
      <w:bookmarkStart w:id="9" w:name="_Toc15377194"/>
      <w:bookmarkStart w:id="10" w:name="_Toc15377426"/>
      <w:bookmarkStart w:id="11" w:name="_Toc13954"/>
      <w:bookmarkStart w:id="12" w:name="_Toc15378442"/>
      <w:r>
        <w:rPr>
          <w:rFonts w:hint="eastAsia" w:ascii="方正小标宋简体" w:hAnsi="方正小标宋简体" w:eastAsia="方正小标宋简体" w:cs="方正小标宋简体"/>
          <w:sz w:val="72"/>
          <w:szCs w:val="72"/>
        </w:rPr>
        <w:t>攀枝花市西区</w:t>
      </w:r>
      <w:bookmarkEnd w:id="0"/>
      <w:bookmarkStart w:id="13" w:name="_Toc15306268"/>
      <w:r>
        <w:rPr>
          <w:rFonts w:hint="eastAsia" w:ascii="方正小标宋简体" w:hAnsi="方正小标宋简体" w:eastAsia="方正小标宋简体" w:cs="方正小标宋简体"/>
          <w:sz w:val="72"/>
          <w:szCs w:val="72"/>
        </w:rPr>
        <w:t>交通运输局单位决算</w:t>
      </w:r>
      <w:bookmarkEnd w:id="7"/>
      <w:bookmarkEnd w:id="8"/>
      <w:bookmarkEnd w:id="9"/>
      <w:bookmarkEnd w:id="10"/>
      <w:bookmarkEnd w:id="11"/>
      <w:bookmarkEnd w:id="12"/>
      <w:bookmarkEnd w:id="13"/>
    </w:p>
    <w:p w14:paraId="2D79CC1E">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ACA8122">
      <w:pPr>
        <w:widowControl/>
        <w:jc w:val="center"/>
        <w:rPr>
          <w:rFonts w:ascii="黑体" w:hAnsi="黑体" w:eastAsia="黑体" w:cstheme="minorBidi"/>
          <w:sz w:val="28"/>
          <w:szCs w:val="28"/>
        </w:rPr>
      </w:pPr>
    </w:p>
    <w:p w14:paraId="3DB2836E">
      <w:pPr>
        <w:pStyle w:val="10"/>
      </w:pPr>
      <w:r>
        <w:rPr>
          <w:rFonts w:hint="eastAsia"/>
        </w:rPr>
        <w:t>公开时间：2023年10月31日（注：以实际公开当天时间为准）</w:t>
      </w:r>
    </w:p>
    <w:sdt>
      <w:sdtPr>
        <w:rPr>
          <w:rFonts w:ascii="宋体" w:hAnsi="宋体" w:eastAsia="宋体" w:cs="Times New Roman"/>
          <w:kern w:val="2"/>
          <w:sz w:val="21"/>
          <w:szCs w:val="24"/>
          <w:lang w:val="en-US" w:eastAsia="zh-CN" w:bidi="ar-SA"/>
        </w:rPr>
        <w:id w:val="147470758"/>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6B7EAE3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9552CC6">
          <w:pPr>
            <w:pStyle w:val="30"/>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_Toc18343 </w:instrText>
          </w:r>
          <w:r>
            <w:rPr>
              <w:b/>
            </w:rPr>
            <w:fldChar w:fldCharType="separate"/>
          </w:r>
          <w:r>
            <w:rPr>
              <w:rFonts w:hint="eastAsia" w:ascii="方正小标宋简体" w:hAnsi="方正小标宋简体" w:eastAsia="方正小标宋简体" w:cs="方正小标宋简体"/>
              <w:b/>
              <w:szCs w:val="72"/>
            </w:rPr>
            <w:t>2022年度</w:t>
          </w:r>
          <w:r>
            <w:rPr>
              <w:b/>
            </w:rPr>
            <w:tab/>
          </w:r>
          <w:r>
            <w:rPr>
              <w:b/>
            </w:rPr>
            <w:fldChar w:fldCharType="begin"/>
          </w:r>
          <w:r>
            <w:rPr>
              <w:b/>
            </w:rPr>
            <w:instrText xml:space="preserve"> PAGEREF _Toc18343 \h </w:instrText>
          </w:r>
          <w:r>
            <w:rPr>
              <w:b/>
            </w:rPr>
            <w:fldChar w:fldCharType="separate"/>
          </w:r>
          <w:r>
            <w:rPr>
              <w:b/>
            </w:rPr>
            <w:t>1</w:t>
          </w:r>
          <w:r>
            <w:rPr>
              <w:b/>
            </w:rPr>
            <w:fldChar w:fldCharType="end"/>
          </w:r>
          <w:r>
            <w:rPr>
              <w:b/>
            </w:rPr>
            <w:fldChar w:fldCharType="end"/>
          </w:r>
        </w:p>
        <w:p w14:paraId="684C5A22">
          <w:pPr>
            <w:pStyle w:val="30"/>
            <w:tabs>
              <w:tab w:val="right" w:leader="dot" w:pos="8306"/>
            </w:tabs>
            <w:rPr>
              <w:b/>
            </w:rPr>
          </w:pPr>
          <w:r>
            <w:rPr>
              <w:b/>
            </w:rPr>
            <w:fldChar w:fldCharType="begin"/>
          </w:r>
          <w:r>
            <w:rPr>
              <w:b/>
            </w:rPr>
            <w:instrText xml:space="preserve"> HYPERLINK \l _Toc13954 </w:instrText>
          </w:r>
          <w:r>
            <w:rPr>
              <w:b/>
            </w:rPr>
            <w:fldChar w:fldCharType="separate"/>
          </w:r>
          <w:r>
            <w:rPr>
              <w:rFonts w:hint="eastAsia" w:ascii="方正小标宋简体" w:hAnsi="方正小标宋简体" w:eastAsia="方正小标宋简体" w:cs="方正小标宋简体"/>
              <w:b/>
              <w:szCs w:val="72"/>
            </w:rPr>
            <w:t>攀枝花市西区交通运输局单位决算</w:t>
          </w:r>
          <w:r>
            <w:rPr>
              <w:b/>
            </w:rPr>
            <w:tab/>
          </w:r>
          <w:r>
            <w:rPr>
              <w:b/>
            </w:rPr>
            <w:fldChar w:fldCharType="begin"/>
          </w:r>
          <w:r>
            <w:rPr>
              <w:b/>
            </w:rPr>
            <w:instrText xml:space="preserve"> PAGEREF _Toc13954 \h </w:instrText>
          </w:r>
          <w:r>
            <w:rPr>
              <w:b/>
            </w:rPr>
            <w:fldChar w:fldCharType="separate"/>
          </w:r>
          <w:r>
            <w:rPr>
              <w:b/>
            </w:rPr>
            <w:t>1</w:t>
          </w:r>
          <w:r>
            <w:rPr>
              <w:b/>
            </w:rPr>
            <w:fldChar w:fldCharType="end"/>
          </w:r>
          <w:r>
            <w:rPr>
              <w:b/>
            </w:rPr>
            <w:fldChar w:fldCharType="end"/>
          </w:r>
        </w:p>
        <w:p w14:paraId="118F2A73">
          <w:pPr>
            <w:pStyle w:val="30"/>
            <w:tabs>
              <w:tab w:val="right" w:leader="dot" w:pos="8306"/>
            </w:tabs>
            <w:rPr>
              <w:b/>
            </w:rPr>
          </w:pPr>
          <w:r>
            <w:rPr>
              <w:b/>
            </w:rPr>
            <w:fldChar w:fldCharType="begin"/>
          </w:r>
          <w:r>
            <w:rPr>
              <w:b/>
            </w:rPr>
            <w:instrText xml:space="preserve"> HYPERLINK \l _Toc10287 </w:instrText>
          </w:r>
          <w:r>
            <w:rPr>
              <w:b/>
            </w:rPr>
            <w:fldChar w:fldCharType="separate"/>
          </w:r>
          <w:r>
            <w:rPr>
              <w:rFonts w:hint="eastAsia"/>
              <w:b/>
            </w:rPr>
            <w:t>一、主要职责</w:t>
          </w:r>
          <w:r>
            <w:rPr>
              <w:b/>
            </w:rPr>
            <w:tab/>
          </w:r>
          <w:r>
            <w:rPr>
              <w:b/>
            </w:rPr>
            <w:fldChar w:fldCharType="begin"/>
          </w:r>
          <w:r>
            <w:rPr>
              <w:b/>
            </w:rPr>
            <w:instrText xml:space="preserve"> PAGEREF _Toc10287 \h </w:instrText>
          </w:r>
          <w:r>
            <w:rPr>
              <w:b/>
            </w:rPr>
            <w:fldChar w:fldCharType="separate"/>
          </w:r>
          <w:r>
            <w:rPr>
              <w:b/>
            </w:rPr>
            <w:t>3</w:t>
          </w:r>
          <w:r>
            <w:rPr>
              <w:b/>
            </w:rPr>
            <w:fldChar w:fldCharType="end"/>
          </w:r>
          <w:r>
            <w:rPr>
              <w:b/>
            </w:rPr>
            <w:fldChar w:fldCharType="end"/>
          </w:r>
        </w:p>
        <w:p w14:paraId="5C4CE33A">
          <w:pPr>
            <w:pStyle w:val="30"/>
            <w:tabs>
              <w:tab w:val="right" w:leader="dot" w:pos="8306"/>
            </w:tabs>
            <w:rPr>
              <w:b/>
            </w:rPr>
          </w:pPr>
          <w:r>
            <w:rPr>
              <w:b/>
            </w:rPr>
            <w:fldChar w:fldCharType="begin"/>
          </w:r>
          <w:r>
            <w:rPr>
              <w:b/>
            </w:rPr>
            <w:instrText xml:space="preserve"> HYPERLINK \l _Toc28257 </w:instrText>
          </w:r>
          <w:r>
            <w:rPr>
              <w:b/>
            </w:rPr>
            <w:fldChar w:fldCharType="separate"/>
          </w:r>
          <w:r>
            <w:rPr>
              <w:rFonts w:hint="eastAsia"/>
              <w:b/>
            </w:rPr>
            <w:t>二、机构设置</w:t>
          </w:r>
          <w:r>
            <w:rPr>
              <w:b/>
            </w:rPr>
            <w:tab/>
          </w:r>
          <w:r>
            <w:rPr>
              <w:b/>
            </w:rPr>
            <w:fldChar w:fldCharType="begin"/>
          </w:r>
          <w:r>
            <w:rPr>
              <w:b/>
            </w:rPr>
            <w:instrText xml:space="preserve"> PAGEREF _Toc28257 \h </w:instrText>
          </w:r>
          <w:r>
            <w:rPr>
              <w:b/>
            </w:rPr>
            <w:fldChar w:fldCharType="separate"/>
          </w:r>
          <w:r>
            <w:rPr>
              <w:b/>
            </w:rPr>
            <w:t>3</w:t>
          </w:r>
          <w:r>
            <w:rPr>
              <w:b/>
            </w:rPr>
            <w:fldChar w:fldCharType="end"/>
          </w:r>
          <w:r>
            <w:rPr>
              <w:b/>
            </w:rPr>
            <w:fldChar w:fldCharType="end"/>
          </w:r>
        </w:p>
        <w:p w14:paraId="3C204665">
          <w:pPr>
            <w:pStyle w:val="30"/>
            <w:tabs>
              <w:tab w:val="right" w:leader="dot" w:pos="8306"/>
            </w:tabs>
            <w:rPr>
              <w:b/>
            </w:rPr>
          </w:pPr>
          <w:r>
            <w:rPr>
              <w:b/>
            </w:rPr>
            <w:fldChar w:fldCharType="begin"/>
          </w:r>
          <w:r>
            <w:rPr>
              <w:b/>
            </w:rPr>
            <w:instrText xml:space="preserve"> HYPERLINK \l _Toc2124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_Toc2124 \h </w:instrText>
          </w:r>
          <w:r>
            <w:rPr>
              <w:b/>
            </w:rPr>
            <w:fldChar w:fldCharType="separate"/>
          </w:r>
          <w:r>
            <w:rPr>
              <w:b/>
            </w:rPr>
            <w:t>5</w:t>
          </w:r>
          <w:r>
            <w:rPr>
              <w:b/>
            </w:rPr>
            <w:fldChar w:fldCharType="end"/>
          </w:r>
          <w:r>
            <w:rPr>
              <w:b/>
            </w:rPr>
            <w:fldChar w:fldCharType="end"/>
          </w:r>
        </w:p>
        <w:p w14:paraId="5C3A2E76">
          <w:pPr>
            <w:pStyle w:val="31"/>
            <w:tabs>
              <w:tab w:val="right" w:leader="dot" w:pos="8306"/>
            </w:tabs>
          </w:pPr>
          <w:r>
            <w:fldChar w:fldCharType="begin"/>
          </w:r>
          <w:r>
            <w:instrText xml:space="preserve"> HYPERLINK \l _Toc31348 </w:instrText>
          </w:r>
          <w:r>
            <w:fldChar w:fldCharType="separate"/>
          </w:r>
          <w:r>
            <w:rPr>
              <w:rFonts w:hint="eastAsia" w:ascii="黑体" w:hAnsi="黑体" w:eastAsia="黑体"/>
              <w:bCs w:val="0"/>
              <w:lang w:val="en-US"/>
            </w:rPr>
            <w:t xml:space="preserve">一、 </w:t>
          </w:r>
          <w:r>
            <w:rPr>
              <w:rFonts w:hint="eastAsia" w:ascii="黑体" w:hAnsi="黑体" w:eastAsia="黑体"/>
              <w:bCs w:val="0"/>
            </w:rPr>
            <w:t>主要职责</w:t>
          </w:r>
          <w:r>
            <w:tab/>
          </w:r>
          <w:r>
            <w:fldChar w:fldCharType="begin"/>
          </w:r>
          <w:r>
            <w:instrText xml:space="preserve"> PAGEREF _Toc31348 \h </w:instrText>
          </w:r>
          <w:r>
            <w:fldChar w:fldCharType="separate"/>
          </w:r>
          <w:r>
            <w:t>5</w:t>
          </w:r>
          <w:r>
            <w:fldChar w:fldCharType="end"/>
          </w:r>
          <w:r>
            <w:fldChar w:fldCharType="end"/>
          </w:r>
        </w:p>
        <w:p w14:paraId="308FBE61">
          <w:pPr>
            <w:pStyle w:val="31"/>
            <w:tabs>
              <w:tab w:val="right" w:leader="dot" w:pos="8306"/>
            </w:tabs>
          </w:pPr>
          <w:r>
            <w:fldChar w:fldCharType="begin"/>
          </w:r>
          <w:r>
            <w:instrText xml:space="preserve"> HYPERLINK \l _Toc5107 </w:instrText>
          </w:r>
          <w:r>
            <w:fldChar w:fldCharType="separate"/>
          </w:r>
          <w:r>
            <w:rPr>
              <w:rFonts w:hint="eastAsia" w:ascii="黑体" w:hAnsi="黑体" w:eastAsia="黑体"/>
            </w:rPr>
            <w:t>二、机构设置</w:t>
          </w:r>
          <w:r>
            <w:tab/>
          </w:r>
          <w:r>
            <w:fldChar w:fldCharType="begin"/>
          </w:r>
          <w:r>
            <w:instrText xml:space="preserve"> PAGEREF _Toc5107 \h </w:instrText>
          </w:r>
          <w:r>
            <w:fldChar w:fldCharType="separate"/>
          </w:r>
          <w:r>
            <w:t>8</w:t>
          </w:r>
          <w:r>
            <w:fldChar w:fldCharType="end"/>
          </w:r>
          <w:r>
            <w:fldChar w:fldCharType="end"/>
          </w:r>
        </w:p>
        <w:p w14:paraId="0C79C2D7">
          <w:pPr>
            <w:pStyle w:val="30"/>
            <w:tabs>
              <w:tab w:val="right" w:leader="dot" w:pos="8306"/>
            </w:tabs>
            <w:rPr>
              <w:b/>
            </w:rPr>
          </w:pPr>
          <w:r>
            <w:rPr>
              <w:b/>
            </w:rPr>
            <w:fldChar w:fldCharType="begin"/>
          </w:r>
          <w:r>
            <w:rPr>
              <w:b/>
            </w:rPr>
            <w:instrText xml:space="preserve"> HYPERLINK \l _Toc10368 </w:instrText>
          </w:r>
          <w:r>
            <w:rPr>
              <w:b/>
            </w:rPr>
            <w:fldChar w:fldCharType="separate"/>
          </w:r>
          <w:r>
            <w:rPr>
              <w:rFonts w:hint="eastAsia" w:ascii="黑体" w:hAnsi="黑体" w:eastAsia="黑体"/>
              <w:b/>
            </w:rPr>
            <w:t>第二部分 2022年度</w:t>
          </w:r>
          <w:r>
            <w:rPr>
              <w:rFonts w:hint="eastAsia" w:ascii="黑体" w:hAnsi="黑体" w:eastAsia="黑体"/>
              <w:b/>
              <w:bCs/>
            </w:rPr>
            <w:t>单位决算情况说明</w:t>
          </w:r>
          <w:r>
            <w:rPr>
              <w:b/>
            </w:rPr>
            <w:tab/>
          </w:r>
          <w:r>
            <w:rPr>
              <w:b/>
            </w:rPr>
            <w:fldChar w:fldCharType="begin"/>
          </w:r>
          <w:r>
            <w:rPr>
              <w:b/>
            </w:rPr>
            <w:instrText xml:space="preserve"> PAGEREF _Toc10368 \h </w:instrText>
          </w:r>
          <w:r>
            <w:rPr>
              <w:b/>
            </w:rPr>
            <w:fldChar w:fldCharType="separate"/>
          </w:r>
          <w:r>
            <w:rPr>
              <w:b/>
            </w:rPr>
            <w:t>9</w:t>
          </w:r>
          <w:r>
            <w:rPr>
              <w:b/>
            </w:rPr>
            <w:fldChar w:fldCharType="end"/>
          </w:r>
          <w:r>
            <w:rPr>
              <w:b/>
            </w:rPr>
            <w:fldChar w:fldCharType="end"/>
          </w:r>
        </w:p>
        <w:p w14:paraId="02F24D30">
          <w:pPr>
            <w:pStyle w:val="31"/>
            <w:tabs>
              <w:tab w:val="right" w:leader="dot" w:pos="8306"/>
            </w:tabs>
          </w:pPr>
          <w:r>
            <w:fldChar w:fldCharType="begin"/>
          </w:r>
          <w:r>
            <w:instrText xml:space="preserve"> HYPERLINK \l _Toc29932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_Toc29932 \h </w:instrText>
          </w:r>
          <w:r>
            <w:fldChar w:fldCharType="separate"/>
          </w:r>
          <w:r>
            <w:t>9</w:t>
          </w:r>
          <w:r>
            <w:fldChar w:fldCharType="end"/>
          </w:r>
          <w:r>
            <w:fldChar w:fldCharType="end"/>
          </w:r>
        </w:p>
        <w:p w14:paraId="63C552A4">
          <w:pPr>
            <w:pStyle w:val="31"/>
            <w:tabs>
              <w:tab w:val="right" w:leader="dot" w:pos="8306"/>
            </w:tabs>
          </w:pPr>
          <w:r>
            <w:fldChar w:fldCharType="begin"/>
          </w:r>
          <w:r>
            <w:instrText xml:space="preserve"> HYPERLINK \l _Toc10719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_Toc10719 \h </w:instrText>
          </w:r>
          <w:r>
            <w:fldChar w:fldCharType="separate"/>
          </w:r>
          <w:r>
            <w:t>9</w:t>
          </w:r>
          <w:r>
            <w:fldChar w:fldCharType="end"/>
          </w:r>
          <w:r>
            <w:fldChar w:fldCharType="end"/>
          </w:r>
        </w:p>
        <w:p w14:paraId="5CC23BA3">
          <w:pPr>
            <w:pStyle w:val="31"/>
            <w:tabs>
              <w:tab w:val="right" w:leader="dot" w:pos="8306"/>
            </w:tabs>
          </w:pPr>
          <w:r>
            <w:fldChar w:fldCharType="begin"/>
          </w:r>
          <w:r>
            <w:instrText xml:space="preserve"> HYPERLINK \l _Toc31551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_Toc31551 \h </w:instrText>
          </w:r>
          <w:r>
            <w:fldChar w:fldCharType="separate"/>
          </w:r>
          <w:r>
            <w:t>10</w:t>
          </w:r>
          <w:r>
            <w:fldChar w:fldCharType="end"/>
          </w:r>
          <w:r>
            <w:fldChar w:fldCharType="end"/>
          </w:r>
        </w:p>
        <w:p w14:paraId="352D949A">
          <w:pPr>
            <w:pStyle w:val="31"/>
            <w:tabs>
              <w:tab w:val="right" w:leader="dot" w:pos="8306"/>
            </w:tabs>
          </w:pPr>
          <w:r>
            <w:fldChar w:fldCharType="begin"/>
          </w:r>
          <w:r>
            <w:instrText xml:space="preserve"> HYPERLINK \l _Toc25438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_Toc25438 \h </w:instrText>
          </w:r>
          <w:r>
            <w:fldChar w:fldCharType="separate"/>
          </w:r>
          <w:r>
            <w:t>10</w:t>
          </w:r>
          <w:r>
            <w:fldChar w:fldCharType="end"/>
          </w:r>
          <w:r>
            <w:fldChar w:fldCharType="end"/>
          </w:r>
        </w:p>
        <w:p w14:paraId="7AC8054D">
          <w:pPr>
            <w:pStyle w:val="31"/>
            <w:tabs>
              <w:tab w:val="right" w:leader="dot" w:pos="8306"/>
            </w:tabs>
          </w:pPr>
          <w:r>
            <w:fldChar w:fldCharType="begin"/>
          </w:r>
          <w:r>
            <w:instrText xml:space="preserve"> HYPERLINK \l _Toc26446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_Toc26446 \h </w:instrText>
          </w:r>
          <w:r>
            <w:fldChar w:fldCharType="separate"/>
          </w:r>
          <w:r>
            <w:t>11</w:t>
          </w:r>
          <w:r>
            <w:fldChar w:fldCharType="end"/>
          </w:r>
          <w:r>
            <w:fldChar w:fldCharType="end"/>
          </w:r>
        </w:p>
        <w:p w14:paraId="113666C2">
          <w:pPr>
            <w:pStyle w:val="31"/>
            <w:tabs>
              <w:tab w:val="right" w:leader="dot" w:pos="8306"/>
            </w:tabs>
          </w:pPr>
          <w:r>
            <w:fldChar w:fldCharType="begin"/>
          </w:r>
          <w:r>
            <w:instrText xml:space="preserve"> HYPERLINK \l _Toc2218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_Toc2218 \h </w:instrText>
          </w:r>
          <w:r>
            <w:fldChar w:fldCharType="separate"/>
          </w:r>
          <w:r>
            <w:t>14</w:t>
          </w:r>
          <w:r>
            <w:fldChar w:fldCharType="end"/>
          </w:r>
          <w:r>
            <w:fldChar w:fldCharType="end"/>
          </w:r>
        </w:p>
        <w:p w14:paraId="795CF63E">
          <w:pPr>
            <w:pStyle w:val="31"/>
            <w:tabs>
              <w:tab w:val="right" w:leader="dot" w:pos="8306"/>
            </w:tabs>
          </w:pPr>
          <w:r>
            <w:fldChar w:fldCharType="begin"/>
          </w:r>
          <w:r>
            <w:instrText xml:space="preserve"> HYPERLINK \l _Toc14399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_Toc14399 \h </w:instrText>
          </w:r>
          <w:r>
            <w:fldChar w:fldCharType="separate"/>
          </w:r>
          <w:r>
            <w:t>15</w:t>
          </w:r>
          <w:r>
            <w:fldChar w:fldCharType="end"/>
          </w:r>
          <w:r>
            <w:fldChar w:fldCharType="end"/>
          </w:r>
        </w:p>
        <w:p w14:paraId="48999CD2">
          <w:pPr>
            <w:pStyle w:val="31"/>
            <w:tabs>
              <w:tab w:val="right" w:leader="dot" w:pos="8306"/>
            </w:tabs>
          </w:pPr>
          <w:r>
            <w:fldChar w:fldCharType="begin"/>
          </w:r>
          <w:r>
            <w:instrText xml:space="preserve"> HYPERLINK \l _Toc23796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_Toc23796 \h </w:instrText>
          </w:r>
          <w:r>
            <w:fldChar w:fldCharType="separate"/>
          </w:r>
          <w:r>
            <w:t>17</w:t>
          </w:r>
          <w:r>
            <w:fldChar w:fldCharType="end"/>
          </w:r>
          <w:r>
            <w:fldChar w:fldCharType="end"/>
          </w:r>
        </w:p>
        <w:p w14:paraId="42ECF96D">
          <w:pPr>
            <w:pStyle w:val="31"/>
            <w:tabs>
              <w:tab w:val="right" w:leader="dot" w:pos="8306"/>
            </w:tabs>
          </w:pPr>
          <w:r>
            <w:fldChar w:fldCharType="begin"/>
          </w:r>
          <w:r>
            <w:instrText xml:space="preserve"> HYPERLINK \l _Toc18726 </w:instrText>
          </w:r>
          <w:r>
            <w:fldChar w:fldCharType="separate"/>
          </w:r>
          <w:r>
            <w:rPr>
              <w:rFonts w:hint="eastAsia" w:ascii="黑体" w:hAnsi="黑体" w:eastAsia="黑体"/>
            </w:rPr>
            <w:t>九、 国有资本经营预算支出决算情况说明</w:t>
          </w:r>
          <w:r>
            <w:tab/>
          </w:r>
          <w:r>
            <w:fldChar w:fldCharType="begin"/>
          </w:r>
          <w:r>
            <w:instrText xml:space="preserve"> PAGEREF _Toc18726 \h </w:instrText>
          </w:r>
          <w:r>
            <w:fldChar w:fldCharType="separate"/>
          </w:r>
          <w:r>
            <w:t>17</w:t>
          </w:r>
          <w:r>
            <w:fldChar w:fldCharType="end"/>
          </w:r>
          <w:r>
            <w:fldChar w:fldCharType="end"/>
          </w:r>
        </w:p>
        <w:p w14:paraId="70BCC0FC">
          <w:pPr>
            <w:pStyle w:val="31"/>
            <w:tabs>
              <w:tab w:val="right" w:leader="dot" w:pos="8306"/>
            </w:tabs>
          </w:pPr>
          <w:r>
            <w:fldChar w:fldCharType="begin"/>
          </w:r>
          <w:r>
            <w:instrText xml:space="preserve"> HYPERLINK \l _Toc22416 </w:instrText>
          </w:r>
          <w:r>
            <w:fldChar w:fldCharType="separate"/>
          </w:r>
          <w:r>
            <w:rPr>
              <w:rFonts w:hint="eastAsia" w:ascii="黑体" w:hAnsi="黑体" w:eastAsia="黑体"/>
            </w:rPr>
            <w:t>十、 其他重要事项的情况说明</w:t>
          </w:r>
          <w:r>
            <w:tab/>
          </w:r>
          <w:r>
            <w:fldChar w:fldCharType="begin"/>
          </w:r>
          <w:r>
            <w:instrText xml:space="preserve"> PAGEREF _Toc22416 \h </w:instrText>
          </w:r>
          <w:r>
            <w:fldChar w:fldCharType="separate"/>
          </w:r>
          <w:r>
            <w:t>17</w:t>
          </w:r>
          <w:r>
            <w:fldChar w:fldCharType="end"/>
          </w:r>
          <w:r>
            <w:fldChar w:fldCharType="end"/>
          </w:r>
        </w:p>
        <w:p w14:paraId="0E2753BE">
          <w:pPr>
            <w:pStyle w:val="30"/>
            <w:tabs>
              <w:tab w:val="right" w:leader="dot" w:pos="8306"/>
            </w:tabs>
            <w:rPr>
              <w:b/>
            </w:rPr>
          </w:pPr>
          <w:r>
            <w:rPr>
              <w:b/>
            </w:rPr>
            <w:fldChar w:fldCharType="begin"/>
          </w:r>
          <w:r>
            <w:rPr>
              <w:b/>
            </w:rPr>
            <w:instrText xml:space="preserve"> HYPERLINK \l _Toc19840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_Toc19840 \h </w:instrText>
          </w:r>
          <w:r>
            <w:rPr>
              <w:b/>
            </w:rPr>
            <w:fldChar w:fldCharType="separate"/>
          </w:r>
          <w:r>
            <w:rPr>
              <w:b/>
            </w:rPr>
            <w:t>19</w:t>
          </w:r>
          <w:r>
            <w:rPr>
              <w:b/>
            </w:rPr>
            <w:fldChar w:fldCharType="end"/>
          </w:r>
          <w:r>
            <w:rPr>
              <w:b/>
            </w:rPr>
            <w:fldChar w:fldCharType="end"/>
          </w:r>
        </w:p>
        <w:p w14:paraId="30E92547">
          <w:pPr>
            <w:pStyle w:val="30"/>
            <w:tabs>
              <w:tab w:val="right" w:leader="dot" w:pos="8306"/>
            </w:tabs>
            <w:rPr>
              <w:b/>
            </w:rPr>
          </w:pPr>
          <w:r>
            <w:rPr>
              <w:b/>
            </w:rPr>
            <w:fldChar w:fldCharType="begin"/>
          </w:r>
          <w:r>
            <w:rPr>
              <w:b/>
            </w:rPr>
            <w:instrText xml:space="preserve"> HYPERLINK \l _Toc31127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_Toc31127 \h </w:instrText>
          </w:r>
          <w:r>
            <w:rPr>
              <w:b/>
            </w:rPr>
            <w:fldChar w:fldCharType="separate"/>
          </w:r>
          <w:r>
            <w:rPr>
              <w:b/>
            </w:rPr>
            <w:t>23</w:t>
          </w:r>
          <w:r>
            <w:rPr>
              <w:b/>
            </w:rPr>
            <w:fldChar w:fldCharType="end"/>
          </w:r>
          <w:r>
            <w:rPr>
              <w:b/>
            </w:rPr>
            <w:fldChar w:fldCharType="end"/>
          </w:r>
        </w:p>
        <w:p w14:paraId="591EA94B">
          <w:pPr>
            <w:pStyle w:val="30"/>
            <w:tabs>
              <w:tab w:val="right" w:leader="dot" w:pos="8306"/>
            </w:tabs>
            <w:rPr>
              <w:b/>
            </w:rPr>
          </w:pPr>
          <w:r>
            <w:rPr>
              <w:b/>
            </w:rPr>
            <w:fldChar w:fldCharType="begin"/>
          </w:r>
          <w:r>
            <w:rPr>
              <w:b/>
            </w:rPr>
            <w:instrText xml:space="preserve"> HYPERLINK \l _Toc24509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_Toc24509 \h </w:instrText>
          </w:r>
          <w:r>
            <w:rPr>
              <w:b/>
            </w:rPr>
            <w:fldChar w:fldCharType="separate"/>
          </w:r>
          <w:r>
            <w:rPr>
              <w:b/>
            </w:rPr>
            <w:t>24</w:t>
          </w:r>
          <w:r>
            <w:rPr>
              <w:b/>
            </w:rPr>
            <w:fldChar w:fldCharType="end"/>
          </w:r>
          <w:r>
            <w:rPr>
              <w:b/>
            </w:rPr>
            <w:fldChar w:fldCharType="end"/>
          </w:r>
        </w:p>
        <w:p w14:paraId="4D6384E8">
          <w:pPr>
            <w:pStyle w:val="31"/>
            <w:tabs>
              <w:tab w:val="right" w:leader="dot" w:pos="8306"/>
            </w:tabs>
          </w:pPr>
          <w:r>
            <w:fldChar w:fldCharType="begin"/>
          </w:r>
          <w:r>
            <w:instrText xml:space="preserve"> HYPERLINK \l _Toc22511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_Toc22511 \h </w:instrText>
          </w:r>
          <w:r>
            <w:fldChar w:fldCharType="separate"/>
          </w:r>
          <w:r>
            <w:t>24</w:t>
          </w:r>
          <w:r>
            <w:fldChar w:fldCharType="end"/>
          </w:r>
          <w:r>
            <w:fldChar w:fldCharType="end"/>
          </w:r>
        </w:p>
        <w:p w14:paraId="77694061">
          <w:pPr>
            <w:pStyle w:val="31"/>
            <w:tabs>
              <w:tab w:val="right" w:leader="dot" w:pos="8306"/>
            </w:tabs>
          </w:pPr>
          <w:r>
            <w:fldChar w:fldCharType="begin"/>
          </w:r>
          <w:r>
            <w:instrText xml:space="preserve"> HYPERLINK \l _Toc6746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_Toc6746 \h </w:instrText>
          </w:r>
          <w:r>
            <w:fldChar w:fldCharType="separate"/>
          </w:r>
          <w:r>
            <w:t>24</w:t>
          </w:r>
          <w:r>
            <w:fldChar w:fldCharType="end"/>
          </w:r>
          <w:r>
            <w:fldChar w:fldCharType="end"/>
          </w:r>
        </w:p>
        <w:p w14:paraId="53512B17">
          <w:pPr>
            <w:pStyle w:val="31"/>
            <w:tabs>
              <w:tab w:val="right" w:leader="dot" w:pos="8306"/>
            </w:tabs>
          </w:pPr>
          <w:r>
            <w:fldChar w:fldCharType="begin"/>
          </w:r>
          <w:r>
            <w:instrText xml:space="preserve"> HYPERLINK \l _Toc23044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_Toc23044 \h </w:instrText>
          </w:r>
          <w:r>
            <w:fldChar w:fldCharType="separate"/>
          </w:r>
          <w:r>
            <w:t>24</w:t>
          </w:r>
          <w:r>
            <w:fldChar w:fldCharType="end"/>
          </w:r>
          <w:r>
            <w:fldChar w:fldCharType="end"/>
          </w:r>
        </w:p>
        <w:p w14:paraId="580B4258">
          <w:pPr>
            <w:pStyle w:val="31"/>
            <w:tabs>
              <w:tab w:val="right" w:leader="dot" w:pos="8306"/>
            </w:tabs>
          </w:pPr>
          <w:r>
            <w:fldChar w:fldCharType="begin"/>
          </w:r>
          <w:r>
            <w:instrText xml:space="preserve"> HYPERLINK \l _Toc11889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_Toc11889 \h </w:instrText>
          </w:r>
          <w:r>
            <w:fldChar w:fldCharType="separate"/>
          </w:r>
          <w:r>
            <w:t>24</w:t>
          </w:r>
          <w:r>
            <w:fldChar w:fldCharType="end"/>
          </w:r>
          <w:r>
            <w:fldChar w:fldCharType="end"/>
          </w:r>
        </w:p>
        <w:p w14:paraId="188668DC">
          <w:pPr>
            <w:pStyle w:val="31"/>
            <w:tabs>
              <w:tab w:val="right" w:leader="dot" w:pos="8306"/>
            </w:tabs>
          </w:pPr>
          <w:r>
            <w:fldChar w:fldCharType="begin"/>
          </w:r>
          <w:r>
            <w:instrText xml:space="preserve"> HYPERLINK \l _Toc15963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_Toc15963 \h </w:instrText>
          </w:r>
          <w:r>
            <w:fldChar w:fldCharType="separate"/>
          </w:r>
          <w:r>
            <w:t>24</w:t>
          </w:r>
          <w:r>
            <w:fldChar w:fldCharType="end"/>
          </w:r>
          <w:r>
            <w:fldChar w:fldCharType="end"/>
          </w:r>
        </w:p>
        <w:p w14:paraId="3CDCF8C3">
          <w:pPr>
            <w:pStyle w:val="31"/>
            <w:tabs>
              <w:tab w:val="right" w:leader="dot" w:pos="8306"/>
            </w:tabs>
          </w:pPr>
          <w:r>
            <w:fldChar w:fldCharType="begin"/>
          </w:r>
          <w:r>
            <w:instrText xml:space="preserve"> HYPERLINK \l _Toc20673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_Toc20673 \h </w:instrText>
          </w:r>
          <w:r>
            <w:fldChar w:fldCharType="separate"/>
          </w:r>
          <w:r>
            <w:t>24</w:t>
          </w:r>
          <w:r>
            <w:fldChar w:fldCharType="end"/>
          </w:r>
          <w:r>
            <w:fldChar w:fldCharType="end"/>
          </w:r>
        </w:p>
        <w:p w14:paraId="51537C43">
          <w:pPr>
            <w:pStyle w:val="31"/>
            <w:tabs>
              <w:tab w:val="right" w:leader="dot" w:pos="8306"/>
            </w:tabs>
          </w:pPr>
          <w:r>
            <w:fldChar w:fldCharType="begin"/>
          </w:r>
          <w:r>
            <w:instrText xml:space="preserve"> HYPERLINK \l _Toc22034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_Toc22034 \h </w:instrText>
          </w:r>
          <w:r>
            <w:fldChar w:fldCharType="separate"/>
          </w:r>
          <w:r>
            <w:t>24</w:t>
          </w:r>
          <w:r>
            <w:fldChar w:fldCharType="end"/>
          </w:r>
          <w:r>
            <w:fldChar w:fldCharType="end"/>
          </w:r>
        </w:p>
        <w:p w14:paraId="16347CD9">
          <w:pPr>
            <w:pStyle w:val="31"/>
            <w:tabs>
              <w:tab w:val="right" w:leader="dot" w:pos="8306"/>
            </w:tabs>
          </w:pPr>
          <w:r>
            <w:fldChar w:fldCharType="begin"/>
          </w:r>
          <w:r>
            <w:instrText xml:space="preserve"> HYPERLINK \l _Toc18371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_Toc18371 \h </w:instrText>
          </w:r>
          <w:r>
            <w:fldChar w:fldCharType="separate"/>
          </w:r>
          <w:r>
            <w:t>24</w:t>
          </w:r>
          <w:r>
            <w:fldChar w:fldCharType="end"/>
          </w:r>
          <w:r>
            <w:fldChar w:fldCharType="end"/>
          </w:r>
        </w:p>
        <w:p w14:paraId="73FF9265">
          <w:pPr>
            <w:pStyle w:val="31"/>
            <w:tabs>
              <w:tab w:val="right" w:leader="dot" w:pos="8306"/>
            </w:tabs>
          </w:pPr>
          <w:r>
            <w:fldChar w:fldCharType="begin"/>
          </w:r>
          <w:r>
            <w:instrText xml:space="preserve"> HYPERLINK \l _Toc2101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_Toc2101 \h </w:instrText>
          </w:r>
          <w:r>
            <w:fldChar w:fldCharType="separate"/>
          </w:r>
          <w:r>
            <w:t>24</w:t>
          </w:r>
          <w:r>
            <w:fldChar w:fldCharType="end"/>
          </w:r>
          <w:r>
            <w:fldChar w:fldCharType="end"/>
          </w:r>
        </w:p>
        <w:p w14:paraId="7718AC1F">
          <w:pPr>
            <w:pStyle w:val="31"/>
            <w:tabs>
              <w:tab w:val="right" w:leader="dot" w:pos="8306"/>
            </w:tabs>
          </w:pPr>
          <w:r>
            <w:fldChar w:fldCharType="begin"/>
          </w:r>
          <w:r>
            <w:instrText xml:space="preserve"> HYPERLINK \l _Toc30466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_Toc30466 \h </w:instrText>
          </w:r>
          <w:r>
            <w:fldChar w:fldCharType="separate"/>
          </w:r>
          <w:r>
            <w:t>24</w:t>
          </w:r>
          <w:r>
            <w:fldChar w:fldCharType="end"/>
          </w:r>
          <w:r>
            <w:fldChar w:fldCharType="end"/>
          </w:r>
        </w:p>
        <w:p w14:paraId="5FAE3942">
          <w:pPr>
            <w:pStyle w:val="31"/>
            <w:tabs>
              <w:tab w:val="right" w:leader="dot" w:pos="8306"/>
            </w:tabs>
          </w:pPr>
          <w:r>
            <w:fldChar w:fldCharType="begin"/>
          </w:r>
          <w:r>
            <w:instrText xml:space="preserve"> HYPERLINK \l _Toc2082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_Toc2082 \h </w:instrText>
          </w:r>
          <w:r>
            <w:fldChar w:fldCharType="separate"/>
          </w:r>
          <w:r>
            <w:t>24</w:t>
          </w:r>
          <w:r>
            <w:fldChar w:fldCharType="end"/>
          </w:r>
          <w:r>
            <w:fldChar w:fldCharType="end"/>
          </w:r>
        </w:p>
        <w:p w14:paraId="4273E943">
          <w:pPr>
            <w:pStyle w:val="31"/>
            <w:tabs>
              <w:tab w:val="right" w:leader="dot" w:pos="8306"/>
            </w:tabs>
          </w:pPr>
          <w:r>
            <w:fldChar w:fldCharType="begin"/>
          </w:r>
          <w:r>
            <w:instrText xml:space="preserve"> HYPERLINK \l _Toc12891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_Toc12891 \h </w:instrText>
          </w:r>
          <w:r>
            <w:fldChar w:fldCharType="separate"/>
          </w:r>
          <w:r>
            <w:t>24</w:t>
          </w:r>
          <w:r>
            <w:fldChar w:fldCharType="end"/>
          </w:r>
          <w:r>
            <w:fldChar w:fldCharType="end"/>
          </w:r>
        </w:p>
        <w:p w14:paraId="0115E1E8">
          <w:pPr>
            <w:pStyle w:val="31"/>
            <w:tabs>
              <w:tab w:val="right" w:leader="dot" w:pos="8306"/>
            </w:tabs>
          </w:pPr>
          <w:r>
            <w:fldChar w:fldCharType="begin"/>
          </w:r>
          <w:r>
            <w:instrText xml:space="preserve"> HYPERLINK \l _Toc30807 </w:instrText>
          </w:r>
          <w:r>
            <w:fldChar w:fldCharType="separate"/>
          </w:r>
          <w:r>
            <w:rPr>
              <w:rFonts w:hint="eastAsia" w:ascii="仿宋" w:hAnsi="仿宋" w:eastAsia="仿宋"/>
              <w:bCs w:val="0"/>
            </w:rPr>
            <w:t>十三、财政拨款“三公”经费支出决算表</w:t>
          </w:r>
          <w:r>
            <w:tab/>
          </w:r>
          <w:r>
            <w:fldChar w:fldCharType="begin"/>
          </w:r>
          <w:r>
            <w:instrText xml:space="preserve"> PAGEREF _Toc30807 \h </w:instrText>
          </w:r>
          <w:r>
            <w:fldChar w:fldCharType="separate"/>
          </w:r>
          <w:r>
            <w:t>24</w:t>
          </w:r>
          <w:r>
            <w:fldChar w:fldCharType="end"/>
          </w:r>
          <w:r>
            <w:fldChar w:fldCharType="end"/>
          </w:r>
        </w:p>
        <w:p w14:paraId="214A208C">
          <w:pPr>
            <w:rPr>
              <w:rFonts w:ascii="Times New Roman" w:hAnsi="Times New Roman" w:eastAsia="宋体" w:cs="Times New Roman"/>
              <w:b/>
              <w:kern w:val="2"/>
              <w:sz w:val="21"/>
              <w:szCs w:val="24"/>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b/>
            </w:rPr>
            <w:fldChar w:fldCharType="end"/>
          </w:r>
        </w:p>
      </w:sdtContent>
    </w:sdt>
    <w:p w14:paraId="1CD08E98">
      <w:pPr>
        <w:pStyle w:val="3"/>
        <w:jc w:val="center"/>
        <w:rPr>
          <w:rStyle w:val="24"/>
          <w:rFonts w:ascii="黑体" w:hAnsi="黑体" w:eastAsia="黑体"/>
          <w:b/>
          <w:bCs w:val="0"/>
        </w:rPr>
      </w:pPr>
      <w:bookmarkStart w:id="14" w:name="_Toc15377196"/>
      <w:bookmarkStart w:id="15" w:name="_Toc2124"/>
      <w:bookmarkStart w:id="16" w:name="_Toc15396599"/>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14:paraId="384AD2C6">
      <w:pPr>
        <w:widowControl/>
        <w:jc w:val="left"/>
        <w:rPr>
          <w:rFonts w:ascii="黑体" w:eastAsia="黑体"/>
          <w:sz w:val="32"/>
          <w:szCs w:val="32"/>
        </w:rPr>
      </w:pPr>
    </w:p>
    <w:p w14:paraId="33C83308">
      <w:pPr>
        <w:pStyle w:val="4"/>
        <w:numPr>
          <w:ilvl w:val="0"/>
          <w:numId w:val="1"/>
        </w:numPr>
        <w:rPr>
          <w:rStyle w:val="25"/>
          <w:rFonts w:ascii="黑体" w:hAnsi="黑体" w:eastAsia="黑体"/>
          <w:b w:val="0"/>
          <w:bCs w:val="0"/>
        </w:rPr>
      </w:pPr>
      <w:bookmarkStart w:id="17" w:name="_Toc31348"/>
      <w:bookmarkStart w:id="18" w:name="_Toc15377197"/>
      <w:bookmarkStart w:id="19" w:name="_Toc15396600"/>
      <w:r>
        <w:rPr>
          <w:rStyle w:val="25"/>
          <w:rFonts w:hint="eastAsia" w:ascii="黑体" w:hAnsi="黑体" w:eastAsia="黑体"/>
          <w:b w:val="0"/>
          <w:bCs w:val="0"/>
        </w:rPr>
        <w:t>主要职责</w:t>
      </w:r>
      <w:bookmarkEnd w:id="17"/>
    </w:p>
    <w:p w14:paraId="2295251B">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 xml:space="preserve">（1）贯彻执行国家有关种植业、畜牧业、渔业、农业机械化、农垦等农业领域工作的法律、法规、政策以及区委、区政府关于“三农”方面的决策部署，组织拟订全区“三农”有关政策。    </w:t>
      </w:r>
    </w:p>
    <w:p w14:paraId="25A38362">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14:paraId="013D1A1E">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14:paraId="50F3F9FA">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14:paraId="5B53B069">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14:paraId="067688F4">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14:paraId="0412C568">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14:paraId="069C4C15">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14:paraId="18B4FD92">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14:paraId="2B818A7C">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14:paraId="6CC2186B">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14:paraId="166A927F">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14:paraId="10B7CD93">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14:paraId="31B8BD85">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14:paraId="7FF3C81E">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14:paraId="74A9F421">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14:paraId="6B6DA506">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14:paraId="24DA0AEC">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14:paraId="38A0A46F">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14:paraId="36B4765F">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14:paraId="365B8DB0">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14:paraId="46C7E122">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14:paraId="6E1BAC7D">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14:paraId="711500DA">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14:paraId="02EAB57B">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14:paraId="130D5367">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14:paraId="12156E74">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14:paraId="28BE74C1"/>
    <w:p w14:paraId="30A1FF75">
      <w:pPr>
        <w:pStyle w:val="4"/>
        <w:rPr>
          <w:rFonts w:ascii="黑体" w:hAnsi="黑体" w:eastAsia="黑体"/>
          <w:b w:val="0"/>
        </w:rPr>
      </w:pPr>
      <w:bookmarkStart w:id="20" w:name="_Toc5107"/>
      <w:r>
        <w:rPr>
          <w:rFonts w:hint="eastAsia" w:ascii="黑体" w:hAnsi="黑体" w:eastAsia="黑体"/>
          <w:b w:val="0"/>
        </w:rPr>
        <w:t>二、机构设置</w:t>
      </w:r>
      <w:bookmarkEnd w:id="20"/>
    </w:p>
    <w:p w14:paraId="4A2203FF">
      <w:pPr>
        <w:spacing w:line="353" w:lineRule="auto"/>
        <w:ind w:firstLine="640" w:firstLineChars="200"/>
        <w:rPr>
          <w:rFonts w:eastAsia="仿宋_GB2312"/>
          <w:color w:val="000000"/>
          <w:sz w:val="32"/>
          <w:szCs w:val="32"/>
        </w:rPr>
      </w:pPr>
      <w:r>
        <w:rPr>
          <w:rFonts w:eastAsia="仿宋_GB2312"/>
          <w:color w:val="000000"/>
          <w:sz w:val="32"/>
          <w:szCs w:val="32"/>
        </w:rPr>
        <w:t>攀枝花市西区农业农村和交通运输局内设股室</w:t>
      </w:r>
      <w:r>
        <w:rPr>
          <w:rFonts w:hint="eastAsia" w:eastAsia="仿宋_GB2312"/>
          <w:color w:val="000000"/>
          <w:sz w:val="32"/>
          <w:szCs w:val="32"/>
        </w:rPr>
        <w:t>5</w:t>
      </w:r>
      <w:r>
        <w:rPr>
          <w:rFonts w:eastAsia="仿宋_GB2312"/>
          <w:color w:val="000000"/>
          <w:sz w:val="32"/>
          <w:szCs w:val="32"/>
        </w:rPr>
        <w:t>个，下属二级单位</w:t>
      </w:r>
      <w:r>
        <w:rPr>
          <w:rFonts w:hint="eastAsia" w:eastAsia="仿宋_GB2312"/>
          <w:color w:val="000000"/>
          <w:sz w:val="32"/>
          <w:szCs w:val="32"/>
        </w:rPr>
        <w:t>2</w:t>
      </w:r>
      <w:r>
        <w:rPr>
          <w:rFonts w:eastAsia="仿宋_GB2312"/>
          <w:color w:val="000000"/>
          <w:sz w:val="32"/>
          <w:szCs w:val="32"/>
        </w:rPr>
        <w:t>个，其中行政单位</w:t>
      </w:r>
      <w:r>
        <w:rPr>
          <w:rFonts w:hint="eastAsia" w:eastAsia="仿宋_GB2312"/>
          <w:color w:val="000000"/>
          <w:sz w:val="32"/>
          <w:szCs w:val="32"/>
        </w:rPr>
        <w:t>0</w:t>
      </w:r>
      <w:r>
        <w:rPr>
          <w:rFonts w:eastAsia="仿宋_GB2312"/>
          <w:color w:val="000000"/>
          <w:sz w:val="32"/>
          <w:szCs w:val="32"/>
        </w:rPr>
        <w:t>个，参照公务员法管理的事业单位</w:t>
      </w:r>
      <w:r>
        <w:rPr>
          <w:rFonts w:hint="eastAsia" w:eastAsia="仿宋_GB2312"/>
          <w:bCs/>
          <w:color w:val="000000"/>
          <w:sz w:val="32"/>
          <w:szCs w:val="32"/>
        </w:rPr>
        <w:t>0</w:t>
      </w:r>
      <w:r>
        <w:rPr>
          <w:rFonts w:eastAsia="仿宋_GB2312"/>
          <w:color w:val="000000"/>
          <w:sz w:val="32"/>
          <w:szCs w:val="32"/>
        </w:rPr>
        <w:t>个，其他事业单位</w:t>
      </w:r>
      <w:r>
        <w:rPr>
          <w:rFonts w:hint="eastAsia" w:eastAsia="仿宋_GB2312"/>
          <w:color w:val="000000"/>
          <w:sz w:val="32"/>
          <w:szCs w:val="32"/>
        </w:rPr>
        <w:t>2</w:t>
      </w:r>
      <w:r>
        <w:rPr>
          <w:rFonts w:eastAsia="仿宋_GB2312"/>
          <w:color w:val="000000"/>
          <w:sz w:val="32"/>
          <w:szCs w:val="32"/>
        </w:rPr>
        <w:t>个</w:t>
      </w:r>
      <w:r>
        <w:rPr>
          <w:rFonts w:hint="eastAsia" w:eastAsia="仿宋_GB2312"/>
          <w:color w:val="000000"/>
          <w:sz w:val="32"/>
          <w:szCs w:val="32"/>
        </w:rPr>
        <w:t>，分别是</w:t>
      </w:r>
      <w:r>
        <w:rPr>
          <w:rFonts w:hint="eastAsia" w:ascii="仿宋_GB2312" w:hAnsi="仿宋" w:eastAsia="仿宋_GB2312"/>
          <w:sz w:val="32"/>
          <w:szCs w:val="32"/>
        </w:rPr>
        <w:t>西区公路养护管理中心和西区动物疫病预防控制中心</w:t>
      </w:r>
      <w:r>
        <w:rPr>
          <w:rFonts w:eastAsia="仿宋_GB2312"/>
          <w:color w:val="000000"/>
          <w:sz w:val="32"/>
          <w:szCs w:val="32"/>
        </w:rPr>
        <w:t>。</w:t>
      </w:r>
    </w:p>
    <w:p w14:paraId="4D4ED9C5"/>
    <w:bookmarkEnd w:id="18"/>
    <w:bookmarkEnd w:id="19"/>
    <w:p w14:paraId="4E535A02">
      <w:pPr>
        <w:widowControl/>
        <w:jc w:val="left"/>
        <w:rPr>
          <w:rFonts w:ascii="仿宋" w:hAnsi="仿宋" w:eastAsia="仿宋"/>
          <w:kern w:val="0"/>
          <w:sz w:val="32"/>
          <w:szCs w:val="32"/>
        </w:rPr>
      </w:pPr>
      <w:r>
        <w:rPr>
          <w:rFonts w:ascii="仿宋" w:hAnsi="仿宋" w:eastAsia="仿宋"/>
          <w:sz w:val="32"/>
          <w:szCs w:val="32"/>
        </w:rPr>
        <w:br w:type="page"/>
      </w:r>
    </w:p>
    <w:p w14:paraId="51FFDD58">
      <w:pPr>
        <w:pStyle w:val="3"/>
        <w:ind w:right="440"/>
        <w:jc w:val="center"/>
        <w:rPr>
          <w:rStyle w:val="24"/>
          <w:rFonts w:ascii="黑体" w:hAnsi="黑体" w:eastAsia="黑体"/>
          <w:b w:val="0"/>
          <w:bCs/>
        </w:rPr>
      </w:pPr>
      <w:bookmarkStart w:id="21" w:name="_Toc15377204"/>
      <w:bookmarkStart w:id="22" w:name="_Toc10368"/>
      <w:bookmarkStart w:id="23"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21"/>
      <w:bookmarkEnd w:id="22"/>
      <w:bookmarkEnd w:id="23"/>
    </w:p>
    <w:p w14:paraId="2D8ADC5C"/>
    <w:p w14:paraId="2C969929">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bookmarkStart w:id="26" w:name="_Toc29932"/>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14:paraId="79161F56">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2022年度收、支总计1435.13万元。与2021年相比，收、支总计各减少2671.33万元，下降65</w:t>
      </w:r>
      <w:r>
        <w:rPr>
          <w:rFonts w:ascii="仿宋" w:hAnsi="仿宋" w:eastAsia="仿宋"/>
          <w:sz w:val="32"/>
          <w:szCs w:val="32"/>
        </w:rPr>
        <w:t>%</w:t>
      </w:r>
      <w:r>
        <w:rPr>
          <w:rFonts w:hint="eastAsia" w:ascii="仿宋" w:hAnsi="仿宋" w:eastAsia="仿宋"/>
          <w:sz w:val="32"/>
          <w:szCs w:val="32"/>
        </w:rPr>
        <w:t>。主要变动原因是农业和交通大额专项资金减少。</w:t>
      </w:r>
    </w:p>
    <w:p w14:paraId="12BD831D">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C776E2C">
      <w:pPr>
        <w:pStyle w:val="2"/>
        <w:spacing w:before="93"/>
      </w:pPr>
      <w:r>
        <w:drawing>
          <wp:inline distT="0" distB="0" distL="0" distR="0">
            <wp:extent cx="3181350" cy="21526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EDF419">
      <w:pPr>
        <w:pStyle w:val="23"/>
        <w:numPr>
          <w:ilvl w:val="0"/>
          <w:numId w:val="2"/>
        </w:numPr>
        <w:spacing w:line="600" w:lineRule="exact"/>
        <w:ind w:firstLineChars="0"/>
        <w:outlineLvl w:val="1"/>
        <w:rPr>
          <w:rStyle w:val="25"/>
          <w:rFonts w:ascii="黑体" w:hAnsi="黑体" w:eastAsia="黑体"/>
          <w:b w:val="0"/>
        </w:rPr>
      </w:pPr>
      <w:bookmarkStart w:id="27" w:name="_Toc15377206"/>
      <w:bookmarkStart w:id="28" w:name="_Toc10719"/>
      <w:bookmarkStart w:id="29" w:name="_Toc15396604"/>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14:paraId="0B395B1B">
      <w:pPr>
        <w:spacing w:line="600" w:lineRule="exact"/>
        <w:ind w:firstLine="640" w:firstLineChars="200"/>
        <w:outlineLvl w:val="1"/>
        <w:rPr>
          <w:rFonts w:ascii="仿宋" w:hAnsi="仿宋" w:eastAsia="仿宋"/>
          <w:sz w:val="32"/>
          <w:szCs w:val="32"/>
        </w:rPr>
      </w:pPr>
      <w:bookmarkStart w:id="30" w:name="_Toc21266"/>
      <w:r>
        <w:rPr>
          <w:rFonts w:ascii="仿宋" w:hAnsi="仿宋" w:eastAsia="仿宋"/>
          <w:sz w:val="32"/>
          <w:szCs w:val="32"/>
        </w:rPr>
        <w:t>20</w:t>
      </w:r>
      <w:r>
        <w:rPr>
          <w:rFonts w:hint="eastAsia" w:ascii="仿宋" w:hAnsi="仿宋" w:eastAsia="仿宋"/>
          <w:sz w:val="32"/>
          <w:szCs w:val="32"/>
        </w:rPr>
        <w:t>22年本年收入合计1063.4万元，其中：一般公共预算财政拨款收入1023万元，占96.2</w:t>
      </w:r>
      <w:r>
        <w:rPr>
          <w:rFonts w:ascii="仿宋" w:hAnsi="仿宋" w:eastAsia="仿宋"/>
          <w:sz w:val="32"/>
          <w:szCs w:val="32"/>
        </w:rPr>
        <w:t>%</w:t>
      </w:r>
      <w:r>
        <w:rPr>
          <w:rFonts w:hint="eastAsia" w:ascii="仿宋" w:hAnsi="仿宋" w:eastAsia="仿宋"/>
          <w:sz w:val="32"/>
          <w:szCs w:val="32"/>
        </w:rPr>
        <w:t>；政府性基金预算财政拨款收入40.4万元，占3.8</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14:paraId="484AAAB1">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D842031">
      <w:pPr>
        <w:pStyle w:val="2"/>
        <w:spacing w:before="93"/>
      </w:pPr>
      <w:r>
        <w:drawing>
          <wp:inline distT="0" distB="0" distL="0" distR="0">
            <wp:extent cx="3209925" cy="2066925"/>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7C05BC">
      <w:pPr>
        <w:spacing w:line="600" w:lineRule="exact"/>
        <w:rPr>
          <w:rFonts w:ascii="仿宋_GB2312" w:eastAsia="仿宋_GB2312"/>
          <w:sz w:val="32"/>
          <w:szCs w:val="32"/>
        </w:rPr>
      </w:pPr>
    </w:p>
    <w:p w14:paraId="098AFC6A">
      <w:pPr>
        <w:pStyle w:val="23"/>
        <w:numPr>
          <w:ilvl w:val="0"/>
          <w:numId w:val="2"/>
        </w:numPr>
        <w:spacing w:line="600" w:lineRule="exact"/>
        <w:ind w:firstLineChars="0"/>
        <w:outlineLvl w:val="1"/>
        <w:rPr>
          <w:rStyle w:val="25"/>
          <w:rFonts w:ascii="黑体" w:hAnsi="黑体" w:eastAsia="黑体"/>
          <w:b w:val="0"/>
        </w:rPr>
      </w:pPr>
      <w:bookmarkStart w:id="31" w:name="_Toc31551"/>
      <w:bookmarkStart w:id="32" w:name="_Toc15377207"/>
      <w:bookmarkStart w:id="33" w:name="_Toc15396605"/>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14:paraId="12DC9B6B">
      <w:pPr>
        <w:spacing w:line="600" w:lineRule="exact"/>
        <w:ind w:firstLine="640" w:firstLineChars="200"/>
        <w:outlineLvl w:val="1"/>
        <w:rPr>
          <w:rFonts w:ascii="仿宋" w:hAnsi="仿宋" w:eastAsia="仿宋"/>
          <w:sz w:val="32"/>
          <w:szCs w:val="32"/>
        </w:rPr>
      </w:pPr>
      <w:bookmarkStart w:id="34" w:name="_Toc25496"/>
      <w:r>
        <w:rPr>
          <w:rFonts w:ascii="仿宋" w:hAnsi="仿宋" w:eastAsia="仿宋"/>
          <w:sz w:val="32"/>
          <w:szCs w:val="32"/>
        </w:rPr>
        <w:t>20</w:t>
      </w:r>
      <w:r>
        <w:rPr>
          <w:rFonts w:hint="eastAsia" w:ascii="仿宋" w:hAnsi="仿宋" w:eastAsia="仿宋"/>
          <w:sz w:val="32"/>
          <w:szCs w:val="32"/>
        </w:rPr>
        <w:t>22年本年支出合计1379.51万元，其中：基本支出452.74万元，占32.82</w:t>
      </w:r>
      <w:r>
        <w:rPr>
          <w:rFonts w:ascii="仿宋" w:hAnsi="仿宋" w:eastAsia="仿宋"/>
          <w:sz w:val="32"/>
          <w:szCs w:val="32"/>
        </w:rPr>
        <w:t>%</w:t>
      </w:r>
      <w:r>
        <w:rPr>
          <w:rFonts w:hint="eastAsia" w:ascii="仿宋" w:hAnsi="仿宋" w:eastAsia="仿宋"/>
          <w:sz w:val="32"/>
          <w:szCs w:val="32"/>
        </w:rPr>
        <w:t>；项目支出926.77万元，占67.18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14:paraId="0B95DA9A">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6CEAD2BA">
      <w:pPr>
        <w:pStyle w:val="2"/>
        <w:spacing w:before="93"/>
      </w:pPr>
      <w:r>
        <w:drawing>
          <wp:inline distT="0" distB="0" distL="0" distR="0">
            <wp:extent cx="2952750" cy="211455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81E850">
      <w:pPr>
        <w:spacing w:line="600" w:lineRule="exact"/>
        <w:rPr>
          <w:rFonts w:ascii="仿宋_GB2312" w:eastAsia="仿宋_GB2312"/>
          <w:sz w:val="32"/>
          <w:szCs w:val="32"/>
        </w:rPr>
      </w:pPr>
    </w:p>
    <w:p w14:paraId="776C1B39">
      <w:pPr>
        <w:spacing w:line="600" w:lineRule="exact"/>
        <w:ind w:firstLine="640" w:firstLineChars="200"/>
        <w:outlineLvl w:val="1"/>
        <w:rPr>
          <w:rStyle w:val="25"/>
          <w:rFonts w:ascii="黑体" w:hAnsi="黑体" w:eastAsia="黑体"/>
          <w:b w:val="0"/>
        </w:rPr>
      </w:pPr>
      <w:bookmarkStart w:id="35" w:name="_Toc15377208"/>
      <w:bookmarkStart w:id="36" w:name="_Toc25438"/>
      <w:bookmarkStart w:id="37"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14:paraId="7E8C886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22年财政拨款收、支总计1379.51万元。与</w:t>
      </w:r>
      <w:r>
        <w:rPr>
          <w:rFonts w:ascii="仿宋" w:hAnsi="仿宋" w:eastAsia="仿宋"/>
          <w:sz w:val="32"/>
          <w:szCs w:val="32"/>
        </w:rPr>
        <w:t>20</w:t>
      </w:r>
      <w:r>
        <w:rPr>
          <w:rFonts w:hint="eastAsia" w:ascii="仿宋" w:hAnsi="仿宋" w:eastAsia="仿宋"/>
          <w:sz w:val="32"/>
          <w:szCs w:val="32"/>
        </w:rPr>
        <w:t>21年相比，财政拨款收、支总计各减少2587.09万元，下降65.2</w:t>
      </w:r>
      <w:r>
        <w:rPr>
          <w:rFonts w:ascii="仿宋" w:hAnsi="仿宋" w:eastAsia="仿宋"/>
          <w:sz w:val="32"/>
          <w:szCs w:val="32"/>
        </w:rPr>
        <w:t>%</w:t>
      </w:r>
      <w:r>
        <w:rPr>
          <w:rFonts w:hint="eastAsia" w:ascii="仿宋" w:hAnsi="仿宋" w:eastAsia="仿宋"/>
          <w:sz w:val="32"/>
          <w:szCs w:val="32"/>
        </w:rPr>
        <w:t>。主要变动原因是农业交通专项资金减少。</w:t>
      </w:r>
    </w:p>
    <w:p w14:paraId="33B680E5">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3071ADA9">
      <w:pPr>
        <w:pStyle w:val="2"/>
        <w:spacing w:before="93"/>
      </w:pPr>
      <w:r>
        <w:drawing>
          <wp:inline distT="0" distB="0" distL="0" distR="0">
            <wp:extent cx="2743200" cy="1876425"/>
            <wp:effectExtent l="19050" t="0" r="19050" b="0"/>
            <wp:docPr id="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0ECA68">
      <w:pPr>
        <w:spacing w:line="600" w:lineRule="exact"/>
        <w:ind w:firstLine="640" w:firstLineChars="200"/>
        <w:outlineLvl w:val="1"/>
        <w:rPr>
          <w:rStyle w:val="25"/>
          <w:rFonts w:ascii="黑体" w:hAnsi="黑体" w:eastAsia="黑体"/>
          <w:b w:val="0"/>
        </w:rPr>
      </w:pPr>
      <w:bookmarkStart w:id="38" w:name="_Toc26446"/>
      <w:bookmarkStart w:id="39" w:name="_Toc15396607"/>
      <w:bookmarkStart w:id="40"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14:paraId="02900AE2">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14:paraId="0EC88F91">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22年一般公共预算财政拨款支出1023万元，占本年支出合计的74.16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21年相比，一般公共预算财政拨款支出减少2843.7万元，下降73.54</w:t>
      </w:r>
      <w:r>
        <w:rPr>
          <w:rFonts w:ascii="仿宋" w:hAnsi="仿宋" w:eastAsia="仿宋"/>
          <w:sz w:val="32"/>
          <w:szCs w:val="32"/>
        </w:rPr>
        <w:t>%</w:t>
      </w:r>
      <w:r>
        <w:rPr>
          <w:rFonts w:hint="eastAsia" w:ascii="仿宋" w:hAnsi="仿宋" w:eastAsia="仿宋"/>
          <w:sz w:val="32"/>
          <w:szCs w:val="32"/>
        </w:rPr>
        <w:t>。主要变动原因是交通和农业大额专项资金减少</w:t>
      </w:r>
    </w:p>
    <w:p w14:paraId="7EA95638">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600BCBCC">
      <w:pPr>
        <w:pStyle w:val="2"/>
        <w:spacing w:before="93"/>
      </w:pPr>
      <w:r>
        <w:drawing>
          <wp:inline distT="0" distB="0" distL="0" distR="0">
            <wp:extent cx="3371850" cy="1952625"/>
            <wp:effectExtent l="19050" t="0" r="190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096451">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14:paraId="05379FA7">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22年一般公共预算财政拨款支出1379.51万元，主要用于以下方面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支出30.57</w:t>
      </w:r>
      <w:r>
        <w:rPr>
          <w:rFonts w:hint="eastAsia" w:ascii="仿宋" w:hAnsi="仿宋" w:eastAsia="仿宋"/>
          <w:sz w:val="32"/>
          <w:szCs w:val="32"/>
        </w:rPr>
        <w:t>万元，占2.22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卫生健康支出19.16</w:t>
      </w:r>
      <w:r>
        <w:rPr>
          <w:rFonts w:hint="eastAsia" w:ascii="仿宋" w:hAnsi="仿宋" w:eastAsia="仿宋"/>
          <w:sz w:val="32"/>
          <w:szCs w:val="32"/>
        </w:rPr>
        <w:t>万元，占1.39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住房保障支出27.49</w:t>
      </w:r>
      <w:r>
        <w:rPr>
          <w:rFonts w:hint="eastAsia" w:ascii="仿宋" w:hAnsi="仿宋" w:eastAsia="仿宋"/>
          <w:sz w:val="32"/>
          <w:szCs w:val="32"/>
        </w:rPr>
        <w:t>万元，占1.9</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农林水支出</w:t>
      </w:r>
      <w:r>
        <w:rPr>
          <w:rFonts w:hint="eastAsia" w:ascii="仿宋" w:hAnsi="仿宋" w:eastAsia="仿宋"/>
          <w:sz w:val="32"/>
          <w:szCs w:val="32"/>
        </w:rPr>
        <w:t>1019.07万元，占73.87%，交通运输支出241.8万元，占17.53%。</w:t>
      </w:r>
    </w:p>
    <w:p w14:paraId="6F5BB79A">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3E8E7F1">
      <w:pPr>
        <w:pStyle w:val="2"/>
        <w:spacing w:before="93"/>
      </w:pPr>
      <w:r>
        <w:drawing>
          <wp:inline distT="0" distB="0" distL="0" distR="0">
            <wp:extent cx="2904490" cy="2743200"/>
            <wp:effectExtent l="19050" t="0" r="9527"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83EE83">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14:paraId="25A77D35">
      <w:pPr>
        <w:spacing w:line="600" w:lineRule="exact"/>
        <w:ind w:firstLine="643" w:firstLineChars="200"/>
        <w:outlineLvl w:val="2"/>
        <w:rPr>
          <w:rFonts w:ascii="仿宋" w:hAnsi="仿宋" w:eastAsia="仿宋"/>
          <w:b/>
          <w:bCs/>
          <w:sz w:val="32"/>
          <w:szCs w:val="32"/>
        </w:rPr>
      </w:pPr>
      <w:bookmarkStart w:id="44" w:name="_Toc15377444"/>
      <w:bookmarkStart w:id="45" w:name="_Toc15377213"/>
      <w:bookmarkStart w:id="46" w:name="_Toc15378460"/>
      <w:r>
        <w:rPr>
          <w:rFonts w:hint="eastAsia" w:ascii="仿宋" w:hAnsi="仿宋" w:eastAsia="仿宋"/>
          <w:b/>
          <w:sz w:val="32"/>
          <w:szCs w:val="32"/>
        </w:rPr>
        <w:t>2022年一般公共预算支出决算数为1339.1万元，</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p>
    <w:p w14:paraId="718BE00A">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14:paraId="1E1762E1">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教育（类）0（款）0（项）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14:paraId="6294952A">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科学技术（类）0（款）0（项）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14:paraId="6AAF1506">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文化旅游体育与传媒（类）0（款）0（项）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14:paraId="0A2331C7">
      <w:pPr>
        <w:spacing w:line="600" w:lineRule="exact"/>
        <w:ind w:firstLine="643" w:firstLineChars="200"/>
        <w:rPr>
          <w:rStyle w:val="14"/>
          <w:rFonts w:ascii="仿宋" w:hAnsi="仿宋" w:eastAsia="仿宋"/>
          <w:bCs/>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社会保障和就业（类）行政事业单位养老支出（款）</w:t>
      </w:r>
    </w:p>
    <w:p w14:paraId="0E9F8D7E">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行政单位离退休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支出决算为6.51万元，完成预算100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0FCA1EB2">
      <w:pPr>
        <w:spacing w:line="600" w:lineRule="exact"/>
        <w:ind w:firstLine="643" w:firstLineChars="200"/>
        <w:rPr>
          <w:rStyle w:val="14"/>
          <w:rFonts w:ascii="仿宋" w:hAnsi="仿宋" w:eastAsia="仿宋"/>
          <w:bCs/>
          <w:sz w:val="32"/>
          <w:szCs w:val="32"/>
        </w:rPr>
      </w:pPr>
      <w:r>
        <w:rPr>
          <w:rStyle w:val="14"/>
          <w:rFonts w:hint="eastAsia" w:ascii="仿宋" w:hAnsi="仿宋" w:eastAsia="仿宋"/>
          <w:bCs/>
          <w:sz w:val="32"/>
          <w:szCs w:val="32"/>
        </w:rPr>
        <w:t>社会保障和就业（类）行政事业单位养老支出（款）</w:t>
      </w:r>
    </w:p>
    <w:p w14:paraId="2216A264">
      <w:pPr>
        <w:pStyle w:val="2"/>
        <w:spacing w:before="93"/>
        <w:rPr>
          <w:rFonts w:ascii="仿宋" w:hAnsi="仿宋" w:eastAsia="仿宋"/>
          <w:bCs/>
          <w:sz w:val="32"/>
          <w:szCs w:val="32"/>
        </w:rPr>
      </w:pPr>
      <w:r>
        <w:rPr>
          <w:rStyle w:val="14"/>
          <w:rFonts w:ascii="仿宋" w:hAnsi="仿宋" w:eastAsia="仿宋"/>
          <w:bCs/>
          <w:sz w:val="32"/>
          <w:szCs w:val="32"/>
        </w:rPr>
        <w:t>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支出决算为24.06万元，完成预算100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601C0B1B">
      <w:pPr>
        <w:spacing w:line="600" w:lineRule="exact"/>
        <w:ind w:firstLine="643" w:firstLineChars="200"/>
        <w:rPr>
          <w:rFonts w:ascii="仿宋" w:hAnsi="仿宋" w:eastAsia="仿宋"/>
          <w:bCs/>
          <w:sz w:val="32"/>
          <w:szCs w:val="32"/>
        </w:rPr>
      </w:pPr>
      <w:r>
        <w:rPr>
          <w:rStyle w:val="14"/>
          <w:rFonts w:ascii="仿宋" w:hAnsi="仿宋" w:eastAsia="仿宋"/>
          <w:bCs/>
          <w:sz w:val="32"/>
          <w:szCs w:val="32"/>
        </w:rPr>
        <w:t>6.</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支出决算为14.2万元，完成预算100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128160A4">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支出决算为2.85万元，完成预算100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6B56B946">
      <w:pPr>
        <w:pStyle w:val="2"/>
        <w:spacing w:before="93"/>
        <w:rPr>
          <w:rStyle w:val="14"/>
          <w:rFonts w:ascii="仿宋" w:hAnsi="仿宋" w:eastAsia="仿宋"/>
          <w:b w:val="0"/>
          <w:bCs/>
          <w:sz w:val="32"/>
          <w:szCs w:val="32"/>
        </w:rPr>
      </w:pPr>
      <w:r>
        <w:rPr>
          <w:rStyle w:val="14"/>
          <w:rFonts w:hint="eastAsia" w:ascii="仿宋" w:hAnsi="仿宋" w:eastAsia="仿宋"/>
          <w:b w:val="0"/>
          <w:bCs/>
          <w:sz w:val="32"/>
          <w:szCs w:val="32"/>
        </w:rPr>
        <w:t xml:space="preserve">    </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支出决算为2.1万元，完成预算100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21B7F66E">
      <w:pPr>
        <w:spacing w:line="600" w:lineRule="exact"/>
        <w:ind w:firstLine="643" w:firstLineChars="200"/>
        <w:rPr>
          <w:rStyle w:val="14"/>
          <w:rFonts w:ascii="仿宋" w:hAnsi="仿宋" w:eastAsia="仿宋"/>
          <w:b w:val="0"/>
          <w:bCs/>
          <w:sz w:val="32"/>
          <w:szCs w:val="32"/>
        </w:rPr>
      </w:pPr>
      <w:r>
        <w:rPr>
          <w:rFonts w:hint="eastAsia" w:ascii="仿宋" w:hAnsi="仿宋" w:eastAsia="仿宋"/>
          <w:b/>
          <w:bCs/>
          <w:sz w:val="32"/>
          <w:szCs w:val="32"/>
        </w:rPr>
        <w:t>7.农林水支出（类）农业农村（款）行政运行（项）：</w:t>
      </w:r>
      <w:r>
        <w:rPr>
          <w:rStyle w:val="14"/>
          <w:rFonts w:hint="eastAsia" w:ascii="仿宋" w:hAnsi="仿宋" w:eastAsia="仿宋"/>
          <w:b w:val="0"/>
          <w:bCs/>
          <w:sz w:val="32"/>
          <w:szCs w:val="32"/>
        </w:rPr>
        <w:t>支出决算为331.36万元，完成预算100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040373D7">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农林水支出（类）农业农村（款）事业运行（项）：</w:t>
      </w:r>
      <w:r>
        <w:rPr>
          <w:rStyle w:val="14"/>
          <w:rFonts w:hint="eastAsia" w:ascii="仿宋" w:hAnsi="仿宋" w:eastAsia="仿宋"/>
          <w:b w:val="0"/>
          <w:bCs/>
          <w:sz w:val="32"/>
          <w:szCs w:val="32"/>
        </w:rPr>
        <w:t>支出决算为44.14万元，完成预算100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6D5035D1">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支出决算为552.34万元，完成预算100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1FD19C65">
      <w:pPr>
        <w:spacing w:line="600" w:lineRule="exact"/>
        <w:ind w:firstLine="643" w:firstLineChars="200"/>
        <w:rPr>
          <w:rStyle w:val="14"/>
          <w:rFonts w:ascii="仿宋" w:hAnsi="仿宋" w:eastAsia="仿宋"/>
          <w:b w:val="0"/>
          <w:bCs/>
          <w:sz w:val="32"/>
          <w:szCs w:val="32"/>
        </w:rPr>
      </w:pPr>
      <w:r>
        <w:rPr>
          <w:rFonts w:hint="eastAsia" w:ascii="仿宋" w:hAnsi="仿宋" w:eastAsia="仿宋"/>
          <w:b/>
          <w:bCs/>
          <w:sz w:val="32"/>
          <w:szCs w:val="32"/>
        </w:rPr>
        <w:t>农林水支出（类）农村综合改革（款）对村级公益事业建设的补助（项）：</w:t>
      </w:r>
      <w:r>
        <w:rPr>
          <w:rStyle w:val="14"/>
          <w:rFonts w:hint="eastAsia" w:ascii="仿宋" w:hAnsi="仿宋" w:eastAsia="仿宋"/>
          <w:b w:val="0"/>
          <w:bCs/>
          <w:sz w:val="32"/>
          <w:szCs w:val="32"/>
        </w:rPr>
        <w:t>支出决算为80万元，完成预算100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6654E947">
      <w:pPr>
        <w:spacing w:line="600" w:lineRule="exact"/>
        <w:ind w:firstLine="420" w:firstLineChars="200"/>
        <w:rPr>
          <w:rStyle w:val="14"/>
          <w:rFonts w:ascii="仿宋" w:hAnsi="仿宋" w:eastAsia="仿宋"/>
          <w:b w:val="0"/>
          <w:bCs/>
          <w:sz w:val="32"/>
          <w:szCs w:val="32"/>
        </w:rPr>
      </w:pPr>
      <w:r>
        <w:rPr>
          <w:rFonts w:hint="eastAsia"/>
        </w:rPr>
        <w:t xml:space="preserve">    </w:t>
      </w:r>
      <w:r>
        <w:rPr>
          <w:rFonts w:hint="eastAsia" w:ascii="仿宋" w:hAnsi="仿宋" w:eastAsia="仿宋"/>
          <w:b/>
          <w:bCs/>
          <w:sz w:val="32"/>
          <w:szCs w:val="32"/>
        </w:rPr>
        <w:t>农林水支出（类）普惠金融发展支出（款）农业保险保费支出（项）：</w:t>
      </w:r>
      <w:r>
        <w:rPr>
          <w:rStyle w:val="14"/>
          <w:rFonts w:hint="eastAsia" w:ascii="仿宋" w:hAnsi="仿宋" w:eastAsia="仿宋"/>
          <w:b w:val="0"/>
          <w:bCs/>
          <w:sz w:val="32"/>
          <w:szCs w:val="32"/>
        </w:rPr>
        <w:t>支出决算为11.22万元，完成预算100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3EB715D9">
      <w:pPr>
        <w:pStyle w:val="2"/>
        <w:spacing w:before="93"/>
      </w:pPr>
      <w:r>
        <w:rPr>
          <w:rFonts w:hint="eastAsia"/>
        </w:rPr>
        <w:t xml:space="preserve">     8.交通运输支出（类）公路水路运输（款）其他公路水路运输支出（项）：支出决算为137万元，完成预算100%，决算数等于预算数。</w:t>
      </w:r>
    </w:p>
    <w:p w14:paraId="1F310A16">
      <w:pPr>
        <w:pStyle w:val="2"/>
        <w:spacing w:before="93"/>
      </w:pPr>
      <w:r>
        <w:rPr>
          <w:rFonts w:hint="eastAsia"/>
        </w:rPr>
        <w:t xml:space="preserve">     交通运输支出（类）其他交通运输支出（款）其他交通运输支出（项）：支出决算为104.8万元，完成预算100%，决算数等于预算数。</w:t>
      </w:r>
    </w:p>
    <w:p w14:paraId="1BF5EFAD">
      <w:pPr>
        <w:pStyle w:val="2"/>
        <w:spacing w:before="93"/>
      </w:pPr>
      <w:r>
        <w:rPr>
          <w:rFonts w:hint="eastAsia"/>
        </w:rPr>
        <w:t xml:space="preserve">     9.住房保障支出（类）住房改革支出（款）住房公积金（项）：支出决算为27.49万元，完成预算100%，决算数等于预算数。</w:t>
      </w:r>
    </w:p>
    <w:p w14:paraId="7287CA8E">
      <w:pPr>
        <w:tabs>
          <w:tab w:val="right" w:pos="8306"/>
        </w:tabs>
        <w:spacing w:line="600" w:lineRule="exact"/>
        <w:ind w:firstLine="640"/>
        <w:outlineLvl w:val="1"/>
        <w:rPr>
          <w:rStyle w:val="25"/>
        </w:rPr>
      </w:pPr>
      <w:bookmarkStart w:id="47" w:name="_Toc2218"/>
      <w:bookmarkStart w:id="48" w:name="_Toc15396608"/>
      <w:bookmarkStart w:id="4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7"/>
      <w:bookmarkEnd w:id="48"/>
      <w:bookmarkEnd w:id="49"/>
      <w:r>
        <w:rPr>
          <w:rStyle w:val="25"/>
          <w:rFonts w:ascii="黑体" w:hAnsi="黑体" w:eastAsia="黑体"/>
          <w:b w:val="0"/>
        </w:rPr>
        <w:tab/>
      </w:r>
    </w:p>
    <w:p w14:paraId="72092744">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22年一般公共预算财政拨款基本支出452.74万元，其中：</w:t>
      </w:r>
    </w:p>
    <w:p w14:paraId="0B34663C">
      <w:pPr>
        <w:spacing w:line="600" w:lineRule="exact"/>
        <w:ind w:firstLine="645"/>
        <w:rPr>
          <w:rFonts w:ascii="仿宋" w:hAnsi="仿宋" w:eastAsia="仿宋"/>
          <w:sz w:val="32"/>
          <w:szCs w:val="32"/>
        </w:rPr>
      </w:pPr>
      <w:r>
        <w:rPr>
          <w:rFonts w:hint="eastAsia" w:ascii="仿宋" w:hAnsi="仿宋" w:eastAsia="仿宋"/>
          <w:sz w:val="32"/>
          <w:szCs w:val="32"/>
        </w:rPr>
        <w:t>人员经费407.33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38.89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1E2DA43">
      <w:pPr>
        <w:spacing w:line="600" w:lineRule="exact"/>
        <w:ind w:firstLine="640"/>
        <w:outlineLvl w:val="1"/>
        <w:rPr>
          <w:rStyle w:val="25"/>
          <w:rFonts w:ascii="黑体" w:hAnsi="黑体" w:eastAsia="黑体"/>
          <w:b w:val="0"/>
        </w:rPr>
      </w:pPr>
      <w:bookmarkStart w:id="50" w:name="_Toc15396609"/>
      <w:bookmarkStart w:id="51" w:name="_Toc15377215"/>
      <w:bookmarkStart w:id="52" w:name="_Toc1439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0"/>
      <w:bookmarkEnd w:id="51"/>
      <w:bookmarkEnd w:id="52"/>
    </w:p>
    <w:p w14:paraId="79BC4092">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14:paraId="731C683A">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22年“三公”经费财政拨款支出决算为4.13万元，完成预算100</w:t>
      </w:r>
      <w:r>
        <w:rPr>
          <w:rFonts w:ascii="仿宋" w:hAnsi="仿宋" w:eastAsia="仿宋"/>
          <w:sz w:val="32"/>
          <w:szCs w:val="32"/>
        </w:rPr>
        <w:t>%</w:t>
      </w:r>
      <w:r>
        <w:rPr>
          <w:rFonts w:hint="eastAsia" w:ascii="仿宋" w:hAnsi="仿宋" w:eastAsia="仿宋"/>
          <w:sz w:val="32"/>
          <w:szCs w:val="32"/>
        </w:rPr>
        <w:t>，较上年增加1.16万元，增长39.2%。决算数大于预算数的主要原因是车辆预算费用增加，车辆支出费用增加</w:t>
      </w:r>
    </w:p>
    <w:p w14:paraId="67228B4A">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14:paraId="1B88526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；公务用车购置及运行维护费支出决算3.76万元，占91</w:t>
      </w:r>
      <w:r>
        <w:rPr>
          <w:rFonts w:ascii="仿宋" w:hAnsi="仿宋" w:eastAsia="仿宋"/>
          <w:sz w:val="32"/>
          <w:szCs w:val="32"/>
        </w:rPr>
        <w:t>%</w:t>
      </w:r>
      <w:r>
        <w:rPr>
          <w:rFonts w:hint="eastAsia" w:ascii="仿宋" w:hAnsi="仿宋" w:eastAsia="仿宋"/>
          <w:sz w:val="32"/>
          <w:szCs w:val="32"/>
        </w:rPr>
        <w:t>；公务接待费支出决算0.37万元，占9</w:t>
      </w:r>
      <w:r>
        <w:rPr>
          <w:rFonts w:ascii="仿宋" w:hAnsi="仿宋" w:eastAsia="仿宋"/>
          <w:sz w:val="32"/>
          <w:szCs w:val="32"/>
        </w:rPr>
        <w:t>%</w:t>
      </w:r>
      <w:r>
        <w:rPr>
          <w:rFonts w:hint="eastAsia" w:ascii="仿宋" w:hAnsi="仿宋" w:eastAsia="仿宋"/>
          <w:sz w:val="32"/>
          <w:szCs w:val="32"/>
        </w:rPr>
        <w:t>。具体情况如下：</w:t>
      </w:r>
    </w:p>
    <w:p w14:paraId="7056A741">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7B6FADE9">
      <w:pPr>
        <w:pStyle w:val="2"/>
        <w:spacing w:before="93"/>
      </w:pPr>
      <w:r>
        <w:drawing>
          <wp:inline distT="0" distB="0" distL="0" distR="0">
            <wp:extent cx="3343275" cy="2047875"/>
            <wp:effectExtent l="19050" t="0" r="9525"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AD1C6B">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。主要原因是无此预算。</w:t>
      </w:r>
    </w:p>
    <w:p w14:paraId="4F1EAFD7">
      <w:pPr>
        <w:spacing w:line="600" w:lineRule="exact"/>
        <w:ind w:firstLine="640"/>
        <w:rPr>
          <w:rFonts w:ascii="仿宋" w:hAnsi="仿宋" w:eastAsia="仿宋"/>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公务用车购置及运行维护费支出3.76</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21年增加1.25万元，增长50</w:t>
      </w:r>
      <w:r>
        <w:rPr>
          <w:rFonts w:ascii="仿宋_GB2312" w:eastAsia="仿宋_GB2312"/>
          <w:sz w:val="32"/>
          <w:szCs w:val="32"/>
        </w:rPr>
        <w:t>%</w:t>
      </w:r>
      <w:r>
        <w:rPr>
          <w:rFonts w:hint="eastAsia" w:ascii="仿宋_GB2312" w:eastAsia="仿宋_GB2312"/>
          <w:sz w:val="32"/>
          <w:szCs w:val="32"/>
        </w:rPr>
        <w:t>。主要原因是年初增加一台车预算。</w:t>
      </w:r>
    </w:p>
    <w:p w14:paraId="13F0429B">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w:t>
      </w:r>
      <w:r>
        <w:rPr>
          <w:rFonts w:hint="eastAsia" w:ascii="仿宋_GB2312" w:eastAsia="仿宋_GB2312"/>
          <w:sz w:val="32"/>
          <w:szCs w:val="32"/>
        </w:rPr>
        <w:t>万元。全年按规定更新购置公务用车0辆，其中：轿车0辆、金额0万元，越野车0辆、金额0万元，载客汽车0辆、金额0万元，主要用于…。截至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月底，单位共有公务用车2辆，其中：轿车0辆、越野车1辆、货车1辆。</w:t>
      </w:r>
    </w:p>
    <w:p w14:paraId="7A6A4346">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公务用车运行维护费支出3.76</w:t>
      </w:r>
      <w:r>
        <w:rPr>
          <w:rFonts w:hint="eastAsia" w:ascii="仿宋_GB2312" w:eastAsia="仿宋_GB2312"/>
          <w:sz w:val="32"/>
          <w:szCs w:val="32"/>
        </w:rPr>
        <w:t>万元。主要用于</w:t>
      </w:r>
      <w:r>
        <w:rPr>
          <w:rFonts w:ascii="仿宋_GB2312" w:eastAsia="仿宋_GB2312"/>
          <w:sz w:val="32"/>
          <w:szCs w:val="32"/>
        </w:rPr>
        <w:t>农业执法和海事执法</w:t>
      </w:r>
      <w:r>
        <w:rPr>
          <w:rFonts w:hint="eastAsia" w:ascii="仿宋_GB2312" w:eastAsia="仿宋_GB2312"/>
          <w:sz w:val="32"/>
          <w:szCs w:val="32"/>
        </w:rPr>
        <w:t>等所需的公务用车燃料费、维修费、过路过桥费、保险费等支出。</w:t>
      </w:r>
    </w:p>
    <w:p w14:paraId="5607941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公务接待费支出0.37</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21年减少0.09万元，下降20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w:t>
      </w:r>
      <w:r>
        <w:rPr>
          <w:rFonts w:hint="eastAsia" w:ascii="仿宋_GB2312" w:eastAsia="仿宋_GB2312"/>
          <w:sz w:val="32"/>
          <w:szCs w:val="32"/>
        </w:rPr>
        <w:t>行节约，严格公务接待管理。</w:t>
      </w:r>
    </w:p>
    <w:p w14:paraId="2860F6B8">
      <w:pPr>
        <w:spacing w:line="600" w:lineRule="exact"/>
        <w:ind w:firstLine="640"/>
        <w:rPr>
          <w:rFonts w:ascii="仿宋_GB2312" w:eastAsia="仿宋_GB2312"/>
          <w:sz w:val="32"/>
          <w:szCs w:val="32"/>
        </w:rPr>
      </w:pPr>
      <w:r>
        <w:rPr>
          <w:rFonts w:hint="eastAsia" w:ascii="仿宋_GB2312" w:eastAsia="仿宋_GB2312"/>
          <w:sz w:val="32"/>
          <w:szCs w:val="32"/>
        </w:rPr>
        <w:t>其中：</w:t>
      </w:r>
      <w:r>
        <w:rPr>
          <w:rFonts w:hint="eastAsia" w:ascii="仿宋" w:hAnsi="仿宋" w:eastAsia="仿宋"/>
          <w:b/>
          <w:sz w:val="32"/>
          <w:szCs w:val="32"/>
        </w:rPr>
        <w:t>国内公务接待支出0.37</w:t>
      </w:r>
      <w:r>
        <w:rPr>
          <w:rFonts w:hint="eastAsia" w:ascii="仿宋_GB2312" w:eastAsia="仿宋_GB2312"/>
          <w:sz w:val="32"/>
          <w:szCs w:val="32"/>
        </w:rPr>
        <w:t>万元，主要用于交通道路检查督导和农村厕所革命调研等工作的餐费。国内公务接待4批次，31人次（不包括陪同人员），共计支出0.37万元，具体内容包括：交通道路养护、建设检查督导0.28万元；农村厕所革命调研0.08万元。</w:t>
      </w:r>
    </w:p>
    <w:p w14:paraId="7BAB82F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万元。外事接待0批次，0人次（不包括陪同人员），共计支出0万元。</w:t>
      </w:r>
      <w:bookmarkStart w:id="55" w:name="_Toc15377218"/>
      <w:bookmarkStart w:id="56" w:name="_Toc15396610"/>
    </w:p>
    <w:p w14:paraId="4DB04153">
      <w:pPr>
        <w:spacing w:line="600" w:lineRule="exact"/>
        <w:ind w:firstLine="640"/>
        <w:outlineLvl w:val="1"/>
        <w:rPr>
          <w:rStyle w:val="25"/>
          <w:rFonts w:ascii="黑体" w:hAnsi="黑体" w:eastAsia="黑体"/>
        </w:rPr>
      </w:pPr>
      <w:bookmarkStart w:id="57" w:name="_Toc23796"/>
      <w:r>
        <w:rPr>
          <w:rFonts w:hint="eastAsia" w:ascii="黑体" w:eastAsia="黑体"/>
          <w:sz w:val="32"/>
          <w:szCs w:val="32"/>
        </w:rPr>
        <w:t>八、</w:t>
      </w:r>
      <w:r>
        <w:rPr>
          <w:rStyle w:val="25"/>
          <w:rFonts w:hint="eastAsia" w:ascii="黑体" w:hAnsi="黑体" w:eastAsia="黑体"/>
          <w:b w:val="0"/>
        </w:rPr>
        <w:t>政府性基金预算支出决算情况说明</w:t>
      </w:r>
      <w:bookmarkEnd w:id="55"/>
      <w:bookmarkEnd w:id="56"/>
      <w:bookmarkEnd w:id="57"/>
    </w:p>
    <w:p w14:paraId="10AE78E2">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22年政府性基金预算财政拨款支出40.4万元。</w:t>
      </w:r>
    </w:p>
    <w:p w14:paraId="45C4648F">
      <w:pPr>
        <w:spacing w:line="600" w:lineRule="exact"/>
        <w:ind w:firstLine="640"/>
        <w:rPr>
          <w:rFonts w:ascii="仿宋_GB2312" w:eastAsia="仿宋_GB2312"/>
          <w:sz w:val="32"/>
          <w:szCs w:val="32"/>
        </w:rPr>
      </w:pPr>
    </w:p>
    <w:p w14:paraId="266A9D0C">
      <w:pPr>
        <w:numPr>
          <w:ilvl w:val="0"/>
          <w:numId w:val="3"/>
        </w:numPr>
        <w:spacing w:line="600" w:lineRule="exact"/>
        <w:ind w:firstLine="640"/>
        <w:outlineLvl w:val="1"/>
        <w:rPr>
          <w:rStyle w:val="25"/>
          <w:rFonts w:ascii="黑体" w:hAnsi="黑体" w:eastAsia="黑体"/>
          <w:b w:val="0"/>
        </w:rPr>
      </w:pPr>
      <w:bookmarkStart w:id="58" w:name="_Toc18726"/>
      <w:bookmarkStart w:id="59" w:name="_Toc15396611"/>
      <w:bookmarkStart w:id="60" w:name="_Toc15377219"/>
      <w:r>
        <w:rPr>
          <w:rStyle w:val="25"/>
          <w:rFonts w:hint="eastAsia" w:ascii="黑体" w:hAnsi="黑体" w:eastAsia="黑体"/>
          <w:b w:val="0"/>
        </w:rPr>
        <w:t>国有资本经营预算支出决算情况说明</w:t>
      </w:r>
      <w:bookmarkEnd w:id="58"/>
      <w:bookmarkEnd w:id="59"/>
      <w:bookmarkEnd w:id="60"/>
    </w:p>
    <w:p w14:paraId="3E4F4A0D">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14:paraId="1917B8AA">
      <w:pPr>
        <w:spacing w:line="580" w:lineRule="exact"/>
        <w:jc w:val="center"/>
        <w:rPr>
          <w:rFonts w:ascii="方正小标宋简体" w:hAnsi="方正小标宋简体" w:eastAsia="方正小标宋简体" w:cs="方正小标宋简体"/>
          <w:sz w:val="44"/>
          <w:szCs w:val="44"/>
        </w:rPr>
      </w:pPr>
    </w:p>
    <w:p w14:paraId="2999A6BB">
      <w:pPr>
        <w:numPr>
          <w:ilvl w:val="0"/>
          <w:numId w:val="3"/>
        </w:numPr>
        <w:spacing w:line="600" w:lineRule="exact"/>
        <w:ind w:firstLine="640"/>
        <w:outlineLvl w:val="1"/>
        <w:rPr>
          <w:rStyle w:val="25"/>
          <w:rFonts w:ascii="黑体" w:hAnsi="黑体" w:eastAsia="黑体"/>
          <w:b w:val="0"/>
        </w:rPr>
      </w:pPr>
      <w:bookmarkStart w:id="61" w:name="_Toc15396612"/>
      <w:bookmarkStart w:id="62" w:name="_Toc15377221"/>
      <w:bookmarkStart w:id="63" w:name="_Toc22416"/>
      <w:r>
        <w:rPr>
          <w:rStyle w:val="25"/>
          <w:rFonts w:hint="eastAsia" w:ascii="黑体" w:hAnsi="黑体" w:eastAsia="黑体"/>
          <w:b w:val="0"/>
        </w:rPr>
        <w:t>其他重要事项的情况说明</w:t>
      </w:r>
      <w:bookmarkEnd w:id="61"/>
      <w:bookmarkEnd w:id="62"/>
      <w:bookmarkEnd w:id="63"/>
    </w:p>
    <w:p w14:paraId="0F53ED8E">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14:paraId="34B8879D">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22年，攀枝花市西区农业农村和交通运输局机关运行经费支出38.89万元，比</w:t>
      </w:r>
      <w:r>
        <w:rPr>
          <w:rFonts w:ascii="仿宋_GB2312" w:eastAsia="仿宋_GB2312"/>
          <w:sz w:val="32"/>
          <w:szCs w:val="32"/>
        </w:rPr>
        <w:t>20</w:t>
      </w:r>
      <w:r>
        <w:rPr>
          <w:rFonts w:hint="eastAsia" w:ascii="仿宋_GB2312" w:eastAsia="仿宋_GB2312"/>
          <w:sz w:val="32"/>
          <w:szCs w:val="32"/>
        </w:rPr>
        <w:t>21年增减少9.57万元，下降19.75</w:t>
      </w:r>
      <w:r>
        <w:rPr>
          <w:rFonts w:ascii="仿宋_GB2312" w:eastAsia="仿宋_GB2312"/>
          <w:sz w:val="32"/>
          <w:szCs w:val="32"/>
        </w:rPr>
        <w:t>%</w:t>
      </w:r>
      <w:r>
        <w:rPr>
          <w:rFonts w:hint="eastAsia" w:ascii="仿宋_GB2312" w:eastAsia="仿宋_GB2312"/>
          <w:sz w:val="32"/>
          <w:szCs w:val="32"/>
        </w:rPr>
        <w:t>。主要原因是 “三公”经费下调，</w:t>
      </w:r>
      <w:r>
        <w:rPr>
          <w:rFonts w:hint="eastAsia" w:ascii="仿宋_GB2312" w:eastAsia="仿宋_GB2312"/>
          <w:sz w:val="32"/>
          <w:szCs w:val="32"/>
          <w:lang w:eastAsia="zh-CN"/>
        </w:rPr>
        <w:t>厉</w:t>
      </w:r>
      <w:bookmarkStart w:id="103" w:name="_GoBack"/>
      <w:bookmarkEnd w:id="103"/>
      <w:r>
        <w:rPr>
          <w:rFonts w:hint="eastAsia" w:ascii="仿宋_GB2312" w:eastAsia="仿宋_GB2312"/>
          <w:sz w:val="32"/>
          <w:szCs w:val="32"/>
        </w:rPr>
        <w:t>行节约严格办公经费管理。</w:t>
      </w:r>
    </w:p>
    <w:p w14:paraId="6E935DA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14:paraId="7D3AA2D7">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22年，攀枝花市西区农业农村和交通运输局政府采购支出总额0万元，其中：政府采购货物支出0万元、政府采购工程支出0万元、政府采购服务支出0万元。授予中小企业合同金额0万元，占政府采购支出总额的0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48EBCB0A">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14:paraId="69B7469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日，攀枝花市西区农业农村和交通运输局共有车辆2辆，其中：主要领导干部用车0辆、机要通信用车0辆、应急保障用车0辆、其他用车2辆，其他用车主要是用于农业执法。单价</w:t>
      </w:r>
      <w:r>
        <w:rPr>
          <w:rFonts w:ascii="仿宋_GB2312" w:eastAsia="仿宋_GB2312"/>
          <w:sz w:val="32"/>
          <w:szCs w:val="32"/>
        </w:rPr>
        <w:t>100</w:t>
      </w:r>
      <w:r>
        <w:rPr>
          <w:rFonts w:hint="eastAsia" w:ascii="仿宋_GB2312" w:eastAsia="仿宋_GB2312"/>
          <w:sz w:val="32"/>
          <w:szCs w:val="32"/>
        </w:rPr>
        <w:t>万元以上专用设备0台（套）。</w:t>
      </w:r>
    </w:p>
    <w:p w14:paraId="3AE4E56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65A5F30">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非洲猪瘟项目和疫情防控项目等2个项目开展了预算事前绩效评估，对2个项目编制了绩效目标，预算执行过程中，选取2个项目开展绩效监控，组织对2个项目开展绩效自评，绩效自评表详见第四部分附件。</w:t>
      </w:r>
    </w:p>
    <w:p w14:paraId="5EFBCEAB">
      <w:pPr>
        <w:widowControl/>
        <w:jc w:val="left"/>
        <w:rPr>
          <w:rFonts w:ascii="仿宋_GB2312" w:eastAsia="仿宋_GB2312"/>
          <w:b/>
          <w:sz w:val="32"/>
          <w:szCs w:val="32"/>
        </w:rPr>
      </w:pPr>
      <w:r>
        <w:rPr>
          <w:rFonts w:ascii="仿宋_GB2312" w:eastAsia="仿宋_GB2312"/>
          <w:b/>
          <w:sz w:val="32"/>
          <w:szCs w:val="32"/>
        </w:rPr>
        <w:br w:type="page"/>
      </w:r>
    </w:p>
    <w:p w14:paraId="25A9261E">
      <w:pPr>
        <w:numPr>
          <w:ilvl w:val="0"/>
          <w:numId w:val="4"/>
        </w:numPr>
        <w:spacing w:line="600" w:lineRule="exact"/>
        <w:ind w:firstLine="660" w:firstLineChars="150"/>
        <w:jc w:val="center"/>
        <w:outlineLvl w:val="0"/>
        <w:rPr>
          <w:rStyle w:val="24"/>
          <w:rFonts w:ascii="黑体" w:hAnsi="黑体" w:eastAsia="黑体"/>
          <w:b w:val="0"/>
        </w:rPr>
      </w:pPr>
      <w:bookmarkStart w:id="67" w:name="_Toc15396613"/>
      <w:bookmarkStart w:id="68" w:name="_Toc15377225"/>
      <w:bookmarkStart w:id="69" w:name="_Toc19840"/>
      <w:r>
        <w:rPr>
          <w:rFonts w:hint="eastAsia" w:ascii="黑体" w:hAnsi="黑体" w:eastAsia="黑体"/>
          <w:sz w:val="44"/>
          <w:szCs w:val="44"/>
        </w:rPr>
        <w:t>名</w:t>
      </w:r>
      <w:r>
        <w:rPr>
          <w:rStyle w:val="24"/>
          <w:rFonts w:hint="eastAsia" w:ascii="黑体" w:hAnsi="黑体" w:eastAsia="黑体"/>
          <w:b w:val="0"/>
        </w:rPr>
        <w:t>词解释</w:t>
      </w:r>
      <w:bookmarkEnd w:id="67"/>
      <w:bookmarkEnd w:id="68"/>
      <w:bookmarkEnd w:id="69"/>
    </w:p>
    <w:p w14:paraId="571D1693">
      <w:pPr>
        <w:spacing w:line="600" w:lineRule="exact"/>
        <w:jc w:val="left"/>
        <w:rPr>
          <w:rFonts w:ascii="宋体"/>
          <w:b/>
          <w:sz w:val="44"/>
          <w:szCs w:val="44"/>
        </w:rPr>
      </w:pPr>
    </w:p>
    <w:p w14:paraId="60AE6B28">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EF147D4">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58B4A6FD">
      <w:pPr>
        <w:pStyle w:val="22"/>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054AFC3B">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1ED72C5E">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2759D4D7">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271270B3">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41C7F4E">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D7CEAAC">
      <w:pPr>
        <w:spacing w:line="600" w:lineRule="exact"/>
        <w:ind w:firstLine="640" w:firstLineChars="200"/>
        <w:rPr>
          <w:rStyle w:val="14"/>
          <w:rFonts w:ascii="仿宋_GB2312" w:hAnsi="仿宋" w:eastAsia="仿宋_GB2312"/>
          <w:b w:val="0"/>
          <w:bCs/>
          <w:sz w:val="32"/>
          <w:szCs w:val="32"/>
        </w:rPr>
      </w:pPr>
      <w:r>
        <w:rPr>
          <w:rFonts w:hint="eastAsia" w:ascii="仿宋_GB2312" w:eastAsia="仿宋_GB2312"/>
          <w:sz w:val="32"/>
          <w:szCs w:val="32"/>
        </w:rPr>
        <w:t>9</w:t>
      </w:r>
      <w:r>
        <w:rPr>
          <w:rFonts w:ascii="仿宋_GB2312" w:eastAsia="仿宋_GB2312"/>
          <w:sz w:val="32"/>
          <w:szCs w:val="32"/>
        </w:rPr>
        <w:t>.</w:t>
      </w:r>
      <w:r>
        <w:rPr>
          <w:rStyle w:val="14"/>
          <w:rFonts w:hint="eastAsia" w:ascii="仿宋_GB2312" w:hAnsi="仿宋" w:eastAsia="仿宋_GB2312"/>
          <w:b w:val="0"/>
          <w:bCs/>
          <w:sz w:val="32"/>
          <w:szCs w:val="32"/>
        </w:rPr>
        <w:t xml:space="preserve"> 社会保障和就业（类）行政事业单位养老支出（款）</w:t>
      </w:r>
    </w:p>
    <w:p w14:paraId="39256DAF">
      <w:pPr>
        <w:ind w:firstLine="640" w:firstLineChars="200"/>
        <w:rPr>
          <w:rFonts w:ascii="仿宋_GB2312" w:eastAsia="仿宋_GB2312"/>
          <w:sz w:val="32"/>
          <w:szCs w:val="32"/>
        </w:rPr>
      </w:pPr>
      <w:r>
        <w:rPr>
          <w:rStyle w:val="14"/>
          <w:rFonts w:hint="eastAsia" w:ascii="仿宋_GB2312" w:hAnsi="仿宋" w:eastAsia="仿宋_GB2312"/>
          <w:b w:val="0"/>
          <w:bCs/>
          <w:sz w:val="32"/>
          <w:szCs w:val="32"/>
        </w:rPr>
        <w:t>行政单位离退休（项）</w:t>
      </w:r>
      <w:r>
        <w:rPr>
          <w:rFonts w:hint="eastAsia" w:ascii="仿宋_GB2312" w:eastAsia="仿宋_GB2312"/>
          <w:sz w:val="32"/>
          <w:szCs w:val="32"/>
        </w:rPr>
        <w:t>：指行政单位退休人员支出费用。</w:t>
      </w:r>
    </w:p>
    <w:p w14:paraId="41B29ED8">
      <w:pPr>
        <w:spacing w:line="600" w:lineRule="exact"/>
        <w:ind w:firstLine="420" w:firstLineChars="200"/>
        <w:rPr>
          <w:rStyle w:val="14"/>
          <w:rFonts w:ascii="仿宋_GB2312" w:hAnsi="仿宋" w:eastAsia="仿宋_GB2312"/>
          <w:b w:val="0"/>
          <w:bCs/>
          <w:sz w:val="32"/>
          <w:szCs w:val="32"/>
        </w:rPr>
      </w:pPr>
      <w:r>
        <w:rPr>
          <w:rFonts w:hint="eastAsia" w:ascii="仿宋_GB2312" w:eastAsia="仿宋_GB2312"/>
        </w:rPr>
        <w:t xml:space="preserve">     </w:t>
      </w:r>
      <w:r>
        <w:rPr>
          <w:rStyle w:val="14"/>
          <w:rFonts w:hint="eastAsia" w:ascii="仿宋_GB2312" w:hAnsi="仿宋" w:eastAsia="仿宋_GB2312"/>
          <w:b w:val="0"/>
          <w:bCs/>
          <w:sz w:val="32"/>
          <w:szCs w:val="32"/>
        </w:rPr>
        <w:t>社会保障和就业（类）行政事业单位养老支出（款）</w:t>
      </w:r>
    </w:p>
    <w:p w14:paraId="336700F4">
      <w:pPr>
        <w:pStyle w:val="2"/>
        <w:spacing w:before="93"/>
      </w:pPr>
      <w:r>
        <w:rPr>
          <w:rStyle w:val="14"/>
          <w:rFonts w:hint="eastAsia" w:hAnsi="仿宋"/>
          <w:b w:val="0"/>
          <w:bCs/>
          <w:sz w:val="32"/>
          <w:szCs w:val="32"/>
        </w:rPr>
        <w:t>机关事业单位基本养老保险缴费支出（项）</w:t>
      </w:r>
      <w:r>
        <w:rPr>
          <w:rFonts w:hint="eastAsia"/>
        </w:rPr>
        <w:t>：指行政事业单位缴纳在职人员养老保险单位部分支出。</w:t>
      </w:r>
    </w:p>
    <w:p w14:paraId="51DD79A9">
      <w:pPr>
        <w:spacing w:line="600" w:lineRule="exact"/>
        <w:ind w:firstLine="640" w:firstLineChars="200"/>
        <w:rPr>
          <w:rFonts w:ascii="仿宋_GB2312" w:hAnsi="仿宋" w:eastAsia="仿宋_GB2312"/>
          <w:bCs/>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 w:hAnsi="仿宋" w:eastAsia="仿宋"/>
          <w:b/>
          <w:bCs/>
          <w:sz w:val="32"/>
          <w:szCs w:val="32"/>
        </w:rPr>
        <w:t xml:space="preserve"> </w:t>
      </w:r>
      <w:r>
        <w:rPr>
          <w:rFonts w:hint="eastAsia" w:ascii="仿宋_GB2312" w:hAnsi="仿宋" w:eastAsia="仿宋_GB2312"/>
          <w:bCs/>
          <w:sz w:val="32"/>
          <w:szCs w:val="32"/>
        </w:rPr>
        <w:t>卫生健康</w:t>
      </w:r>
      <w:r>
        <w:rPr>
          <w:rStyle w:val="14"/>
          <w:rFonts w:hint="eastAsia" w:ascii="仿宋_GB2312" w:hAnsi="仿宋" w:eastAsia="仿宋_GB2312"/>
          <w:b w:val="0"/>
          <w:bCs/>
          <w:sz w:val="32"/>
          <w:szCs w:val="32"/>
        </w:rPr>
        <w:t>（类）行政事业单位医疗（款）行政单位医疗（项）:指行政单位缴纳在职人员医疗保险单位部分支出。</w:t>
      </w:r>
    </w:p>
    <w:p w14:paraId="7C2D65C9">
      <w:pPr>
        <w:spacing w:line="600" w:lineRule="exact"/>
        <w:ind w:firstLine="640" w:firstLineChars="200"/>
        <w:rPr>
          <w:rStyle w:val="14"/>
          <w:rFonts w:ascii="仿宋_GB2312" w:hAnsi="仿宋" w:eastAsia="仿宋_GB2312"/>
          <w:b w:val="0"/>
          <w:bCs/>
          <w:sz w:val="32"/>
          <w:szCs w:val="32"/>
        </w:rPr>
      </w:pPr>
      <w:r>
        <w:rPr>
          <w:rFonts w:hint="eastAsia" w:ascii="仿宋_GB2312" w:hAnsi="仿宋" w:eastAsia="仿宋_GB2312"/>
          <w:bCs/>
          <w:sz w:val="32"/>
          <w:szCs w:val="32"/>
        </w:rPr>
        <w:t>卫生健康</w:t>
      </w:r>
      <w:r>
        <w:rPr>
          <w:rStyle w:val="14"/>
          <w:rFonts w:hint="eastAsia" w:ascii="仿宋_GB2312" w:hAnsi="仿宋" w:eastAsia="仿宋_GB2312"/>
          <w:b w:val="0"/>
          <w:bCs/>
          <w:sz w:val="32"/>
          <w:szCs w:val="32"/>
        </w:rPr>
        <w:t>（类）行政事业单位医疗（款）事业单位医疗（项）:指事业单位缴纳在职人员医疗保险单位部分支出。</w:t>
      </w:r>
    </w:p>
    <w:p w14:paraId="5EF07775">
      <w:pPr>
        <w:pStyle w:val="2"/>
        <w:spacing w:before="93"/>
        <w:rPr>
          <w:rStyle w:val="14"/>
          <w:rFonts w:ascii="仿宋" w:hAnsi="仿宋" w:eastAsia="仿宋"/>
          <w:b w:val="0"/>
          <w:bCs/>
          <w:sz w:val="32"/>
          <w:szCs w:val="32"/>
        </w:rPr>
      </w:pPr>
      <w:r>
        <w:rPr>
          <w:rStyle w:val="14"/>
          <w:rFonts w:hint="eastAsia" w:hAnsi="仿宋"/>
          <w:b w:val="0"/>
          <w:bCs/>
          <w:sz w:val="32"/>
          <w:szCs w:val="32"/>
        </w:rPr>
        <w:t xml:space="preserve">    </w:t>
      </w:r>
      <w:r>
        <w:rPr>
          <w:rFonts w:hint="eastAsia" w:hAnsi="仿宋"/>
          <w:bCs/>
          <w:sz w:val="32"/>
          <w:szCs w:val="32"/>
        </w:rPr>
        <w:t>卫生健康</w:t>
      </w:r>
      <w:r>
        <w:rPr>
          <w:rStyle w:val="14"/>
          <w:rFonts w:hint="eastAsia" w:hAnsi="仿宋"/>
          <w:b w:val="0"/>
          <w:bCs/>
          <w:sz w:val="32"/>
          <w:szCs w:val="32"/>
        </w:rPr>
        <w:t>（类）行政事业单位医疗（款）公务员医疗补助（项）:</w:t>
      </w:r>
      <w:r>
        <w:rPr>
          <w:rStyle w:val="14"/>
          <w:rFonts w:hint="eastAsia" w:ascii="仿宋" w:hAnsi="仿宋" w:eastAsia="仿宋"/>
          <w:b w:val="0"/>
          <w:bCs/>
          <w:sz w:val="32"/>
          <w:szCs w:val="32"/>
        </w:rPr>
        <w:t>指行政事业单位缴纳在职人员医疗补助部分。</w:t>
      </w:r>
    </w:p>
    <w:p w14:paraId="5E3E41BB">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城乡社区（类）国有土地使用权出让收入安排的支出（款）土地开发支出（项）：指农业和交通项目支出。</w:t>
      </w:r>
    </w:p>
    <w:p w14:paraId="5D69072D">
      <w:pPr>
        <w:ind w:firstLine="640" w:firstLineChars="200"/>
        <w:rPr>
          <w:rFonts w:ascii="仿宋_GB2312" w:eastAsia="仿宋_GB2312"/>
          <w:sz w:val="32"/>
          <w:szCs w:val="32"/>
        </w:rPr>
      </w:pPr>
      <w:r>
        <w:rPr>
          <w:rFonts w:hint="eastAsia" w:ascii="仿宋_GB2312" w:eastAsia="仿宋_GB2312"/>
          <w:sz w:val="32"/>
          <w:szCs w:val="32"/>
        </w:rPr>
        <w:t>城乡社区（类）国有土地使用权出让收入安排的支出（款）农业农村生态环境支出（项）：指农业专项支出。</w:t>
      </w:r>
    </w:p>
    <w:p w14:paraId="558C1D5D">
      <w:pPr>
        <w:spacing w:line="600" w:lineRule="exact"/>
        <w:ind w:firstLine="640" w:firstLineChars="200"/>
        <w:rPr>
          <w:rStyle w:val="14"/>
          <w:rFonts w:ascii="仿宋" w:hAnsi="仿宋" w:eastAsia="仿宋"/>
          <w:b w:val="0"/>
          <w:bCs/>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 w:hAnsi="仿宋" w:eastAsia="仿宋"/>
          <w:b/>
          <w:bCs/>
          <w:sz w:val="32"/>
          <w:szCs w:val="32"/>
        </w:rPr>
        <w:t xml:space="preserve"> 农林水支出（类）农业农村（款）行政运行（项）：</w:t>
      </w:r>
      <w:r>
        <w:rPr>
          <w:rStyle w:val="14"/>
          <w:rFonts w:hint="eastAsia" w:ascii="仿宋" w:hAnsi="仿宋" w:eastAsia="仿宋"/>
          <w:b w:val="0"/>
          <w:bCs/>
          <w:sz w:val="32"/>
          <w:szCs w:val="32"/>
        </w:rPr>
        <w:t>指行政单位基本支出。</w:t>
      </w:r>
    </w:p>
    <w:p w14:paraId="1552A442">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农林水支出（类）农业农村（款）事业运行（项）：</w:t>
      </w:r>
      <w:r>
        <w:rPr>
          <w:rStyle w:val="14"/>
          <w:rFonts w:hint="eastAsia" w:ascii="仿宋" w:hAnsi="仿宋" w:eastAsia="仿宋"/>
          <w:b w:val="0"/>
          <w:bCs/>
          <w:sz w:val="32"/>
          <w:szCs w:val="32"/>
        </w:rPr>
        <w:t>指事业单位基本支出。</w:t>
      </w:r>
    </w:p>
    <w:p w14:paraId="0B8F21CF">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指农业专项项目支出。</w:t>
      </w:r>
    </w:p>
    <w:p w14:paraId="075EA27C">
      <w:pPr>
        <w:spacing w:line="600" w:lineRule="exact"/>
        <w:ind w:firstLine="643" w:firstLineChars="200"/>
        <w:rPr>
          <w:rStyle w:val="14"/>
          <w:rFonts w:ascii="仿宋" w:hAnsi="仿宋" w:eastAsia="仿宋"/>
          <w:b w:val="0"/>
          <w:bCs/>
          <w:sz w:val="32"/>
          <w:szCs w:val="32"/>
        </w:rPr>
      </w:pPr>
      <w:r>
        <w:rPr>
          <w:rFonts w:hint="eastAsia" w:ascii="仿宋" w:hAnsi="仿宋" w:eastAsia="仿宋"/>
          <w:b/>
          <w:bCs/>
          <w:sz w:val="32"/>
          <w:szCs w:val="32"/>
        </w:rPr>
        <w:t>农林水支出（类）农村综合改革（款）对村级公益事业建设的补助（项）：</w:t>
      </w:r>
      <w:r>
        <w:rPr>
          <w:rStyle w:val="14"/>
          <w:rFonts w:hint="eastAsia" w:ascii="仿宋" w:hAnsi="仿宋" w:eastAsia="仿宋"/>
          <w:b w:val="0"/>
          <w:bCs/>
          <w:sz w:val="32"/>
          <w:szCs w:val="32"/>
        </w:rPr>
        <w:t>指农业专项项目支出。</w:t>
      </w:r>
    </w:p>
    <w:p w14:paraId="0C399309">
      <w:pPr>
        <w:spacing w:line="600" w:lineRule="exact"/>
        <w:ind w:firstLine="420" w:firstLineChars="200"/>
        <w:rPr>
          <w:rStyle w:val="14"/>
          <w:rFonts w:ascii="仿宋" w:hAnsi="仿宋" w:eastAsia="仿宋"/>
          <w:b w:val="0"/>
          <w:bCs/>
          <w:sz w:val="32"/>
          <w:szCs w:val="32"/>
        </w:rPr>
      </w:pPr>
      <w:r>
        <w:rPr>
          <w:rFonts w:hint="eastAsia"/>
        </w:rPr>
        <w:t xml:space="preserve">    </w:t>
      </w:r>
      <w:r>
        <w:rPr>
          <w:rFonts w:hint="eastAsia" w:ascii="仿宋" w:hAnsi="仿宋" w:eastAsia="仿宋"/>
          <w:b/>
          <w:bCs/>
          <w:sz w:val="32"/>
          <w:szCs w:val="32"/>
        </w:rPr>
        <w:t>农林水支出（类）普惠金融发展支出（款）农业保险保费支出（项）：</w:t>
      </w:r>
      <w:r>
        <w:rPr>
          <w:rStyle w:val="14"/>
          <w:rFonts w:hint="eastAsia" w:ascii="仿宋" w:hAnsi="仿宋" w:eastAsia="仿宋"/>
          <w:b w:val="0"/>
          <w:bCs/>
          <w:sz w:val="32"/>
          <w:szCs w:val="32"/>
        </w:rPr>
        <w:t>指农业保险支出。</w:t>
      </w:r>
    </w:p>
    <w:p w14:paraId="72A0749A">
      <w:pPr>
        <w:pStyle w:val="2"/>
        <w:spacing w:before="93"/>
      </w:pPr>
      <w:r>
        <w:rPr>
          <w:rFonts w:hint="eastAsia"/>
          <w:sz w:val="32"/>
          <w:szCs w:val="32"/>
        </w:rPr>
        <w:t xml:space="preserve"> 13.</w:t>
      </w:r>
      <w:r>
        <w:rPr>
          <w:rFonts w:hint="eastAsia"/>
        </w:rPr>
        <w:t>交通运输支出（类）公路水路运输（款）其他公路水路运输支出（项）：指交通运输专项支出。</w:t>
      </w:r>
    </w:p>
    <w:p w14:paraId="5AE0219B">
      <w:pPr>
        <w:pStyle w:val="2"/>
        <w:spacing w:before="93"/>
      </w:pPr>
      <w:r>
        <w:rPr>
          <w:rFonts w:hint="eastAsia"/>
        </w:rPr>
        <w:t xml:space="preserve">     交通运输支出（类）其他交通运输支出（款）其他交通运输支出（项）：指交通运输专项支出。</w:t>
      </w:r>
    </w:p>
    <w:p w14:paraId="05108A5F">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 xml:space="preserve"> 住房保障支出（类）住房改革支出（款）住房公积金（项）：指行政事业单位缴纳在职人员公积金单位部分。</w:t>
      </w:r>
    </w:p>
    <w:p w14:paraId="33CE0E67">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649E897F">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1880CC56">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09D97767">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9954B6B">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F1827D">
      <w:pPr>
        <w:pStyle w:val="22"/>
        <w:spacing w:line="560" w:lineRule="exact"/>
        <w:ind w:firstLine="640" w:firstLineChars="200"/>
        <w:rPr>
          <w:rFonts w:ascii="仿宋_GB2312" w:eastAsia="仿宋_GB2312" w:cs="黑体"/>
          <w:color w:val="auto"/>
          <w:sz w:val="32"/>
          <w:szCs w:val="32"/>
        </w:rPr>
      </w:pPr>
    </w:p>
    <w:p w14:paraId="6220617F">
      <w:pPr>
        <w:ind w:firstLine="643" w:firstLineChars="200"/>
        <w:rPr>
          <w:rFonts w:ascii="仿宋" w:hAnsi="仿宋" w:eastAsia="仿宋"/>
          <w:b/>
          <w:sz w:val="32"/>
          <w:szCs w:val="32"/>
        </w:rPr>
      </w:pPr>
    </w:p>
    <w:p w14:paraId="750C9932">
      <w:pPr>
        <w:spacing w:line="600" w:lineRule="exact"/>
        <w:jc w:val="center"/>
        <w:outlineLvl w:val="0"/>
        <w:rPr>
          <w:rStyle w:val="24"/>
          <w:rFonts w:ascii="黑体" w:hAnsi="黑体" w:eastAsia="黑体"/>
          <w:b w:val="0"/>
        </w:rPr>
      </w:pPr>
      <w:bookmarkStart w:id="70" w:name="_Toc15377226"/>
      <w:r>
        <w:rPr>
          <w:rFonts w:ascii="宋体"/>
          <w:b/>
          <w:sz w:val="44"/>
          <w:szCs w:val="44"/>
        </w:rPr>
        <w:br w:type="page"/>
      </w:r>
      <w:bookmarkStart w:id="71" w:name="_Toc31127"/>
      <w:bookmarkStart w:id="72" w:name="_Toc15396614"/>
      <w:r>
        <w:rPr>
          <w:rFonts w:hint="eastAsia" w:ascii="黑体" w:hAnsi="黑体" w:eastAsia="黑体"/>
          <w:sz w:val="44"/>
          <w:szCs w:val="44"/>
        </w:rPr>
        <w:t>第</w:t>
      </w:r>
      <w:r>
        <w:rPr>
          <w:rStyle w:val="24"/>
          <w:rFonts w:hint="eastAsia" w:ascii="黑体" w:hAnsi="黑体" w:eastAsia="黑体"/>
          <w:b w:val="0"/>
        </w:rPr>
        <w:t>四部分 附件</w:t>
      </w:r>
      <w:bookmarkEnd w:id="71"/>
      <w:bookmarkEnd w:id="72"/>
    </w:p>
    <w:p w14:paraId="5F3D6336">
      <w:pPr>
        <w:spacing w:line="572" w:lineRule="exact"/>
        <w:jc w:val="left"/>
        <w:outlineLvl w:val="9"/>
        <w:rPr>
          <w:rFonts w:ascii="仿宋_GB2312" w:hAnsi="仿宋_GB2312" w:eastAsia="仿宋_GB2312" w:cs="仿宋_GB2312"/>
          <w:sz w:val="32"/>
          <w:szCs w:val="32"/>
        </w:rPr>
      </w:pPr>
    </w:p>
    <w:p w14:paraId="0ECF8B0A">
      <w:pPr>
        <w:spacing w:line="600" w:lineRule="exact"/>
        <w:jc w:val="center"/>
        <w:outlineLvl w:val="0"/>
        <w:rPr>
          <w:rFonts w:ascii="宋体" w:hAnsi="宋体" w:cs="宋体"/>
          <w:kern w:val="0"/>
          <w:sz w:val="32"/>
          <w:szCs w:val="32"/>
        </w:rPr>
      </w:pPr>
      <w:bookmarkStart w:id="73" w:name="_Toc14157"/>
      <w:bookmarkStart w:id="74" w:name="_Toc15396618"/>
      <w:r>
        <w:rPr>
          <w:rFonts w:hint="eastAsia" w:ascii="宋体" w:hAnsi="宋体" w:cs="宋体"/>
          <w:kern w:val="0"/>
          <w:sz w:val="32"/>
          <w:szCs w:val="32"/>
        </w:rPr>
        <w:t>部门预算项目支出绩效自评表（2022年度）见附件*</w:t>
      </w:r>
      <w:bookmarkEnd w:id="73"/>
    </w:p>
    <w:p w14:paraId="72D1E1CA">
      <w:pPr>
        <w:spacing w:line="600" w:lineRule="exact"/>
        <w:jc w:val="left"/>
        <w:outlineLvl w:val="9"/>
        <w:rPr>
          <w:rFonts w:ascii="仿宋_GB2312" w:hAnsi="Calibri" w:eastAsia="仿宋_GB2312" w:cs="仿宋"/>
          <w:kern w:val="0"/>
          <w:sz w:val="32"/>
          <w:szCs w:val="32"/>
        </w:rPr>
      </w:pPr>
    </w:p>
    <w:p w14:paraId="0608EA05">
      <w:pPr>
        <w:spacing w:line="600" w:lineRule="exact"/>
        <w:ind w:firstLine="640" w:firstLineChars="200"/>
        <w:jc w:val="left"/>
        <w:outlineLvl w:val="0"/>
        <w:rPr>
          <w:rFonts w:ascii="仿宋_GB2312" w:hAnsi="Calibri" w:eastAsia="仿宋_GB2312" w:cs="仿宋"/>
          <w:kern w:val="0"/>
          <w:sz w:val="32"/>
          <w:szCs w:val="32"/>
        </w:rPr>
      </w:pPr>
      <w:bookmarkStart w:id="75" w:name="_Toc13612"/>
      <w:r>
        <w:rPr>
          <w:rFonts w:hint="eastAsia" w:ascii="仿宋_GB2312" w:hAnsi="Calibri" w:eastAsia="仿宋_GB2312" w:cs="仿宋"/>
          <w:kern w:val="0"/>
          <w:sz w:val="32"/>
          <w:szCs w:val="32"/>
        </w:rPr>
        <w:t>（备注：按照绩效自评工作安排，各单位可在预算管理一体化系统—综合报表查询（注意：年度选2</w:t>
      </w:r>
      <w:r>
        <w:rPr>
          <w:rFonts w:ascii="仿宋_GB2312" w:hAnsi="Calibri" w:eastAsia="仿宋_GB2312" w:cs="仿宋"/>
          <w:kern w:val="0"/>
          <w:sz w:val="32"/>
          <w:szCs w:val="32"/>
        </w:rPr>
        <w:t>022</w:t>
      </w:r>
      <w:r>
        <w:rPr>
          <w:rFonts w:hint="eastAsia" w:ascii="仿宋_GB2312" w:hAnsi="Calibri" w:eastAsia="仿宋_GB2312" w:cs="仿宋"/>
          <w:kern w:val="0"/>
          <w:sz w:val="32"/>
          <w:szCs w:val="32"/>
        </w:rPr>
        <w:t>年度）—预算编制报表—部门预算—预算绩效报表模块中下载本单位“部门预算项目支出绩效自评表”，该表格应作为附件予以公开。）</w:t>
      </w:r>
      <w:bookmarkEnd w:id="75"/>
    </w:p>
    <w:p w14:paraId="7F99EF45">
      <w:pPr>
        <w:pStyle w:val="2"/>
        <w:spacing w:before="93"/>
        <w:rPr>
          <w:rFonts w:hAnsi="Calibri" w:cs="仿宋"/>
          <w:sz w:val="32"/>
          <w:szCs w:val="32"/>
        </w:rPr>
      </w:pPr>
    </w:p>
    <w:p w14:paraId="475A7E83">
      <w:pPr>
        <w:pStyle w:val="2"/>
        <w:spacing w:before="93"/>
        <w:rPr>
          <w:rFonts w:hAnsi="Calibri" w:cs="仿宋"/>
          <w:sz w:val="32"/>
          <w:szCs w:val="32"/>
        </w:rPr>
      </w:pPr>
    </w:p>
    <w:p w14:paraId="5A7A25ED">
      <w:pPr>
        <w:pStyle w:val="2"/>
        <w:spacing w:before="93"/>
        <w:rPr>
          <w:rFonts w:hAnsi="Calibri" w:cs="仿宋"/>
          <w:sz w:val="32"/>
          <w:szCs w:val="32"/>
        </w:rPr>
      </w:pPr>
    </w:p>
    <w:p w14:paraId="2B7745A4">
      <w:pPr>
        <w:pStyle w:val="2"/>
        <w:spacing w:before="93"/>
        <w:rPr>
          <w:rFonts w:hAnsi="Calibri" w:cs="仿宋"/>
          <w:sz w:val="32"/>
          <w:szCs w:val="32"/>
        </w:rPr>
      </w:pPr>
    </w:p>
    <w:p w14:paraId="52FEABE5">
      <w:pPr>
        <w:pStyle w:val="2"/>
        <w:spacing w:before="93"/>
        <w:rPr>
          <w:rFonts w:hAnsi="Calibri" w:cs="仿宋"/>
          <w:sz w:val="32"/>
          <w:szCs w:val="32"/>
        </w:rPr>
      </w:pPr>
    </w:p>
    <w:p w14:paraId="7CE2E493">
      <w:pPr>
        <w:pStyle w:val="2"/>
        <w:spacing w:before="93"/>
        <w:rPr>
          <w:rFonts w:hAnsi="Calibri" w:cs="仿宋"/>
          <w:sz w:val="32"/>
          <w:szCs w:val="32"/>
        </w:rPr>
      </w:pPr>
    </w:p>
    <w:p w14:paraId="7A4D37DF">
      <w:pPr>
        <w:pStyle w:val="2"/>
        <w:spacing w:before="93"/>
        <w:rPr>
          <w:rFonts w:hAnsi="Calibri" w:cs="仿宋"/>
          <w:sz w:val="32"/>
          <w:szCs w:val="32"/>
        </w:rPr>
      </w:pPr>
    </w:p>
    <w:p w14:paraId="0D5F3B9D">
      <w:pPr>
        <w:pStyle w:val="2"/>
        <w:spacing w:before="93"/>
        <w:rPr>
          <w:rFonts w:hAnsi="Calibri" w:cs="仿宋"/>
          <w:sz w:val="32"/>
          <w:szCs w:val="32"/>
        </w:rPr>
      </w:pPr>
    </w:p>
    <w:p w14:paraId="4BEC1631">
      <w:pPr>
        <w:pStyle w:val="2"/>
        <w:spacing w:before="93"/>
        <w:rPr>
          <w:rFonts w:hAnsi="Calibri" w:cs="仿宋"/>
          <w:sz w:val="32"/>
          <w:szCs w:val="32"/>
        </w:rPr>
      </w:pPr>
    </w:p>
    <w:p w14:paraId="0DC05FB9">
      <w:pPr>
        <w:pStyle w:val="2"/>
        <w:spacing w:before="93"/>
        <w:rPr>
          <w:rFonts w:hAnsi="Calibri" w:cs="仿宋"/>
          <w:sz w:val="32"/>
          <w:szCs w:val="32"/>
        </w:rPr>
      </w:pPr>
    </w:p>
    <w:p w14:paraId="7F5E87E3">
      <w:pPr>
        <w:pStyle w:val="2"/>
        <w:spacing w:before="93"/>
        <w:rPr>
          <w:rFonts w:hAnsi="Calibri" w:cs="仿宋"/>
          <w:sz w:val="32"/>
          <w:szCs w:val="32"/>
        </w:rPr>
      </w:pPr>
    </w:p>
    <w:p w14:paraId="432DC1F9">
      <w:pPr>
        <w:pStyle w:val="2"/>
        <w:spacing w:before="93"/>
        <w:rPr>
          <w:rFonts w:hAnsi="Calibri" w:cs="仿宋"/>
          <w:sz w:val="32"/>
          <w:szCs w:val="32"/>
        </w:rPr>
      </w:pPr>
    </w:p>
    <w:p w14:paraId="3F6EC176">
      <w:pPr>
        <w:spacing w:line="600" w:lineRule="exact"/>
        <w:jc w:val="center"/>
        <w:outlineLvl w:val="0"/>
        <w:rPr>
          <w:rFonts w:ascii="仿宋" w:hAnsi="仿宋" w:eastAsia="仿宋"/>
        </w:rPr>
      </w:pPr>
      <w:bookmarkStart w:id="76" w:name="_Toc24509"/>
      <w:r>
        <w:rPr>
          <w:rFonts w:hint="eastAsia" w:ascii="黑体" w:hAnsi="黑体" w:eastAsia="黑体"/>
          <w:sz w:val="44"/>
          <w:szCs w:val="44"/>
        </w:rPr>
        <w:t>第</w:t>
      </w:r>
      <w:r>
        <w:rPr>
          <w:rStyle w:val="24"/>
          <w:rFonts w:hint="eastAsia" w:ascii="黑体" w:hAnsi="黑体" w:eastAsia="黑体"/>
          <w:b w:val="0"/>
        </w:rPr>
        <w:t>五部分 附表</w:t>
      </w:r>
      <w:bookmarkEnd w:id="70"/>
      <w:bookmarkEnd w:id="74"/>
      <w:bookmarkEnd w:id="76"/>
      <w:bookmarkStart w:id="77" w:name="_Toc15396619"/>
    </w:p>
    <w:p w14:paraId="7536C912">
      <w:pPr>
        <w:pStyle w:val="4"/>
        <w:rPr>
          <w:rFonts w:ascii="仿宋" w:hAnsi="仿宋" w:eastAsia="仿宋"/>
        </w:rPr>
      </w:pPr>
      <w:bookmarkStart w:id="78" w:name="_Toc22511"/>
      <w:r>
        <w:rPr>
          <w:rFonts w:hint="eastAsia" w:ascii="仿宋" w:hAnsi="仿宋" w:eastAsia="仿宋"/>
          <w:b w:val="0"/>
        </w:rPr>
        <w:t>一、收</w:t>
      </w:r>
      <w:r>
        <w:rPr>
          <w:rStyle w:val="25"/>
          <w:rFonts w:hint="eastAsia" w:ascii="仿宋" w:hAnsi="仿宋" w:eastAsia="仿宋"/>
          <w:b w:val="0"/>
          <w:bCs w:val="0"/>
        </w:rPr>
        <w:t>入支出决算总表</w:t>
      </w:r>
      <w:bookmarkEnd w:id="77"/>
      <w:bookmarkEnd w:id="78"/>
    </w:p>
    <w:p w14:paraId="38026571">
      <w:pPr>
        <w:pStyle w:val="4"/>
        <w:rPr>
          <w:rFonts w:ascii="仿宋" w:hAnsi="仿宋" w:eastAsia="仿宋"/>
        </w:rPr>
      </w:pPr>
      <w:bookmarkStart w:id="79" w:name="_Toc15396620"/>
      <w:bookmarkStart w:id="80" w:name="_Toc6746"/>
      <w:r>
        <w:rPr>
          <w:rFonts w:hint="eastAsia" w:ascii="仿宋" w:hAnsi="仿宋" w:eastAsia="仿宋"/>
          <w:b w:val="0"/>
        </w:rPr>
        <w:t>二、收</w:t>
      </w:r>
      <w:r>
        <w:rPr>
          <w:rStyle w:val="25"/>
          <w:rFonts w:hint="eastAsia" w:ascii="仿宋" w:hAnsi="仿宋" w:eastAsia="仿宋"/>
          <w:b w:val="0"/>
          <w:bCs w:val="0"/>
        </w:rPr>
        <w:t>入决算表</w:t>
      </w:r>
      <w:bookmarkEnd w:id="79"/>
      <w:bookmarkEnd w:id="80"/>
    </w:p>
    <w:p w14:paraId="3CC15430">
      <w:pPr>
        <w:pStyle w:val="4"/>
        <w:rPr>
          <w:rFonts w:ascii="仿宋" w:hAnsi="仿宋" w:eastAsia="仿宋"/>
        </w:rPr>
      </w:pPr>
      <w:bookmarkStart w:id="81" w:name="_Toc15396621"/>
      <w:bookmarkStart w:id="82" w:name="_Toc23044"/>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1"/>
      <w:bookmarkEnd w:id="82"/>
    </w:p>
    <w:p w14:paraId="5967B72F">
      <w:pPr>
        <w:pStyle w:val="4"/>
        <w:rPr>
          <w:rFonts w:ascii="仿宋" w:hAnsi="仿宋" w:eastAsia="仿宋"/>
          <w:b w:val="0"/>
        </w:rPr>
      </w:pPr>
      <w:bookmarkStart w:id="83" w:name="_Toc15396622"/>
      <w:bookmarkStart w:id="84" w:name="_Toc11889"/>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3"/>
      <w:bookmarkEnd w:id="84"/>
    </w:p>
    <w:p w14:paraId="09345787">
      <w:pPr>
        <w:pStyle w:val="4"/>
        <w:rPr>
          <w:rStyle w:val="25"/>
          <w:rFonts w:ascii="仿宋" w:hAnsi="仿宋" w:eastAsia="仿宋"/>
          <w:b w:val="0"/>
          <w:bCs w:val="0"/>
        </w:rPr>
      </w:pPr>
      <w:bookmarkStart w:id="85" w:name="_Toc15396623"/>
      <w:bookmarkStart w:id="86" w:name="_Toc1596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5"/>
      <w:bookmarkEnd w:id="86"/>
      <w:bookmarkStart w:id="87" w:name="_Toc15396624"/>
    </w:p>
    <w:p w14:paraId="10BD03BE">
      <w:pPr>
        <w:pStyle w:val="4"/>
        <w:rPr>
          <w:rFonts w:ascii="仿宋" w:hAnsi="仿宋" w:eastAsia="仿宋"/>
        </w:rPr>
      </w:pPr>
      <w:bookmarkStart w:id="88" w:name="_Toc20673"/>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7"/>
      <w:bookmarkEnd w:id="88"/>
    </w:p>
    <w:p w14:paraId="1D268304">
      <w:pPr>
        <w:pStyle w:val="4"/>
        <w:rPr>
          <w:rFonts w:ascii="仿宋" w:hAnsi="仿宋" w:eastAsia="仿宋"/>
        </w:rPr>
      </w:pPr>
      <w:bookmarkStart w:id="89" w:name="_Toc15396625"/>
      <w:bookmarkStart w:id="90" w:name="_Toc22034"/>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9"/>
      <w:bookmarkEnd w:id="90"/>
    </w:p>
    <w:p w14:paraId="090B5FA3">
      <w:pPr>
        <w:pStyle w:val="4"/>
        <w:rPr>
          <w:rFonts w:ascii="仿宋" w:hAnsi="仿宋" w:eastAsia="仿宋"/>
        </w:rPr>
      </w:pPr>
      <w:bookmarkStart w:id="91" w:name="_Toc15396626"/>
      <w:bookmarkStart w:id="92" w:name="_Toc18371"/>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1"/>
      <w:bookmarkEnd w:id="92"/>
    </w:p>
    <w:p w14:paraId="30D152C7">
      <w:pPr>
        <w:pStyle w:val="4"/>
        <w:rPr>
          <w:rFonts w:ascii="仿宋" w:hAnsi="仿宋" w:eastAsia="仿宋"/>
        </w:rPr>
      </w:pPr>
      <w:bookmarkStart w:id="93" w:name="_Toc15396627"/>
      <w:bookmarkStart w:id="94" w:name="_Toc2101"/>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3"/>
      <w:bookmarkEnd w:id="94"/>
    </w:p>
    <w:p w14:paraId="6279F57F">
      <w:pPr>
        <w:pStyle w:val="4"/>
        <w:rPr>
          <w:rFonts w:ascii="仿宋" w:hAnsi="仿宋" w:eastAsia="仿宋"/>
        </w:rPr>
      </w:pPr>
      <w:bookmarkStart w:id="95" w:name="_Toc15396628"/>
      <w:bookmarkStart w:id="96" w:name="_Toc30466"/>
      <w:r>
        <w:rPr>
          <w:rStyle w:val="25"/>
          <w:rFonts w:hint="eastAsia" w:ascii="仿宋" w:hAnsi="仿宋" w:eastAsia="仿宋"/>
          <w:b w:val="0"/>
          <w:bCs w:val="0"/>
        </w:rPr>
        <w:t>十、</w:t>
      </w:r>
      <w:bookmarkEnd w:id="95"/>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6"/>
    </w:p>
    <w:p w14:paraId="111E95DD">
      <w:pPr>
        <w:pStyle w:val="4"/>
        <w:rPr>
          <w:rFonts w:ascii="仿宋" w:hAnsi="仿宋" w:eastAsia="仿宋"/>
        </w:rPr>
      </w:pPr>
      <w:bookmarkStart w:id="97" w:name="_Toc15396629"/>
      <w:bookmarkStart w:id="98" w:name="_Toc2082"/>
      <w:r>
        <w:rPr>
          <w:rStyle w:val="25"/>
          <w:rFonts w:hint="eastAsia" w:ascii="仿宋" w:hAnsi="仿宋" w:eastAsia="仿宋"/>
          <w:b w:val="0"/>
          <w:bCs w:val="0"/>
        </w:rPr>
        <w:t>十一、</w:t>
      </w:r>
      <w:bookmarkEnd w:id="97"/>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98"/>
    </w:p>
    <w:p w14:paraId="31B46F1D">
      <w:pPr>
        <w:pStyle w:val="4"/>
        <w:rPr>
          <w:rFonts w:ascii="仿宋" w:hAnsi="仿宋" w:eastAsia="仿宋"/>
        </w:rPr>
      </w:pPr>
      <w:bookmarkStart w:id="99" w:name="_Toc15396630"/>
      <w:bookmarkStart w:id="100" w:name="_Toc12891"/>
      <w:r>
        <w:rPr>
          <w:rStyle w:val="25"/>
          <w:rFonts w:hint="eastAsia" w:ascii="仿宋" w:hAnsi="仿宋" w:eastAsia="仿宋"/>
          <w:b w:val="0"/>
          <w:bCs w:val="0"/>
        </w:rPr>
        <w:t>十二、</w:t>
      </w:r>
      <w:bookmarkEnd w:id="99"/>
      <w:r>
        <w:rPr>
          <w:rStyle w:val="25"/>
          <w:rFonts w:hint="eastAsia" w:ascii="仿宋" w:hAnsi="仿宋" w:eastAsia="仿宋"/>
          <w:b w:val="0"/>
          <w:bCs w:val="0"/>
        </w:rPr>
        <w:t>国有资本经营预算财政拨款支出决算表</w:t>
      </w:r>
      <w:bookmarkEnd w:id="100"/>
    </w:p>
    <w:p w14:paraId="165B575C">
      <w:pPr>
        <w:pStyle w:val="4"/>
        <w:rPr>
          <w:rFonts w:eastAsia="仿宋"/>
        </w:rPr>
      </w:pPr>
      <w:bookmarkStart w:id="101" w:name="_Toc15396631"/>
      <w:bookmarkStart w:id="102" w:name="_Toc30807"/>
      <w:r>
        <w:rPr>
          <w:rStyle w:val="25"/>
          <w:rFonts w:hint="eastAsia" w:ascii="仿宋" w:hAnsi="仿宋" w:eastAsia="仿宋"/>
          <w:b w:val="0"/>
          <w:bCs w:val="0"/>
        </w:rPr>
        <w:t>十三、</w:t>
      </w:r>
      <w:bookmarkEnd w:id="101"/>
      <w:r>
        <w:rPr>
          <w:rStyle w:val="25"/>
          <w:rFonts w:hint="eastAsia" w:ascii="仿宋" w:hAnsi="仿宋" w:eastAsia="仿宋"/>
          <w:b w:val="0"/>
          <w:bCs w:val="0"/>
        </w:rPr>
        <w:t>财政拨款“三公”经费支出决算表</w:t>
      </w:r>
      <w:bookmarkEnd w:id="102"/>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BEA2490">
        <w:pPr>
          <w:pStyle w:val="8"/>
          <w:jc w:val="center"/>
        </w:pPr>
        <w:r>
          <w:fldChar w:fldCharType="begin"/>
        </w:r>
        <w:r>
          <w:instrText xml:space="preserve">PAGE   \* MERGEFORMAT</w:instrText>
        </w:r>
        <w:r>
          <w:fldChar w:fldCharType="separate"/>
        </w:r>
        <w:r>
          <w:rPr>
            <w:lang w:val="zh-CN"/>
          </w:rPr>
          <w:t>23</w:t>
        </w:r>
        <w:r>
          <w:rPr>
            <w:lang w:val="zh-CN"/>
          </w:rPr>
          <w:fldChar w:fldCharType="end"/>
        </w:r>
      </w:p>
    </w:sdtContent>
  </w:sdt>
  <w:p w14:paraId="30C63D4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80D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lang w:val="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28B4"/>
    <w:rsid w:val="000A6A92"/>
    <w:rsid w:val="000B047F"/>
    <w:rsid w:val="000B5923"/>
    <w:rsid w:val="000B5A48"/>
    <w:rsid w:val="000B6FF3"/>
    <w:rsid w:val="000C1CE4"/>
    <w:rsid w:val="000C3467"/>
    <w:rsid w:val="000C3CA6"/>
    <w:rsid w:val="000D1267"/>
    <w:rsid w:val="000D1D50"/>
    <w:rsid w:val="000D5782"/>
    <w:rsid w:val="000E6613"/>
    <w:rsid w:val="000E7119"/>
    <w:rsid w:val="000F1FAD"/>
    <w:rsid w:val="000F3D30"/>
    <w:rsid w:val="00114E9B"/>
    <w:rsid w:val="00123991"/>
    <w:rsid w:val="001379E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80FA6"/>
    <w:rsid w:val="003A484F"/>
    <w:rsid w:val="003A4883"/>
    <w:rsid w:val="003B0BE0"/>
    <w:rsid w:val="003B0C1B"/>
    <w:rsid w:val="003B1458"/>
    <w:rsid w:val="003B688C"/>
    <w:rsid w:val="003C0291"/>
    <w:rsid w:val="003C39AE"/>
    <w:rsid w:val="003C7B60"/>
    <w:rsid w:val="003D0C0F"/>
    <w:rsid w:val="003D1FB2"/>
    <w:rsid w:val="003D66DA"/>
    <w:rsid w:val="003E1310"/>
    <w:rsid w:val="003E6F55"/>
    <w:rsid w:val="0040597B"/>
    <w:rsid w:val="00406254"/>
    <w:rsid w:val="004223DE"/>
    <w:rsid w:val="00423DAF"/>
    <w:rsid w:val="00434489"/>
    <w:rsid w:val="00437085"/>
    <w:rsid w:val="00443880"/>
    <w:rsid w:val="004464F4"/>
    <w:rsid w:val="00464B39"/>
    <w:rsid w:val="00471401"/>
    <w:rsid w:val="00473F31"/>
    <w:rsid w:val="0048263A"/>
    <w:rsid w:val="00485945"/>
    <w:rsid w:val="00487E5D"/>
    <w:rsid w:val="00490501"/>
    <w:rsid w:val="004A0911"/>
    <w:rsid w:val="004A711F"/>
    <w:rsid w:val="004B199D"/>
    <w:rsid w:val="004B4690"/>
    <w:rsid w:val="004D43AE"/>
    <w:rsid w:val="004E0A2D"/>
    <w:rsid w:val="004E206B"/>
    <w:rsid w:val="004E6DF7"/>
    <w:rsid w:val="004F0FBD"/>
    <w:rsid w:val="004F3EF0"/>
    <w:rsid w:val="00501BB9"/>
    <w:rsid w:val="00505A47"/>
    <w:rsid w:val="00512FDA"/>
    <w:rsid w:val="00520DA0"/>
    <w:rsid w:val="005240A7"/>
    <w:rsid w:val="0052410F"/>
    <w:rsid w:val="005664BB"/>
    <w:rsid w:val="00566FFA"/>
    <w:rsid w:val="0057481D"/>
    <w:rsid w:val="0058486E"/>
    <w:rsid w:val="00585B33"/>
    <w:rsid w:val="0059014D"/>
    <w:rsid w:val="005949C6"/>
    <w:rsid w:val="005A049A"/>
    <w:rsid w:val="005B1C1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3D3F"/>
    <w:rsid w:val="006F020C"/>
    <w:rsid w:val="00706CF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33A5"/>
    <w:rsid w:val="007F1991"/>
    <w:rsid w:val="007F2C2F"/>
    <w:rsid w:val="007F55FC"/>
    <w:rsid w:val="007F5665"/>
    <w:rsid w:val="00800112"/>
    <w:rsid w:val="00813348"/>
    <w:rsid w:val="008253BB"/>
    <w:rsid w:val="0083706E"/>
    <w:rsid w:val="00837F4D"/>
    <w:rsid w:val="008408F6"/>
    <w:rsid w:val="008423A5"/>
    <w:rsid w:val="00843F56"/>
    <w:rsid w:val="008460DF"/>
    <w:rsid w:val="00850625"/>
    <w:rsid w:val="00853718"/>
    <w:rsid w:val="00855221"/>
    <w:rsid w:val="00860645"/>
    <w:rsid w:val="00871F71"/>
    <w:rsid w:val="00872FD8"/>
    <w:rsid w:val="00885AF4"/>
    <w:rsid w:val="008939CD"/>
    <w:rsid w:val="00896187"/>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A4013"/>
    <w:rsid w:val="009A6629"/>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1B2"/>
    <w:rsid w:val="00A16847"/>
    <w:rsid w:val="00A237D8"/>
    <w:rsid w:val="00A268C4"/>
    <w:rsid w:val="00A307CD"/>
    <w:rsid w:val="00A331C8"/>
    <w:rsid w:val="00A35860"/>
    <w:rsid w:val="00A40A00"/>
    <w:rsid w:val="00A4142F"/>
    <w:rsid w:val="00A422EB"/>
    <w:rsid w:val="00A45BB7"/>
    <w:rsid w:val="00A56DF2"/>
    <w:rsid w:val="00A56E6E"/>
    <w:rsid w:val="00A67A6A"/>
    <w:rsid w:val="00A67AB5"/>
    <w:rsid w:val="00A733B2"/>
    <w:rsid w:val="00A741C2"/>
    <w:rsid w:val="00A91760"/>
    <w:rsid w:val="00A93B00"/>
    <w:rsid w:val="00A93C21"/>
    <w:rsid w:val="00AB64C9"/>
    <w:rsid w:val="00AC3C6A"/>
    <w:rsid w:val="00AD5620"/>
    <w:rsid w:val="00AD656B"/>
    <w:rsid w:val="00AD7C1B"/>
    <w:rsid w:val="00AE16BA"/>
    <w:rsid w:val="00AE1EBE"/>
    <w:rsid w:val="00AE7BCB"/>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2A34"/>
    <w:rsid w:val="00B944D6"/>
    <w:rsid w:val="00BA16F7"/>
    <w:rsid w:val="00BB4DF0"/>
    <w:rsid w:val="00BC289F"/>
    <w:rsid w:val="00BC2D50"/>
    <w:rsid w:val="00BC5361"/>
    <w:rsid w:val="00BC5460"/>
    <w:rsid w:val="00BC6B50"/>
    <w:rsid w:val="00BD0E25"/>
    <w:rsid w:val="00BF5BD6"/>
    <w:rsid w:val="00C03E31"/>
    <w:rsid w:val="00C2618B"/>
    <w:rsid w:val="00C33E72"/>
    <w:rsid w:val="00C354B2"/>
    <w:rsid w:val="00C35554"/>
    <w:rsid w:val="00C42709"/>
    <w:rsid w:val="00C533CC"/>
    <w:rsid w:val="00C5751C"/>
    <w:rsid w:val="00C61BFC"/>
    <w:rsid w:val="00C62B85"/>
    <w:rsid w:val="00C65438"/>
    <w:rsid w:val="00C734D4"/>
    <w:rsid w:val="00C7524A"/>
    <w:rsid w:val="00C87FD8"/>
    <w:rsid w:val="00C91381"/>
    <w:rsid w:val="00C91CBB"/>
    <w:rsid w:val="00CB4E70"/>
    <w:rsid w:val="00CC09B6"/>
    <w:rsid w:val="00CC666F"/>
    <w:rsid w:val="00CD1E3F"/>
    <w:rsid w:val="00CD427B"/>
    <w:rsid w:val="00CE44F6"/>
    <w:rsid w:val="00CE49DA"/>
    <w:rsid w:val="00CE7B61"/>
    <w:rsid w:val="00CF5173"/>
    <w:rsid w:val="00D00095"/>
    <w:rsid w:val="00D114F0"/>
    <w:rsid w:val="00D20620"/>
    <w:rsid w:val="00D254F7"/>
    <w:rsid w:val="00D26091"/>
    <w:rsid w:val="00D2685C"/>
    <w:rsid w:val="00D34E7C"/>
    <w:rsid w:val="00D35489"/>
    <w:rsid w:val="00D36AFE"/>
    <w:rsid w:val="00D51276"/>
    <w:rsid w:val="00D6663F"/>
    <w:rsid w:val="00D7035F"/>
    <w:rsid w:val="00D70F34"/>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4918"/>
    <w:rsid w:val="00E82267"/>
    <w:rsid w:val="00E853CE"/>
    <w:rsid w:val="00E867B6"/>
    <w:rsid w:val="00E96E34"/>
    <w:rsid w:val="00EA010F"/>
    <w:rsid w:val="00EA598B"/>
    <w:rsid w:val="00ED1B63"/>
    <w:rsid w:val="00ED3C1F"/>
    <w:rsid w:val="00ED4085"/>
    <w:rsid w:val="00ED420E"/>
    <w:rsid w:val="00ED6FBE"/>
    <w:rsid w:val="00EE24F2"/>
    <w:rsid w:val="00EE2F57"/>
    <w:rsid w:val="00EE7E80"/>
    <w:rsid w:val="00EF4C34"/>
    <w:rsid w:val="00EF77C6"/>
    <w:rsid w:val="00F05438"/>
    <w:rsid w:val="00F062D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54B8"/>
    <w:rsid w:val="00FF1E02"/>
    <w:rsid w:val="00FF30B4"/>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6C11D69"/>
    <w:rsid w:val="69630ADE"/>
    <w:rsid w:val="6C4A05C8"/>
    <w:rsid w:val="6CA742DD"/>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Sheet1!$F$12:$H$13</c:f>
              <c:multiLvlStrCache>
                <c:ptCount val="2"/>
                <c:lvl>
                  <c:pt idx="0">
                    <c:v>4106.49万元</c:v>
                  </c:pt>
                  <c:pt idx="1">
                    <c:v>1435.13万元</c:v>
                  </c:pt>
                </c:lvl>
                <c:lvl>
                  <c:pt idx="0">
                    <c:v>收、支总计</c:v>
                  </c:pt>
                  <c:pt idx="1">
                    <c:v>收、支总计</c:v>
                  </c:pt>
                </c:lvl>
                <c:lvl>
                  <c:pt idx="0">
                    <c:v>2021年</c:v>
                  </c:pt>
                  <c:pt idx="1">
                    <c:v>2022年</c:v>
                  </c:pt>
                </c:lvl>
              </c:multiLvlStrCache>
            </c:multiLvlStrRef>
          </c:cat>
          <c:val>
            <c:numRef>
              <c:f>Sheet1!$I$12:$I$13</c:f>
              <c:numCache>
                <c:formatCode>0%</c:formatCode>
                <c:ptCount val="2"/>
                <c:pt idx="0">
                  <c:v>1</c:v>
                </c:pt>
                <c:pt idx="1">
                  <c:v>0.35</c:v>
                </c:pt>
              </c:numCache>
            </c:numRef>
          </c:val>
        </c:ser>
        <c:dLbls>
          <c:showLegendKey val="0"/>
          <c:showVal val="1"/>
          <c:showCatName val="0"/>
          <c:showSerName val="0"/>
          <c:showPercent val="0"/>
          <c:showBubbleSize val="0"/>
        </c:dLbls>
        <c:gapWidth val="150"/>
        <c:overlap val="100"/>
        <c:axId val="129009536"/>
        <c:axId val="129039360"/>
      </c:barChart>
      <c:catAx>
        <c:axId val="1290095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039360"/>
        <c:crosses val="autoZero"/>
        <c:auto val="1"/>
        <c:lblAlgn val="ctr"/>
        <c:lblOffset val="100"/>
        <c:noMultiLvlLbl val="0"/>
      </c:catAx>
      <c:valAx>
        <c:axId val="12903936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009536"/>
        <c:crosses val="autoZero"/>
        <c:crossBetween val="between"/>
      </c:valAx>
    </c:plotArea>
    <c:plotVisOnly val="1"/>
    <c:dispBlanksAs val="gap"/>
    <c:showDLblsOverMax val="0"/>
    <c:extLst>
      <c:ext uri="{0b15fc19-7d7d-44ad-8c2d-2c3a37ce22c3}">
        <chartProps xmlns="https://web.wps.cn/et/2018/main" chartId="{ba58eaa8-662e-43d9-9af6-74704faa4827}"/>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Sheet1!$G$11:$H$13</c:f>
              <c:multiLvlStrCache>
                <c:ptCount val="3"/>
                <c:lvl>
                  <c:pt idx="0">
                    <c:v>1063.4万元</c:v>
                  </c:pt>
                  <c:pt idx="1">
                    <c:v>1023万元</c:v>
                  </c:pt>
                  <c:pt idx="2">
                    <c:v>40.4万元</c:v>
                  </c:pt>
                </c:lvl>
                <c:lvl>
                  <c:pt idx="0">
                    <c:v>2022年收入总计</c:v>
                  </c:pt>
                  <c:pt idx="1">
                    <c:v>其中：一般公共预算财政拨款</c:v>
                  </c:pt>
                  <c:pt idx="2">
                    <c:v>政府性基金预算财政拨款</c:v>
                  </c:pt>
                </c:lvl>
              </c:multiLvlStrCache>
            </c:multiLvlStrRef>
          </c:cat>
          <c:val>
            <c:numRef>
              <c:f>Sheet1!$I$11:$I$13</c:f>
              <c:numCache>
                <c:formatCode>General</c:formatCode>
                <c:ptCount val="3"/>
                <c:pt idx="1" c:formatCode="0.00%">
                  <c:v>0.962000000000001</c:v>
                </c:pt>
                <c:pt idx="2" c:formatCode="0.00%">
                  <c:v>0.038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c498608-41dc-4b65-84f3-e03fac2c0fe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Sheet1!$G$16:$H$18</c:f>
              <c:multiLvlStrCache>
                <c:ptCount val="3"/>
                <c:lvl>
                  <c:pt idx="0">
                    <c:v>1379.51万元</c:v>
                  </c:pt>
                  <c:pt idx="1">
                    <c:v>452.74万元</c:v>
                  </c:pt>
                  <c:pt idx="2">
                    <c:v>926.77万元</c:v>
                  </c:pt>
                </c:lvl>
                <c:lvl>
                  <c:pt idx="0">
                    <c:v>2022年支出总计</c:v>
                  </c:pt>
                  <c:pt idx="1">
                    <c:v>其中：基本支出</c:v>
                  </c:pt>
                  <c:pt idx="2">
                    <c:v>项目支出</c:v>
                  </c:pt>
                </c:lvl>
              </c:multiLvlStrCache>
            </c:multiLvlStrRef>
          </c:cat>
          <c:val>
            <c:numRef>
              <c:f>Sheet1!$I$16:$I$18</c:f>
              <c:numCache>
                <c:formatCode>General</c:formatCode>
                <c:ptCount val="3"/>
                <c:pt idx="1" c:formatCode="0.00%">
                  <c:v>0.3282</c:v>
                </c:pt>
                <c:pt idx="2" c:formatCode="0.00%">
                  <c:v>0.671800000000001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a6c4a20-3079-4e77-b941-11bd6373cf88}"/>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Sheet1!$G$13:$I$14</c:f>
              <c:multiLvlStrCache>
                <c:ptCount val="2"/>
                <c:lvl>
                  <c:pt idx="0">
                    <c:v>3966.6万元</c:v>
                  </c:pt>
                  <c:pt idx="1">
                    <c:v>1379.51万元</c:v>
                  </c:pt>
                </c:lvl>
                <c:lvl>
                  <c:pt idx="0">
                    <c:v>财政拨款收支总计</c:v>
                  </c:pt>
                  <c:pt idx="1">
                    <c:v>财政拨款收支总计</c:v>
                  </c:pt>
                </c:lvl>
                <c:lvl>
                  <c:pt idx="0">
                    <c:v>2021年</c:v>
                  </c:pt>
                  <c:pt idx="1">
                    <c:v>2022年</c:v>
                  </c:pt>
                </c:lvl>
              </c:multiLvlStrCache>
            </c:multiLvlStrRef>
          </c:cat>
          <c:val>
            <c:numRef>
              <c:f>Sheet1!$J$13:$J$14</c:f>
              <c:numCache>
                <c:formatCode>0%</c:formatCode>
                <c:ptCount val="2"/>
                <c:pt idx="0">
                  <c:v>1</c:v>
                </c:pt>
                <c:pt idx="1">
                  <c:v>0.35</c:v>
                </c:pt>
              </c:numCache>
            </c:numRef>
          </c:val>
        </c:ser>
        <c:dLbls>
          <c:showLegendKey val="0"/>
          <c:showVal val="1"/>
          <c:showCatName val="0"/>
          <c:showSerName val="0"/>
          <c:showPercent val="0"/>
          <c:showBubbleSize val="0"/>
        </c:dLbls>
        <c:gapWidth val="150"/>
        <c:overlap val="100"/>
        <c:axId val="237725952"/>
        <c:axId val="237768704"/>
      </c:barChart>
      <c:catAx>
        <c:axId val="2377259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768704"/>
        <c:crosses val="autoZero"/>
        <c:auto val="1"/>
        <c:lblAlgn val="ctr"/>
        <c:lblOffset val="100"/>
        <c:noMultiLvlLbl val="0"/>
      </c:catAx>
      <c:valAx>
        <c:axId val="2377687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725952"/>
        <c:crosses val="autoZero"/>
        <c:crossBetween val="between"/>
      </c:valAx>
    </c:plotArea>
    <c:plotVisOnly val="1"/>
    <c:dispBlanksAs val="gap"/>
    <c:showDLblsOverMax val="0"/>
    <c:extLst>
      <c:ext uri="{0b15fc19-7d7d-44ad-8c2d-2c3a37ce22c3}">
        <chartProps xmlns="https://web.wps.cn/et/2018/main" chartId="{a24168e8-e75a-4e32-846c-450609b57c8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Sheet1!$H$14:$I$15</c:f>
              <c:multiLvlStrCache>
                <c:ptCount val="2"/>
                <c:lvl>
                  <c:pt idx="0">
                    <c:v>3866.7万元</c:v>
                  </c:pt>
                  <c:pt idx="1">
                    <c:v>1023万元</c:v>
                  </c:pt>
                </c:lvl>
                <c:lvl>
                  <c:pt idx="0">
                    <c:v>2021年一般公共预算财政拨款支出</c:v>
                  </c:pt>
                  <c:pt idx="1">
                    <c:v>2022年一般公共预算财政拨款支出</c:v>
                  </c:pt>
                </c:lvl>
              </c:multiLvlStrCache>
            </c:multiLvlStrRef>
          </c:cat>
          <c:val>
            <c:numRef>
              <c:f>Sheet1!$J$14:$J$15</c:f>
              <c:numCache>
                <c:formatCode>0%</c:formatCode>
                <c:ptCount val="2"/>
                <c:pt idx="0">
                  <c:v>1</c:v>
                </c:pt>
                <c:pt idx="1" c:formatCode="0.00%">
                  <c:v>0.265</c:v>
                </c:pt>
              </c:numCache>
            </c:numRef>
          </c:val>
        </c:ser>
        <c:dLbls>
          <c:showLegendKey val="0"/>
          <c:showVal val="1"/>
          <c:showCatName val="0"/>
          <c:showSerName val="0"/>
          <c:showPercent val="0"/>
          <c:showBubbleSize val="0"/>
        </c:dLbls>
        <c:gapWidth val="150"/>
        <c:overlap val="100"/>
        <c:axId val="241119232"/>
        <c:axId val="241236224"/>
      </c:barChart>
      <c:catAx>
        <c:axId val="241119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1236224"/>
        <c:crosses val="autoZero"/>
        <c:auto val="1"/>
        <c:lblAlgn val="ctr"/>
        <c:lblOffset val="100"/>
        <c:noMultiLvlLbl val="0"/>
      </c:catAx>
      <c:valAx>
        <c:axId val="24123622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1119232"/>
        <c:crosses val="autoZero"/>
        <c:crossBetween val="between"/>
      </c:valAx>
    </c:plotArea>
    <c:plotVisOnly val="1"/>
    <c:dispBlanksAs val="gap"/>
    <c:showDLblsOverMax val="0"/>
    <c:extLst>
      <c:ext uri="{0b15fc19-7d7d-44ad-8c2d-2c3a37ce22c3}">
        <chartProps xmlns="https://web.wps.cn/et/2018/main" chartId="{80126fe7-ef92-40f0-bbb5-0fedfeb50f39}"/>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Sheet1!$E$15:$F$20</c:f>
              <c:multiLvlStrCache>
                <c:ptCount val="6"/>
                <c:lvl>
                  <c:pt idx="0">
                    <c:v>1023万元</c:v>
                  </c:pt>
                  <c:pt idx="1">
                    <c:v>30.57万元</c:v>
                  </c:pt>
                  <c:pt idx="2">
                    <c:v>19.16万元</c:v>
                  </c:pt>
                  <c:pt idx="3">
                    <c:v>27.49万元</c:v>
                  </c:pt>
                  <c:pt idx="4">
                    <c:v>1019.07万元</c:v>
                  </c:pt>
                  <c:pt idx="5">
                    <c:v>241.8万元</c:v>
                  </c:pt>
                </c:lvl>
                <c:lvl>
                  <c:pt idx="0">
                    <c:v>2022年一般公共预算财政拨款支出总计</c:v>
                  </c:pt>
                  <c:pt idx="1">
                    <c:v>其中：社会保障和就业支出</c:v>
                  </c:pt>
                  <c:pt idx="2">
                    <c:v>卫生健康支出</c:v>
                  </c:pt>
                  <c:pt idx="3">
                    <c:v>住房保障支出</c:v>
                  </c:pt>
                  <c:pt idx="4">
                    <c:v>农林水支出</c:v>
                  </c:pt>
                  <c:pt idx="5">
                    <c:v>交通运输支出</c:v>
                  </c:pt>
                </c:lvl>
              </c:multiLvlStrCache>
            </c:multiLvlStrRef>
          </c:cat>
          <c:val>
            <c:numRef>
              <c:f>Sheet1!$G$15:$G$20</c:f>
              <c:numCache>
                <c:formatCode>General</c:formatCode>
                <c:ptCount val="6"/>
                <c:pt idx="1" c:formatCode="0.00%">
                  <c:v>0.0222</c:v>
                </c:pt>
                <c:pt idx="2" c:formatCode="0.00%">
                  <c:v>0.0139</c:v>
                </c:pt>
                <c:pt idx="3" c:formatCode="0.00%">
                  <c:v>0.019</c:v>
                </c:pt>
                <c:pt idx="4" c:formatCode="0.00%">
                  <c:v>0.738700000000001</c:v>
                </c:pt>
                <c:pt idx="5" c:formatCode="0.00%">
                  <c:v>0.1753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afbb472-075f-43ad-8e3c-b05814a4d476}"/>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Sheet1!$I$12:$J$14</c:f>
              <c:multiLvlStrCache>
                <c:ptCount val="3"/>
                <c:lvl>
                  <c:pt idx="0">
                    <c:v>4.13万元</c:v>
                  </c:pt>
                  <c:pt idx="1">
                    <c:v>3.76万元</c:v>
                  </c:pt>
                  <c:pt idx="2">
                    <c:v>0.37万元</c:v>
                  </c:pt>
                </c:lvl>
                <c:lvl>
                  <c:pt idx="0">
                    <c:v>2022年“三公”经费</c:v>
                  </c:pt>
                  <c:pt idx="1">
                    <c:v>其中：公车运行维护费</c:v>
                  </c:pt>
                  <c:pt idx="2">
                    <c:v>公务接待费</c:v>
                  </c:pt>
                </c:lvl>
              </c:multiLvlStrCache>
            </c:multiLvlStrRef>
          </c:cat>
          <c:val>
            <c:numRef>
              <c:f>Sheet1!$K$12:$K$14</c:f>
              <c:numCache>
                <c:formatCode>General</c:formatCode>
                <c:ptCount val="3"/>
                <c:pt idx="1" c:formatCode="0%">
                  <c:v>0.91</c:v>
                </c:pt>
                <c:pt idx="2" c:formatCode="0%">
                  <c:v>0.09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a56bf4a-ae49-4c04-8b40-3c32e11525c2}"/>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7457</Words>
  <Characters>7993</Characters>
  <Lines>58</Lines>
  <Paragraphs>16</Paragraphs>
  <TotalTime>5</TotalTime>
  <ScaleCrop>false</ScaleCrop>
  <LinksUpToDate>false</LinksUpToDate>
  <CharactersWithSpaces>8164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项敏</cp:lastModifiedBy>
  <cp:lastPrinted>2023-07-31T02:35:00Z</cp:lastPrinted>
  <dcterms:modified xsi:type="dcterms:W3CDTF">2025-01-23T08:35:14Z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46250A3C7F81477E9398D00FE0508E05_12</vt:lpwstr>
  </property>
  <property fmtid="{D5CDD505-2E9C-101B-9397-08002B2CF9AE}" pid="4" name="KSOTemplateDocerSaveRecord">
    <vt:lpwstr>eyJoZGlkIjoiMzM5OGU4MTUzNGVkMDhkZjc0ZTczNjRiMjBlMWJhYTgiLCJ1c2VySWQiOiIxNjM3Njk2MzA5In0=</vt:lpwstr>
  </property>
</Properties>
</file>