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default" w:ascii="Times New Roman" w:hAnsi="Times New Roman" w:eastAsia="方正小标宋_GBK" w:cs="Times New Roman"/>
          <w:color w:val="000000"/>
          <w:sz w:val="84"/>
          <w:szCs w:val="84"/>
        </w:rPr>
      </w:pPr>
      <w:bookmarkStart w:id="0" w:name="_Toc15377425"/>
      <w:bookmarkStart w:id="1" w:name="_Toc15378441"/>
      <w:bookmarkStart w:id="2" w:name="_Toc15396475"/>
      <w:bookmarkStart w:id="3" w:name="_Toc15396597"/>
      <w:bookmarkStart w:id="4" w:name="_Toc15377193"/>
      <w:bookmarkStart w:id="5" w:name="_Toc15306267"/>
      <w:r>
        <w:rPr>
          <w:rFonts w:hint="default" w:ascii="Times New Roman" w:hAnsi="Times New Roman" w:eastAsia="方正小标宋_GBK" w:cs="Times New Roman"/>
          <w:color w:val="000000"/>
          <w:sz w:val="84"/>
          <w:szCs w:val="84"/>
        </w:rPr>
        <w:t>2020年度</w:t>
      </w:r>
      <w:bookmarkEnd w:id="0"/>
      <w:bookmarkEnd w:id="1"/>
      <w:bookmarkEnd w:id="2"/>
      <w:bookmarkEnd w:id="3"/>
      <w:bookmarkEnd w:id="4"/>
    </w:p>
    <w:p>
      <w:pPr>
        <w:adjustRightInd w:val="0"/>
        <w:snapToGrid w:val="0"/>
        <w:spacing w:line="360" w:lineRule="auto"/>
        <w:jc w:val="center"/>
        <w:outlineLvl w:val="0"/>
        <w:rPr>
          <w:rFonts w:hint="default" w:ascii="Times New Roman" w:hAnsi="Times New Roman" w:eastAsia="方正小标宋_GBK" w:cs="Times New Roman"/>
          <w:color w:val="000000"/>
          <w:sz w:val="84"/>
          <w:szCs w:val="84"/>
          <w:lang w:eastAsia="zh-CN"/>
        </w:rPr>
      </w:pPr>
      <w:bookmarkStart w:id="6" w:name="_Toc15377426"/>
      <w:bookmarkStart w:id="7" w:name="_Toc15396598"/>
      <w:bookmarkStart w:id="8" w:name="_Toc15396476"/>
      <w:bookmarkStart w:id="9" w:name="_Toc15378442"/>
      <w:bookmarkStart w:id="10" w:name="_Toc15377194"/>
      <w:r>
        <w:rPr>
          <w:rFonts w:hint="default" w:ascii="Times New Roman" w:hAnsi="Times New Roman" w:eastAsia="方正小标宋_GBK" w:cs="Times New Roman"/>
          <w:color w:val="000000"/>
          <w:sz w:val="84"/>
          <w:szCs w:val="84"/>
        </w:rPr>
        <w:t>四川省</w:t>
      </w:r>
      <w:bookmarkEnd w:id="5"/>
      <w:bookmarkStart w:id="11" w:name="_Toc15306268"/>
      <w:r>
        <w:rPr>
          <w:rFonts w:hint="default" w:ascii="Times New Roman" w:hAnsi="Times New Roman" w:eastAsia="方正小标宋_GBK" w:cs="Times New Roman"/>
          <w:color w:val="000000"/>
          <w:sz w:val="84"/>
          <w:szCs w:val="84"/>
          <w:lang w:eastAsia="zh-CN"/>
        </w:rPr>
        <w:t>攀枝花市西区</w:t>
      </w:r>
    </w:p>
    <w:p>
      <w:pPr>
        <w:adjustRightInd w:val="0"/>
        <w:snapToGrid w:val="0"/>
        <w:spacing w:line="360" w:lineRule="auto"/>
        <w:jc w:val="center"/>
        <w:outlineLvl w:val="0"/>
        <w:rPr>
          <w:rFonts w:hint="default" w:ascii="Times New Roman" w:hAnsi="Times New Roman" w:eastAsia="方正小标宋_GBK" w:cs="Times New Roman"/>
          <w:color w:val="000000"/>
          <w:sz w:val="84"/>
          <w:szCs w:val="84"/>
          <w:lang w:eastAsia="zh-CN"/>
        </w:rPr>
      </w:pPr>
      <w:r>
        <w:rPr>
          <w:rFonts w:hint="default" w:ascii="Times New Roman" w:hAnsi="Times New Roman" w:eastAsia="方正小标宋_GBK" w:cs="Times New Roman"/>
          <w:color w:val="000000"/>
          <w:sz w:val="84"/>
          <w:szCs w:val="84"/>
          <w:lang w:eastAsia="zh-CN"/>
        </w:rPr>
        <w:t>水利工程运行中心</w:t>
      </w:r>
    </w:p>
    <w:p>
      <w:pPr>
        <w:adjustRightInd w:val="0"/>
        <w:snapToGrid w:val="0"/>
        <w:spacing w:line="360" w:lineRule="auto"/>
        <w:jc w:val="center"/>
        <w:outlineLvl w:val="0"/>
        <w:rPr>
          <w:rFonts w:hint="default" w:ascii="Times New Roman" w:hAnsi="Times New Roman" w:eastAsia="方正小标宋_GBK" w:cs="Times New Roman"/>
          <w:color w:val="000000"/>
          <w:sz w:val="84"/>
          <w:szCs w:val="84"/>
        </w:rPr>
      </w:pPr>
      <w:r>
        <w:rPr>
          <w:rFonts w:hint="default" w:ascii="Times New Roman" w:hAnsi="Times New Roman" w:eastAsia="方正小标宋_GBK" w:cs="Times New Roman"/>
          <w:color w:val="000000"/>
          <w:sz w:val="84"/>
          <w:szCs w:val="84"/>
        </w:rPr>
        <w:t>部门决算</w:t>
      </w:r>
      <w:bookmarkEnd w:id="6"/>
      <w:bookmarkEnd w:id="7"/>
      <w:bookmarkEnd w:id="8"/>
      <w:bookmarkEnd w:id="9"/>
      <w:bookmarkEnd w:id="10"/>
      <w:bookmarkEnd w:id="11"/>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widowControl/>
        <w:jc w:val="center"/>
        <w:rPr>
          <w:rFonts w:hint="default" w:ascii="Times New Roman" w:hAnsi="Times New Roman" w:eastAsia="仿宋_GB2312" w:cs="Times New Roman"/>
          <w:color w:val="000000"/>
          <w:sz w:val="48"/>
          <w:szCs w:val="48"/>
        </w:rPr>
        <w:sectPr>
          <w:pgSz w:w="11906" w:h="16838"/>
          <w:pgMar w:top="2098" w:right="1474" w:bottom="1984" w:left="1587" w:header="851" w:footer="1417" w:gutter="0"/>
          <w:pgNumType w:fmt="numberInDash"/>
          <w:cols w:space="0" w:num="1"/>
          <w:rtlGutter w:val="0"/>
          <w:docGrid w:type="lines" w:linePitch="312" w:charSpace="0"/>
        </w:sectPr>
      </w:pPr>
    </w:p>
    <w:p>
      <w:pPr>
        <w:widowControl/>
        <w:jc w:val="center"/>
        <w:rPr>
          <w:rFonts w:hint="default" w:ascii="Times New Roman" w:hAnsi="Times New Roman" w:eastAsia="仿宋_GB2312" w:cs="Times New Roman"/>
          <w:color w:val="000000"/>
          <w:sz w:val="48"/>
          <w:szCs w:val="48"/>
        </w:rPr>
      </w:pPr>
      <w:r>
        <w:rPr>
          <w:rFonts w:hint="default" w:ascii="Times New Roman" w:hAnsi="Times New Roman" w:eastAsia="仿宋_GB2312" w:cs="Times New Roman"/>
          <w:color w:val="000000"/>
          <w:sz w:val="48"/>
          <w:szCs w:val="48"/>
        </w:rPr>
        <w:t>目录</w:t>
      </w:r>
    </w:p>
    <w:p>
      <w:pPr>
        <w:pStyle w:val="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公开时间：2021年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p>
      <w:pPr>
        <w:rPr>
          <w:rFonts w:hint="default" w:ascii="Times New Roman" w:hAnsi="Times New Roman" w:eastAsia="仿宋_GB2312" w:cs="Times New Roman"/>
        </w:rPr>
      </w:pPr>
    </w:p>
    <w:p>
      <w:pPr>
        <w:pStyle w:val="7"/>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第一部分 部门概况</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一、基本职能及主要工作</w:t>
      </w:r>
      <w:r>
        <w:rPr>
          <w:rFonts w:hint="eastAsia" w:eastAsia="仿宋_GB2312" w:cs="Times New Roman"/>
          <w:sz w:val="32"/>
          <w:szCs w:val="32"/>
          <w:lang w:val="en-US" w:eastAsia="zh-CN"/>
        </w:rPr>
        <w:t>.................................................(3)</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二、机构设置</w:t>
      </w:r>
      <w:r>
        <w:rPr>
          <w:rFonts w:hint="eastAsia" w:eastAsia="仿宋_GB2312" w:cs="Times New Roman"/>
          <w:sz w:val="32"/>
          <w:szCs w:val="32"/>
          <w:lang w:val="en-US" w:eastAsia="zh-CN"/>
        </w:rPr>
        <w:t>...................................................................（6）</w:t>
      </w:r>
    </w:p>
    <w:p>
      <w:pPr>
        <w:pStyle w:val="7"/>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第二部分度部门决算情况说明</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一、收入支出决算总体情况说明</w:t>
      </w:r>
      <w:r>
        <w:rPr>
          <w:rFonts w:hint="eastAsia" w:eastAsia="仿宋_GB2312" w:cs="Times New Roman"/>
          <w:sz w:val="32"/>
          <w:szCs w:val="32"/>
          <w:lang w:val="en-US" w:eastAsia="zh-CN"/>
        </w:rPr>
        <w:t>.....................................（6）</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二、收入决算情况说明</w:t>
      </w:r>
      <w:r>
        <w:rPr>
          <w:rFonts w:hint="eastAsia" w:eastAsia="仿宋_GB2312" w:cs="Times New Roman"/>
          <w:sz w:val="32"/>
          <w:szCs w:val="32"/>
          <w:lang w:val="en-US" w:eastAsia="zh-CN"/>
        </w:rPr>
        <w:t>.....................................................（7）</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三、支出决算情况说明</w:t>
      </w:r>
      <w:r>
        <w:rPr>
          <w:rFonts w:hint="eastAsia" w:eastAsia="仿宋_GB2312" w:cs="Times New Roman"/>
          <w:sz w:val="32"/>
          <w:szCs w:val="32"/>
          <w:lang w:val="en-US" w:eastAsia="zh-CN"/>
        </w:rPr>
        <w:t>.......................................................（7）</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四、财政拨款收入支出决算总体情况说明</w:t>
      </w:r>
      <w:r>
        <w:rPr>
          <w:rFonts w:hint="eastAsia" w:eastAsia="仿宋_GB2312" w:cs="Times New Roman"/>
          <w:sz w:val="32"/>
          <w:szCs w:val="32"/>
          <w:lang w:val="en-US" w:eastAsia="zh-CN"/>
        </w:rPr>
        <w:t>.......................（8）</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五、一般公共预算财政拨款支出决算情况说明</w:t>
      </w:r>
      <w:r>
        <w:rPr>
          <w:rFonts w:hint="eastAsia" w:eastAsia="仿宋_GB2312" w:cs="Times New Roman"/>
          <w:sz w:val="32"/>
          <w:szCs w:val="32"/>
          <w:lang w:val="en-US" w:eastAsia="zh-CN"/>
        </w:rPr>
        <w:t>..............（9）</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六、一般公共预算财政拨款基本支出决算情况说明</w:t>
      </w:r>
      <w:r>
        <w:rPr>
          <w:rFonts w:hint="eastAsia" w:eastAsia="仿宋_GB2312" w:cs="Times New Roman"/>
          <w:sz w:val="32"/>
          <w:szCs w:val="32"/>
          <w:lang w:val="en-US" w:eastAsia="zh-CN"/>
        </w:rPr>
        <w:t>........（11）</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七、“三公”经费财政拨款支出决算情况说明</w:t>
      </w:r>
      <w:r>
        <w:rPr>
          <w:rFonts w:hint="eastAsia" w:eastAsia="仿宋_GB2312" w:cs="Times New Roman"/>
          <w:sz w:val="32"/>
          <w:szCs w:val="32"/>
          <w:lang w:val="en-US" w:eastAsia="zh-CN"/>
        </w:rPr>
        <w:t>....................（11）</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八、政府性基金预算支出决算情况说明</w:t>
      </w:r>
      <w:r>
        <w:rPr>
          <w:rFonts w:hint="eastAsia" w:eastAsia="仿宋_GB2312" w:cs="Times New Roman"/>
          <w:sz w:val="32"/>
          <w:szCs w:val="32"/>
          <w:lang w:val="en-US" w:eastAsia="zh-CN"/>
        </w:rPr>
        <w:t>............................（13）</w:t>
      </w:r>
    </w:p>
    <w:p>
      <w:pPr>
        <w:pStyle w:val="8"/>
        <w:keepNext w:val="0"/>
        <w:keepLines w:val="0"/>
        <w:pageBreakBefore w:val="0"/>
        <w:kinsoku/>
        <w:wordWrap/>
        <w:overflowPunct/>
        <w:topLinePunct w:val="0"/>
        <w:autoSpaceDE/>
        <w:autoSpaceDN/>
        <w:bidi w:val="0"/>
        <w:adjustRightInd w:val="0"/>
        <w:snapToGrid w:val="0"/>
        <w:spacing w:line="560" w:lineRule="exact"/>
        <w:ind w:leftChars="0" w:firstLine="320" w:firstLine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九、国有资本经营预算支出决算情况说明</w:t>
      </w:r>
      <w:r>
        <w:rPr>
          <w:rFonts w:hint="eastAsia" w:eastAsia="仿宋_GB2312" w:cs="Times New Roman"/>
          <w:sz w:val="32"/>
          <w:szCs w:val="32"/>
          <w:lang w:val="en-US" w:eastAsia="zh-CN"/>
        </w:rPr>
        <w:t>........................（13）</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olor w:val="000000"/>
          <w:sz w:val="32"/>
          <w:szCs w:val="32"/>
          <w:u w:val="none"/>
        </w:rPr>
        <w:t>十、</w:t>
      </w:r>
      <w:r>
        <w:rPr>
          <w:rFonts w:hint="default" w:ascii="Times New Roman" w:hAnsi="Times New Roman" w:eastAsia="仿宋_GB2312" w:cs="Times New Roman"/>
          <w:sz w:val="32"/>
          <w:szCs w:val="32"/>
        </w:rPr>
        <w:t>其他重要事项的情况说明</w:t>
      </w:r>
      <w:r>
        <w:rPr>
          <w:rFonts w:hint="eastAsia" w:eastAsia="仿宋_GB2312" w:cs="Times New Roman"/>
          <w:sz w:val="32"/>
          <w:szCs w:val="32"/>
          <w:lang w:val="en-US" w:eastAsia="zh-CN"/>
        </w:rPr>
        <w:t>.............................................（14）</w:t>
      </w:r>
    </w:p>
    <w:p>
      <w:pPr>
        <w:pStyle w:val="7"/>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第三部分 名词解释</w:t>
      </w:r>
      <w:r>
        <w:rPr>
          <w:rFonts w:hint="eastAsia" w:ascii="Times New Roman" w:hAnsi="Times New Roman" w:eastAsia="仿宋_GB2312" w:cs="Times New Roman"/>
          <w:sz w:val="32"/>
          <w:szCs w:val="32"/>
          <w:lang w:val="en-US" w:eastAsia="zh-CN"/>
        </w:rPr>
        <w:t>.....................................................................（20）</w:t>
      </w:r>
    </w:p>
    <w:p>
      <w:pPr>
        <w:pStyle w:val="7"/>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第四部分 附件</w:t>
      </w:r>
      <w:r>
        <w:rPr>
          <w:rFonts w:hint="eastAsia" w:ascii="Times New Roman" w:hAnsi="Times New Roman" w:eastAsia="仿宋_GB2312" w:cs="Times New Roman"/>
          <w:sz w:val="32"/>
          <w:szCs w:val="32"/>
          <w:lang w:val="en-US" w:eastAsia="zh-CN"/>
        </w:rPr>
        <w:t>.............................................................................（23）</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pPr>
        <w:pStyle w:val="7"/>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第五部分 附表</w:t>
      </w:r>
      <w:r>
        <w:rPr>
          <w:rFonts w:hint="eastAsia" w:ascii="Times New Roman" w:hAnsi="Times New Roman" w:eastAsia="仿宋_GB2312" w:cs="Times New Roman"/>
          <w:sz w:val="32"/>
          <w:szCs w:val="32"/>
          <w:lang w:val="en-US" w:eastAsia="zh-CN"/>
        </w:rPr>
        <w:t>...........................................................................（36）</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二、收入决算表</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三、支出决算表</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四、财政拨款收入支出决算总表</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五、财政拨款支出决算明细表</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六、一般公共预算财政拨款支出决算表</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七、一般公共预算财政拨款支出决算明细表</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八、一般公共预算财政拨款基本支出决算表</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九、一般公共预算财政拨款项目支出决算表</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十、一般公共预算财政拨款“三公”经费支出决算表</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十一、政府性基金预算财政拨款收入支出决算表</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十二、政府性基金预算财政拨款“三公”经费支出决算表</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十三、国有资本经营预算财政拨款收入支出决算表</w:t>
      </w:r>
    </w:p>
    <w:p>
      <w:pPr>
        <w:pStyle w:val="8"/>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line="560" w:lineRule="exact"/>
        <w:ind w:firstLine="1760" w:firstLineChars="550"/>
        <w:jc w:val="left"/>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FF0000"/>
          <w:sz w:val="32"/>
          <w:szCs w:val="32"/>
        </w:rPr>
        <w:t>(注：请部门根据实际注明页码)</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numPr>
          <w:ilvl w:val="0"/>
          <w:numId w:val="0"/>
        </w:numPr>
        <w:rPr>
          <w:rFonts w:hint="default" w:ascii="Times New Roman" w:hAnsi="Times New Roman" w:cs="Times New Roman"/>
        </w:rPr>
      </w:pPr>
    </w:p>
    <w:p>
      <w:pPr>
        <w:jc w:val="center"/>
        <w:rPr>
          <w:rFonts w:hint="default" w:ascii="Times New Roman" w:hAnsi="Times New Roman" w:eastAsia="黑体" w:cs="Times New Roman"/>
          <w:sz w:val="32"/>
          <w:szCs w:val="32"/>
        </w:rPr>
      </w:pPr>
      <w:r>
        <w:rPr>
          <w:rFonts w:hint="default" w:ascii="Times New Roman" w:hAnsi="Times New Roman" w:eastAsia="方正小标宋_GBK" w:cs="Times New Roman"/>
          <w:sz w:val="44"/>
          <w:szCs w:val="44"/>
        </w:rPr>
        <w:t>第一部分 部门概况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bookmarkStart w:id="12" w:name="_Toc15377197"/>
      <w:bookmarkStart w:id="13" w:name="_Toc15396600"/>
      <w:r>
        <w:rPr>
          <w:rFonts w:hint="default" w:ascii="Times New Roman" w:hAnsi="Times New Roman" w:eastAsia="黑体" w:cs="Times New Roman"/>
          <w:sz w:val="32"/>
          <w:szCs w:val="32"/>
        </w:rPr>
        <w:t>一、基本职能及主要工作</w:t>
      </w:r>
      <w:bookmarkEnd w:id="12"/>
      <w:bookmarkEnd w:id="1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rPr>
      </w:pPr>
      <w:bookmarkStart w:id="14" w:name="_Toc15378445"/>
      <w:bookmarkStart w:id="15" w:name="_Toc15377198"/>
      <w:r>
        <w:rPr>
          <w:rFonts w:hint="default" w:ascii="Times New Roman" w:hAnsi="Times New Roman" w:eastAsia="楷体_GB2312" w:cs="Times New Roman"/>
          <w:sz w:val="32"/>
          <w:szCs w:val="32"/>
        </w:rPr>
        <w:t>（一）主要职能</w:t>
      </w:r>
      <w:bookmarkEnd w:id="14"/>
      <w:bookmarkEnd w:id="15"/>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1.在区委、区政府的统一领导下开展工程建设管理各项工作。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2.负责梅子箐水库扩建工程项目规划、立项、报批工作。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3.在上级部门的指导下组织设计文件的编制、审核、申报等工作。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4.按照基本建设程序和批准的建设规模、内容、标准组织工程建设。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梅子箐水库工程建设项目资金的筹集，依据《基本建设财务管理制度》、《会计基础工作规范》等基本管理制度，建立健全各项财务管理制度，并组织编制、审查、上报项目年度建设计划，落实年度工程建设资金，严格按照概算控制工程投资，用好、管好建设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6.负责工程质量监督、安全监督和开工手续的办理。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7.负责协调工程建设用地、征地手续办理、征地拆迁、移民安置等工作，解决好工程建设外部条件。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8.依法对工程项目的勘察、设计、施工、监理和设备材料等组织招标，并签订有关合同。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9.组织施工用水、用电、道路、通讯和场地平整等准备工作及必要的生产、生活临时设施的建设。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10.组织研究和处理建设过程中出现的技术和管理问题，加强施工现场管理，委托监理单位组织施工图审查和技术交底，组织重大设计变更的审核与报批。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11.负责组织制订、上报在建工程度汛方案，落实安全度汛措施，并对建设过程中的安全度汛负责。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12.负责监督检查现场管理机构建设管理情况，包括工程投资、工期、质量、生产安全和工程建设责任制落实情况等。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13.负责组织工程各阶段验收和竣工验收工作，组织编制竣工决算并送审；组织项目运行准备和运行管理，办理项目移交手续。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14负责工程档案资料管理，包括对各参建单位所形成档案资料的收集整理、验收，并对归档工作进行监督、检查。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rPr>
      </w:pPr>
      <w:bookmarkStart w:id="16" w:name="_Toc15378446"/>
      <w:bookmarkStart w:id="17" w:name="_Toc15377199"/>
      <w:r>
        <w:rPr>
          <w:rFonts w:hint="default" w:ascii="Times New Roman" w:hAnsi="Times New Roman" w:eastAsia="楷体_GB2312" w:cs="Times New Roman"/>
          <w:sz w:val="32"/>
          <w:szCs w:val="32"/>
        </w:rPr>
        <w:t>（二）2020年重点工作完成情况。</w:t>
      </w:r>
      <w:bookmarkEnd w:id="16"/>
      <w:bookmarkEnd w:id="1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2020年，在区委、区政府的正确领导下，在区水利局的指导支持下</w:t>
      </w:r>
      <w:r>
        <w:rPr>
          <w:rFonts w:hint="eastAsia" w:eastAsia="仿宋_GB2312" w:cs="Times New Roman"/>
          <w:sz w:val="32"/>
          <w:szCs w:val="32"/>
          <w:lang w:eastAsia="zh-CN"/>
        </w:rPr>
        <w:t>，深入学习贯彻习近平新时代中国特色社会主义思想和党的十九大精神</w:t>
      </w:r>
      <w:r>
        <w:rPr>
          <w:rFonts w:hint="default" w:ascii="Times New Roman" w:hAnsi="Times New Roman" w:eastAsia="仿宋_GB2312" w:cs="Times New Roman"/>
          <w:sz w:val="32"/>
          <w:szCs w:val="32"/>
        </w:rPr>
        <w:t>，全面落实新时期中央</w:t>
      </w:r>
      <w:bookmarkStart w:id="71" w:name="_GoBack"/>
      <w:bookmarkEnd w:id="71"/>
      <w:r>
        <w:rPr>
          <w:rFonts w:hint="default" w:ascii="Times New Roman" w:hAnsi="Times New Roman" w:eastAsia="仿宋_GB2312" w:cs="Times New Roman"/>
          <w:sz w:val="32"/>
          <w:szCs w:val="32"/>
        </w:rPr>
        <w:t>水利工作方针和兴水惠民决策部署，立足全区经济社会发展大局，积极进取，扎实工作，圆满完成了全年各项工作任务，为西区农业生产、抗旱及森林防火提供了有力水利支撑和保障。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围绕年度目标，对标对表抓好工作落实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（一）加紧推进工程建设。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水利工程运行中心全年围绕任务目标，加快充水渠工程和灌区及提灌站工程建设。充水渠工程已于六月份完成建设任务，现正在进行缺陷整改及资料收集核备工作。灌区及提灌站工程目前已完成全部任务的90%，现正进行剩余工程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（二）稳抓各项验收工作。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梅子箐水库扩建工程主体及附属充水工程均已完成建设，其中梅子箐水库枢纽工程、三洞桥水库、高涧沟水库扩建工程均已通过完工验收，充水渠工程正在进行资料收集整理准备核备。蓄水验收（工程方面）已将相关资料及申请上报市水利局，待现场检查确认。移民工作正在审批重大设计变更，待审批通过进行蓄水验收（移民方面）工作。中心积极对接省市主管部门，扎实开展验收工作各项前期工作，计划将后续验收工作通过购买专业服务的方式，委托有资质的社会企业开展，为后续验收工作提供有力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（三）狠抓移民征地工作。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年移民征地围绕中心工作计划安排，完成梅子箐水库扩建工程武官墓及双墓表遗址的迁复建工程资料移交。完成梅子箐水库扩建工程建设征地移民安置点房屋及配套设施建设。临时用地土地复垦和临时用地超期方面（仁和区域），完成临时用地土地复垦施工任务，并按规定程序通过自然资源和规划仁和分局的验收工作。移民设代和移民监理方面，加强与市扶贫和移民工作局沟通力度，加大督促移民设代开展编制了涉及梅子箐水库建设征地范围、实物指标、移民安置任务、移民安置方案四个移民重大变更工作，待省局审查后批复。征地补偿工作方面，与仁和区福田镇和西区移民局、西区格里坪镇基本完成了梅子箐水库整个项目的征地补偿工作，协调处理涉地农户阻工阻路数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bookmarkStart w:id="18" w:name="_Toc15377200"/>
      <w:bookmarkStart w:id="19" w:name="_Toc15396601"/>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机构设置</w:t>
      </w:r>
      <w:bookmarkEnd w:id="18"/>
      <w:bookmarkEnd w:id="1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w:t>
      </w:r>
      <w:r>
        <w:rPr>
          <w:rFonts w:hint="default" w:ascii="Times New Roman" w:hAnsi="Times New Roman" w:eastAsia="仿宋_GB2312" w:cs="Times New Roman"/>
          <w:sz w:val="32"/>
          <w:szCs w:val="32"/>
          <w:lang w:eastAsia="zh-CN"/>
        </w:rPr>
        <w:t>西</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水利工程运行中心属于西区水利局二级部门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财务独立核算。</w:t>
      </w:r>
      <w:r>
        <w:rPr>
          <w:rFonts w:hint="default" w:ascii="Times New Roman" w:hAnsi="Times New Roman" w:eastAsia="仿宋_GB2312" w:cs="Times New Roman"/>
          <w:sz w:val="32"/>
          <w:szCs w:val="32"/>
        </w:rPr>
        <w:t>公务用车编制配备</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辆，实有车辆</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西区</w:t>
      </w:r>
      <w:r>
        <w:rPr>
          <w:rFonts w:hint="default" w:ascii="Times New Roman" w:hAnsi="Times New Roman" w:eastAsia="仿宋_GB2312" w:cs="Times New Roman"/>
          <w:sz w:val="32"/>
          <w:szCs w:val="32"/>
          <w:lang w:eastAsia="zh-CN"/>
        </w:rPr>
        <w:t>水利工程运行中心</w:t>
      </w:r>
      <w:r>
        <w:rPr>
          <w:rFonts w:hint="default" w:ascii="Times New Roman" w:hAnsi="Times New Roman" w:eastAsia="仿宋_GB2312" w:cs="Times New Roman"/>
          <w:sz w:val="32"/>
          <w:szCs w:val="32"/>
        </w:rPr>
        <w:t>共有正式职工</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人，事业编制</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,在编临聘2人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bookmarkStart w:id="20" w:name="_Toc15377204"/>
      <w:bookmarkStart w:id="21" w:name="_Toc15396602"/>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 2020年度部门决算情况说明</w:t>
      </w:r>
      <w:bookmarkEnd w:id="20"/>
      <w:bookmarkEnd w:id="2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bookmarkStart w:id="22" w:name="_Toc15377205"/>
      <w:bookmarkStart w:id="23" w:name="_Toc15396603"/>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收入支出决算总体情况说明</w:t>
      </w:r>
      <w:bookmarkEnd w:id="22"/>
      <w:bookmarkEnd w:id="2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2020年度收、支总计</w:t>
      </w:r>
      <w:r>
        <w:rPr>
          <w:rFonts w:hint="default" w:ascii="Times New Roman" w:hAnsi="Times New Roman" w:eastAsia="仿宋_GB2312" w:cs="Times New Roman"/>
          <w:sz w:val="32"/>
          <w:szCs w:val="32"/>
          <w:lang w:val="en-US" w:eastAsia="zh-CN"/>
        </w:rPr>
        <w:t>4713.84</w:t>
      </w:r>
      <w:r>
        <w:rPr>
          <w:rFonts w:hint="default" w:ascii="Times New Roman" w:hAnsi="Times New Roman" w:eastAsia="仿宋_GB2312" w:cs="Times New Roman"/>
          <w:sz w:val="32"/>
          <w:szCs w:val="32"/>
        </w:rPr>
        <w:t>万元。与2019年</w:t>
      </w:r>
      <w:r>
        <w:rPr>
          <w:rFonts w:hint="default" w:ascii="Times New Roman" w:hAnsi="Times New Roman" w:eastAsia="仿宋_GB2312" w:cs="Times New Roman"/>
          <w:sz w:val="32"/>
          <w:szCs w:val="32"/>
          <w:lang w:val="en-US" w:eastAsia="zh-CN"/>
        </w:rPr>
        <w:t>3377.9万元</w:t>
      </w:r>
      <w:r>
        <w:rPr>
          <w:rFonts w:hint="default" w:ascii="Times New Roman" w:hAnsi="Times New Roman" w:eastAsia="仿宋_GB2312" w:cs="Times New Roman"/>
          <w:sz w:val="32"/>
          <w:szCs w:val="32"/>
        </w:rPr>
        <w:t>相比，收、支总计各增加</w:t>
      </w:r>
      <w:r>
        <w:rPr>
          <w:rFonts w:hint="default" w:ascii="Times New Roman" w:hAnsi="Times New Roman" w:eastAsia="仿宋_GB2312" w:cs="Times New Roman"/>
          <w:sz w:val="32"/>
          <w:szCs w:val="32"/>
          <w:lang w:val="en-US" w:eastAsia="zh-CN"/>
        </w:rPr>
        <w:t>1335.94</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39.55</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区级资金到位及退质保金增加。</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（图1：收、支决算总计变动情况图）（柱状图）</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drawing>
          <wp:anchor distT="0" distB="0" distL="114300" distR="114300" simplePos="0" relativeHeight="251659264" behindDoc="0" locked="0" layoutInCell="1" allowOverlap="1">
            <wp:simplePos x="0" y="0"/>
            <wp:positionH relativeFrom="column">
              <wp:posOffset>20320</wp:posOffset>
            </wp:positionH>
            <wp:positionV relativeFrom="paragraph">
              <wp:posOffset>191135</wp:posOffset>
            </wp:positionV>
            <wp:extent cx="5464175" cy="2944495"/>
            <wp:effectExtent l="4445" t="4445" r="17780" b="22860"/>
            <wp:wrapSquare wrapText="bothSides"/>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bookmarkStart w:id="24" w:name="_Toc15396604"/>
      <w:bookmarkStart w:id="25" w:name="_Toc15377206"/>
      <w:r>
        <w:rPr>
          <w:rFonts w:hint="default" w:ascii="Times New Roman" w:hAnsi="Times New Roman" w:eastAsia="黑体" w:cs="Times New Roman"/>
          <w:sz w:val="32"/>
          <w:szCs w:val="32"/>
        </w:rPr>
        <w:t>收入决算情况说明</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2020年本年收入合计</w:t>
      </w:r>
      <w:r>
        <w:rPr>
          <w:rFonts w:hint="default" w:ascii="Times New Roman" w:hAnsi="Times New Roman" w:eastAsia="仿宋_GB2312" w:cs="Times New Roman"/>
          <w:sz w:val="32"/>
          <w:szCs w:val="32"/>
          <w:lang w:val="en-US" w:eastAsia="zh-CN"/>
        </w:rPr>
        <w:t>4645.74</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sz w:val="32"/>
          <w:szCs w:val="32"/>
          <w:lang w:val="en-US" w:eastAsia="zh-CN"/>
        </w:rPr>
        <w:t>145.74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%；政府性基金预算财政拨款收入</w:t>
      </w:r>
      <w:r>
        <w:rPr>
          <w:rFonts w:hint="default" w:ascii="Times New Roman" w:hAnsi="Times New Roman" w:eastAsia="仿宋_GB2312" w:cs="Times New Roman"/>
          <w:sz w:val="32"/>
          <w:szCs w:val="32"/>
          <w:lang w:val="en-US" w:eastAsia="zh-CN"/>
        </w:rPr>
        <w:t>4500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97</w:t>
      </w:r>
      <w:r>
        <w:rPr>
          <w:rFonts w:hint="default" w:ascii="Times New Roman" w:hAnsi="Times New Roman" w:eastAsia="仿宋_GB2312" w:cs="Times New Roman"/>
          <w:sz w:val="32"/>
          <w:szCs w:val="32"/>
        </w:rPr>
        <w:t>%；上级补助收入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%；事业收入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%；经营收入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%；附属单位上缴收入</w:t>
      </w:r>
      <w:r>
        <w:rPr>
          <w:rFonts w:hint="default" w:ascii="Times New Roman" w:hAnsi="Times New Roman" w:eastAsia="仿宋_GB2312" w:cs="Times New Roman"/>
          <w:sz w:val="32"/>
          <w:szCs w:val="32"/>
          <w:lang w:val="en-US" w:eastAsia="zh-CN"/>
        </w:rPr>
        <w:t>0万</w:t>
      </w:r>
      <w:r>
        <w:rPr>
          <w:rFonts w:hint="default" w:ascii="Times New Roman" w:hAnsi="Times New Roman" w:eastAsia="仿宋_GB2312" w:cs="Times New Roman"/>
          <w:sz w:val="32"/>
          <w:szCs w:val="32"/>
        </w:rPr>
        <w:t>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%；其他收入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（注：数据来源于财决01表）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（图2：收入决算结构图）（饼状图）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rPr>
        <w:drawing>
          <wp:anchor distT="0" distB="0" distL="114300" distR="114300" simplePos="0" relativeHeight="251660288" behindDoc="0" locked="0" layoutInCell="1" allowOverlap="1">
            <wp:simplePos x="0" y="0"/>
            <wp:positionH relativeFrom="column">
              <wp:posOffset>405765</wp:posOffset>
            </wp:positionH>
            <wp:positionV relativeFrom="paragraph">
              <wp:posOffset>138430</wp:posOffset>
            </wp:positionV>
            <wp:extent cx="4636770" cy="2786380"/>
            <wp:effectExtent l="4445" t="4445" r="6985" b="9525"/>
            <wp:wrapSquare wrapText="bothSides"/>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bookmarkStart w:id="26" w:name="_Toc15377207"/>
      <w:bookmarkStart w:id="27" w:name="_Toc15396605"/>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支出决算情况说明</w:t>
      </w:r>
      <w:bookmarkEnd w:id="26"/>
      <w:bookmarkEnd w:id="27"/>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2020年本年支出合计</w:t>
      </w:r>
      <w:r>
        <w:rPr>
          <w:rFonts w:hint="default" w:ascii="Times New Roman" w:hAnsi="Times New Roman" w:eastAsia="仿宋_GB2312" w:cs="Times New Roman"/>
          <w:sz w:val="32"/>
          <w:szCs w:val="32"/>
          <w:lang w:val="en-US" w:eastAsia="zh-CN"/>
        </w:rPr>
        <w:t>3123.56</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145.74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4.67</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2977.81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95.33</w:t>
      </w: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%；经营支出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万元，占**%；对附属单位补助支出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（注：数据来源于财决04表）</w:t>
      </w:r>
    </w:p>
    <w:p>
      <w:pPr>
        <w:tabs>
          <w:tab w:val="left" w:pos="210"/>
          <w:tab w:val="left" w:pos="420"/>
        </w:tabs>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62336" behindDoc="0" locked="0" layoutInCell="1" allowOverlap="1">
            <wp:simplePos x="0" y="0"/>
            <wp:positionH relativeFrom="column">
              <wp:posOffset>328295</wp:posOffset>
            </wp:positionH>
            <wp:positionV relativeFrom="paragraph">
              <wp:posOffset>53975</wp:posOffset>
            </wp:positionV>
            <wp:extent cx="5037455" cy="2468880"/>
            <wp:effectExtent l="4445" t="4445" r="6350" b="22225"/>
            <wp:wrapSquare wrapText="bothSides"/>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28" w:name="_Toc15377208"/>
      <w:bookmarkStart w:id="29" w:name="_Toc15396606"/>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财政拨款收入支出决算总体情况说明</w:t>
      </w:r>
      <w:bookmarkEnd w:id="28"/>
      <w:bookmarkEnd w:id="29"/>
    </w:p>
    <w:p>
      <w:pPr>
        <w:numPr>
          <w:ilvl w:val="0"/>
          <w:numId w:val="0"/>
        </w:numPr>
        <w:ind w:firstLine="664"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2020年财政拨款收、支总计</w:t>
      </w:r>
      <w:r>
        <w:rPr>
          <w:rFonts w:hint="default" w:ascii="Times New Roman" w:hAnsi="Times New Roman" w:eastAsia="仿宋_GB2312" w:cs="Times New Roman"/>
          <w:spacing w:val="6"/>
          <w:sz w:val="32"/>
          <w:szCs w:val="32"/>
          <w:lang w:val="en-US" w:eastAsia="zh-CN"/>
        </w:rPr>
        <w:t>4713.84</w:t>
      </w:r>
      <w:r>
        <w:rPr>
          <w:rFonts w:hint="default" w:ascii="Times New Roman" w:hAnsi="Times New Roman" w:eastAsia="仿宋_GB2312" w:cs="Times New Roman"/>
          <w:spacing w:val="6"/>
          <w:sz w:val="32"/>
          <w:szCs w:val="32"/>
        </w:rPr>
        <w:t>万元。与2019年</w:t>
      </w:r>
      <w:r>
        <w:rPr>
          <w:rFonts w:hint="default" w:ascii="Times New Roman" w:hAnsi="Times New Roman" w:eastAsia="仿宋_GB2312" w:cs="Times New Roman"/>
          <w:spacing w:val="6"/>
          <w:sz w:val="32"/>
          <w:szCs w:val="32"/>
          <w:lang w:val="en-US" w:eastAsia="zh-CN"/>
        </w:rPr>
        <w:t>3377.9万元</w:t>
      </w:r>
      <w:r>
        <w:rPr>
          <w:rFonts w:hint="default" w:ascii="Times New Roman" w:hAnsi="Times New Roman" w:eastAsia="仿宋_GB2312" w:cs="Times New Roman"/>
          <w:spacing w:val="6"/>
          <w:sz w:val="32"/>
          <w:szCs w:val="32"/>
        </w:rPr>
        <w:t>相比，财政拨款收、支总计增加</w:t>
      </w:r>
      <w:r>
        <w:rPr>
          <w:rFonts w:hint="default" w:ascii="Times New Roman" w:hAnsi="Times New Roman" w:eastAsia="仿宋_GB2312" w:cs="Times New Roman"/>
          <w:spacing w:val="6"/>
          <w:sz w:val="32"/>
          <w:szCs w:val="32"/>
          <w:lang w:val="en-US" w:eastAsia="zh-CN"/>
        </w:rPr>
        <w:t>1335.94</w:t>
      </w:r>
      <w:r>
        <w:rPr>
          <w:rFonts w:hint="default" w:ascii="Times New Roman" w:hAnsi="Times New Roman" w:eastAsia="仿宋_GB2312" w:cs="Times New Roman"/>
          <w:spacing w:val="6"/>
          <w:sz w:val="32"/>
          <w:szCs w:val="32"/>
        </w:rPr>
        <w:t>万元，增长</w:t>
      </w:r>
      <w:r>
        <w:rPr>
          <w:rFonts w:hint="default" w:ascii="Times New Roman" w:hAnsi="Times New Roman" w:eastAsia="仿宋_GB2312" w:cs="Times New Roman"/>
          <w:spacing w:val="6"/>
          <w:sz w:val="32"/>
          <w:szCs w:val="32"/>
          <w:lang w:val="en-US" w:eastAsia="zh-CN"/>
        </w:rPr>
        <w:t>39.5</w:t>
      </w:r>
      <w:r>
        <w:rPr>
          <w:rFonts w:hint="default" w:ascii="Times New Roman" w:hAnsi="Times New Roman" w:eastAsia="仿宋_GB2312" w:cs="Times New Roman"/>
          <w:spacing w:val="6"/>
          <w:sz w:val="32"/>
          <w:szCs w:val="32"/>
        </w:rPr>
        <w:t>%。主要变动原因是</w:t>
      </w:r>
      <w:r>
        <w:rPr>
          <w:rFonts w:hint="default" w:ascii="Times New Roman" w:hAnsi="Times New Roman" w:eastAsia="仿宋_GB2312" w:cs="Times New Roman"/>
          <w:spacing w:val="6"/>
          <w:sz w:val="32"/>
          <w:szCs w:val="32"/>
          <w:lang w:eastAsia="zh-CN"/>
        </w:rPr>
        <w:t>区级资金到位。</w:t>
      </w:r>
      <w:r>
        <w:rPr>
          <w:rFonts w:hint="default" w:ascii="Times New Roman" w:hAnsi="Times New Roman" w:eastAsia="仿宋_GB2312" w:cs="Times New Roman"/>
          <w:spacing w:val="6"/>
          <w:sz w:val="32"/>
          <w:szCs w:val="32"/>
        </w:rPr>
        <w:t>（注：除国有资本经营预算外，数据来源于财决Z01-1表，口径为“总计”数+国有资本经营预算。</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61312" behindDoc="0" locked="0" layoutInCell="1" allowOverlap="1">
            <wp:simplePos x="0" y="0"/>
            <wp:positionH relativeFrom="column">
              <wp:posOffset>173355</wp:posOffset>
            </wp:positionH>
            <wp:positionV relativeFrom="paragraph">
              <wp:posOffset>4445</wp:posOffset>
            </wp:positionV>
            <wp:extent cx="4989830" cy="2675255"/>
            <wp:effectExtent l="4445" t="4445" r="15875" b="635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ind w:firstLine="640" w:firstLineChars="200"/>
        <w:rPr>
          <w:rFonts w:hint="default" w:ascii="Times New Roman" w:hAnsi="Times New Roman" w:eastAsia="黑体" w:cs="Times New Roman"/>
          <w:sz w:val="32"/>
          <w:szCs w:val="32"/>
        </w:rPr>
      </w:pPr>
      <w:bookmarkStart w:id="30" w:name="_Toc15396607"/>
      <w:bookmarkStart w:id="31" w:name="_Toc15377209"/>
    </w:p>
    <w:p>
      <w:pPr>
        <w:ind w:firstLine="640" w:firstLineChars="200"/>
        <w:rPr>
          <w:rFonts w:hint="default" w:ascii="Times New Roman" w:hAnsi="Times New Roman" w:eastAsia="黑体" w:cs="Times New Roman"/>
          <w:sz w:val="32"/>
          <w:szCs w:val="32"/>
        </w:rPr>
      </w:pPr>
    </w:p>
    <w:p>
      <w:pPr>
        <w:ind w:firstLine="640" w:firstLineChars="200"/>
        <w:rPr>
          <w:rFonts w:hint="default" w:ascii="Times New Roman" w:hAnsi="Times New Roman" w:eastAsia="黑体" w:cs="Times New Roman"/>
          <w:sz w:val="32"/>
          <w:szCs w:val="32"/>
        </w:rPr>
      </w:pPr>
    </w:p>
    <w:p>
      <w:pPr>
        <w:ind w:firstLine="640" w:firstLineChars="200"/>
        <w:rPr>
          <w:rFonts w:hint="default" w:ascii="Times New Roman" w:hAnsi="Times New Roman" w:eastAsia="黑体" w:cs="Times New Roman"/>
          <w:sz w:val="32"/>
          <w:szCs w:val="32"/>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五、一般公共预算财政拨款支出决算情况说明</w:t>
      </w:r>
      <w:bookmarkEnd w:id="30"/>
      <w:bookmarkEnd w:id="31"/>
    </w:p>
    <w:p>
      <w:pPr>
        <w:ind w:firstLine="640" w:firstLineChars="200"/>
        <w:rPr>
          <w:rFonts w:hint="default" w:ascii="Times New Roman" w:hAnsi="Times New Roman" w:eastAsia="楷体_GB2312" w:cs="Times New Roman"/>
          <w:sz w:val="32"/>
          <w:szCs w:val="32"/>
          <w:lang w:eastAsia="zh-CN"/>
        </w:rPr>
      </w:pPr>
      <w:bookmarkStart w:id="32" w:name="_Toc15377210"/>
      <w:r>
        <w:rPr>
          <w:rFonts w:hint="default" w:ascii="Times New Roman" w:hAnsi="Times New Roman" w:eastAsia="楷体_GB2312" w:cs="Times New Roman"/>
          <w:sz w:val="32"/>
          <w:szCs w:val="32"/>
        </w:rPr>
        <w:drawing>
          <wp:anchor distT="0" distB="0" distL="114300" distR="114300" simplePos="0" relativeHeight="251663360" behindDoc="0" locked="0" layoutInCell="1" allowOverlap="1">
            <wp:simplePos x="0" y="0"/>
            <wp:positionH relativeFrom="column">
              <wp:posOffset>157480</wp:posOffset>
            </wp:positionH>
            <wp:positionV relativeFrom="paragraph">
              <wp:posOffset>45085</wp:posOffset>
            </wp:positionV>
            <wp:extent cx="5390515" cy="4297045"/>
            <wp:effectExtent l="4445" t="4445" r="15240" b="22860"/>
            <wp:wrapSquare wrapText="bothSides"/>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eastAsia="楷体_GB2312" w:cs="Times New Roman"/>
          <w:sz w:val="32"/>
          <w:szCs w:val="32"/>
        </w:rPr>
        <w:t>（一）一般公共预算财政拨款支出决算总体情况</w:t>
      </w:r>
      <w:bookmarkEnd w:id="32"/>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2020年一般公共预算财政拨款支出</w:t>
      </w:r>
      <w:r>
        <w:rPr>
          <w:rFonts w:hint="default" w:ascii="Times New Roman" w:hAnsi="Times New Roman" w:eastAsia="仿宋_GB2312" w:cs="Times New Roman"/>
          <w:sz w:val="32"/>
          <w:szCs w:val="32"/>
          <w:lang w:val="en-US" w:eastAsia="zh-CN"/>
        </w:rPr>
        <w:t>151.74</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sz w:val="32"/>
          <w:szCs w:val="32"/>
          <w:lang w:val="en-US" w:eastAsia="zh-CN"/>
        </w:rPr>
        <w:t>4.86</w:t>
      </w:r>
      <w:r>
        <w:rPr>
          <w:rFonts w:hint="default" w:ascii="Times New Roman" w:hAnsi="Times New Roman" w:eastAsia="仿宋_GB2312" w:cs="Times New Roman"/>
          <w:sz w:val="32"/>
          <w:szCs w:val="32"/>
        </w:rPr>
        <w:t>%。与2019年相比，一般公共预算财政拨款减少</w:t>
      </w:r>
      <w:r>
        <w:rPr>
          <w:rFonts w:hint="default" w:ascii="Times New Roman" w:hAnsi="Times New Roman" w:eastAsia="仿宋_GB2312" w:cs="Times New Roman"/>
          <w:sz w:val="32"/>
          <w:szCs w:val="32"/>
          <w:lang w:val="en-US" w:eastAsia="zh-CN"/>
        </w:rPr>
        <w:t>898.2</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85.55</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项目款支付用区级债券资金支付。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eastAsia="zh-CN"/>
        </w:rPr>
      </w:pPr>
      <w:bookmarkStart w:id="33" w:name="_Toc15377211"/>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二</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一般公共预算财政拨款支出决算结构情况</w:t>
      </w:r>
      <w:bookmarkEnd w:id="33"/>
      <w:r>
        <w:rPr>
          <w:rFonts w:hint="default" w:ascii="Times New Roman" w:hAnsi="Times New Roman" w:eastAsia="楷体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2020年一般公共预算财政拨款支出</w:t>
      </w:r>
      <w:r>
        <w:rPr>
          <w:rFonts w:hint="default" w:ascii="Times New Roman" w:hAnsi="Times New Roman" w:eastAsia="仿宋_GB2312" w:cs="Times New Roman"/>
          <w:sz w:val="32"/>
          <w:szCs w:val="32"/>
          <w:lang w:val="en-US" w:eastAsia="zh-CN"/>
        </w:rPr>
        <w:t>151.74</w:t>
      </w:r>
      <w:r>
        <w:rPr>
          <w:rFonts w:hint="default" w:ascii="Times New Roman" w:hAnsi="Times New Roman" w:eastAsia="仿宋_GB2312" w:cs="Times New Roman"/>
          <w:sz w:val="32"/>
          <w:szCs w:val="32"/>
        </w:rPr>
        <w:t>万元，主要用于以下方面:社会保障和就业（类）支出</w:t>
      </w:r>
      <w:r>
        <w:rPr>
          <w:rFonts w:hint="default" w:ascii="Times New Roman" w:hAnsi="Times New Roman" w:eastAsia="仿宋_GB2312" w:cs="Times New Roman"/>
          <w:sz w:val="32"/>
          <w:szCs w:val="32"/>
          <w:lang w:val="en-US" w:eastAsia="zh-CN"/>
        </w:rPr>
        <w:t>9.7</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6.39</w:t>
      </w:r>
      <w:r>
        <w:rPr>
          <w:rFonts w:hint="default" w:ascii="Times New Roman" w:hAnsi="Times New Roman" w:eastAsia="仿宋_GB2312" w:cs="Times New Roman"/>
          <w:sz w:val="32"/>
          <w:szCs w:val="32"/>
        </w:rPr>
        <w:t>%；卫生健康支出</w:t>
      </w:r>
      <w:r>
        <w:rPr>
          <w:rFonts w:hint="default" w:ascii="Times New Roman" w:hAnsi="Times New Roman" w:eastAsia="仿宋_GB2312" w:cs="Times New Roman"/>
          <w:sz w:val="32"/>
          <w:szCs w:val="32"/>
          <w:lang w:val="en-US" w:eastAsia="zh-CN"/>
        </w:rPr>
        <w:t>7.93</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5.23</w:t>
      </w:r>
      <w:r>
        <w:rPr>
          <w:rFonts w:hint="default" w:ascii="Times New Roman" w:hAnsi="Times New Roman" w:eastAsia="仿宋_GB2312" w:cs="Times New Roman"/>
          <w:sz w:val="32"/>
          <w:szCs w:val="32"/>
        </w:rPr>
        <w:t>%；住房保障支出</w:t>
      </w:r>
      <w:r>
        <w:rPr>
          <w:rFonts w:hint="default" w:ascii="Times New Roman" w:hAnsi="Times New Roman" w:eastAsia="仿宋_GB2312" w:cs="Times New Roman"/>
          <w:sz w:val="32"/>
          <w:szCs w:val="32"/>
          <w:lang w:val="en-US" w:eastAsia="zh-CN"/>
        </w:rPr>
        <w:t>13.25</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8.73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农林水支出</w:t>
      </w:r>
      <w:r>
        <w:rPr>
          <w:rFonts w:hint="default" w:ascii="Times New Roman" w:hAnsi="Times New Roman" w:eastAsia="仿宋_GB2312" w:cs="Times New Roman"/>
          <w:sz w:val="32"/>
          <w:szCs w:val="32"/>
          <w:lang w:val="en-US" w:eastAsia="zh-CN"/>
        </w:rPr>
        <w:t>120.87万元，</w:t>
      </w:r>
      <w:r>
        <w:rPr>
          <w:rFonts w:hint="default" w:ascii="Times New Roman" w:hAnsi="Times New Roman" w:eastAsia="仿宋_GB2312" w:cs="Times New Roman"/>
          <w:sz w:val="32"/>
          <w:szCs w:val="32"/>
        </w:rPr>
        <w:t>占</w:t>
      </w:r>
      <w:r>
        <w:rPr>
          <w:rFonts w:hint="eastAsia" w:eastAsia="仿宋_GB2312" w:cs="Times New Roman"/>
          <w:sz w:val="32"/>
          <w:szCs w:val="32"/>
          <w:lang w:val="en-US" w:eastAsia="zh-CN"/>
        </w:rPr>
        <w:t>79.66</w:t>
      </w:r>
      <w:r>
        <w:rPr>
          <w:rFonts w:hint="default" w:ascii="Times New Roman" w:hAnsi="Times New Roman" w:eastAsia="仿宋_GB2312" w:cs="Times New Roman"/>
          <w:sz w:val="32"/>
          <w:szCs w:val="32"/>
        </w:rPr>
        <w:t>%。</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64384" behindDoc="0" locked="0" layoutInCell="1" allowOverlap="1">
            <wp:simplePos x="0" y="0"/>
            <wp:positionH relativeFrom="column">
              <wp:posOffset>109220</wp:posOffset>
            </wp:positionH>
            <wp:positionV relativeFrom="paragraph">
              <wp:posOffset>156845</wp:posOffset>
            </wp:positionV>
            <wp:extent cx="5418455" cy="2774315"/>
            <wp:effectExtent l="4445" t="4445" r="6350" b="21590"/>
            <wp:wrapSquare wrapText="bothSides"/>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eastAsia="zh-CN"/>
        </w:rPr>
      </w:pPr>
      <w:bookmarkStart w:id="34" w:name="_Toc15377212"/>
      <w:r>
        <w:rPr>
          <w:rFonts w:hint="default" w:ascii="Times New Roman" w:hAnsi="Times New Roman" w:eastAsia="楷体_GB2312" w:cs="Times New Roman"/>
          <w:sz w:val="32"/>
          <w:szCs w:val="32"/>
        </w:rPr>
        <w:t>（三）一般公共预算财政拨款支出决算具体情况</w:t>
      </w:r>
      <w:bookmarkEnd w:id="34"/>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bookmarkStart w:id="35" w:name="_Toc15378460"/>
      <w:bookmarkStart w:id="36" w:name="_Toc15377444"/>
      <w:bookmarkStart w:id="37" w:name="_Toc15377213"/>
      <w:r>
        <w:rPr>
          <w:rFonts w:hint="default" w:ascii="Times New Roman" w:hAnsi="Times New Roman" w:eastAsia="仿宋_GB2312" w:cs="Times New Roman"/>
          <w:sz w:val="32"/>
          <w:szCs w:val="32"/>
        </w:rPr>
        <w:t>2020年一般公共预算支出决算数为</w:t>
      </w:r>
      <w:r>
        <w:rPr>
          <w:rFonts w:hint="default" w:ascii="Times New Roman" w:hAnsi="Times New Roman" w:eastAsia="仿宋_GB2312" w:cs="Times New Roman"/>
          <w:sz w:val="32"/>
          <w:szCs w:val="32"/>
          <w:lang w:val="en-US" w:eastAsia="zh-CN"/>
        </w:rPr>
        <w:t>151.74</w:t>
      </w:r>
      <w:r>
        <w:rPr>
          <w:rFonts w:hint="default" w:ascii="Times New Roman" w:hAnsi="Times New Roman" w:eastAsia="仿宋_GB2312" w:cs="Times New Roman"/>
          <w:sz w:val="32"/>
          <w:szCs w:val="32"/>
        </w:rPr>
        <w:t>，完成预算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%。其中：</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.社会保障和就业（类）</w:t>
      </w:r>
      <w:r>
        <w:rPr>
          <w:rFonts w:hint="default" w:ascii="Times New Roman" w:hAnsi="Times New Roman" w:eastAsia="仿宋_GB2312" w:cs="Times New Roman"/>
          <w:sz w:val="32"/>
          <w:szCs w:val="32"/>
          <w:lang w:eastAsia="zh-CN"/>
        </w:rPr>
        <w:t>行政事业单位退休</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机关事业单位基本养老保险缴费支出</w:t>
      </w:r>
      <w:r>
        <w:rPr>
          <w:rFonts w:hint="default" w:ascii="Times New Roman" w:hAnsi="Times New Roman" w:eastAsia="仿宋_GB2312" w:cs="Times New Roman"/>
          <w:sz w:val="32"/>
          <w:szCs w:val="32"/>
        </w:rPr>
        <w:t>（项）: 支出决算为</w:t>
      </w:r>
      <w:r>
        <w:rPr>
          <w:rFonts w:hint="default" w:ascii="Times New Roman" w:hAnsi="Times New Roman" w:eastAsia="仿宋_GB2312" w:cs="Times New Roman"/>
          <w:sz w:val="32"/>
          <w:szCs w:val="32"/>
          <w:lang w:val="en-US" w:eastAsia="zh-CN"/>
        </w:rPr>
        <w:t>9.7</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，决算数与预算数持平。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.卫生健康（类）</w:t>
      </w:r>
      <w:r>
        <w:rPr>
          <w:rFonts w:hint="default" w:ascii="Times New Roman" w:hAnsi="Times New Roman" w:eastAsia="仿宋_GB2312" w:cs="Times New Roman"/>
          <w:sz w:val="32"/>
          <w:szCs w:val="32"/>
          <w:lang w:eastAsia="zh-CN"/>
        </w:rPr>
        <w:t>行政事业单位医疗</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事业单位医疗</w:t>
      </w:r>
      <w:r>
        <w:rPr>
          <w:rFonts w:hint="default" w:ascii="Times New Roman" w:hAnsi="Times New Roman" w:eastAsia="仿宋_GB2312" w:cs="Times New Roman"/>
          <w:sz w:val="32"/>
          <w:szCs w:val="32"/>
        </w:rPr>
        <w:t>（项）:支出决算为</w:t>
      </w:r>
      <w:r>
        <w:rPr>
          <w:rFonts w:hint="default" w:ascii="Times New Roman" w:hAnsi="Times New Roman" w:eastAsia="仿宋_GB2312" w:cs="Times New Roman"/>
          <w:sz w:val="32"/>
          <w:szCs w:val="32"/>
          <w:lang w:val="en-US" w:eastAsia="zh-CN"/>
        </w:rPr>
        <w:t>7.24</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，决算数与预算数持平。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卫生健康（类）</w:t>
      </w:r>
      <w:r>
        <w:rPr>
          <w:rFonts w:hint="default" w:ascii="Times New Roman" w:hAnsi="Times New Roman" w:eastAsia="仿宋_GB2312" w:cs="Times New Roman"/>
          <w:sz w:val="32"/>
          <w:szCs w:val="32"/>
          <w:lang w:eastAsia="zh-CN"/>
        </w:rPr>
        <w:t>行政事业单位医疗</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公务员医疗补助</w:t>
      </w:r>
      <w:r>
        <w:rPr>
          <w:rFonts w:hint="default" w:ascii="Times New Roman" w:hAnsi="Times New Roman" w:eastAsia="仿宋_GB2312" w:cs="Times New Roman"/>
          <w:sz w:val="32"/>
          <w:szCs w:val="32"/>
        </w:rPr>
        <w:t>（项）:支出决算为</w:t>
      </w:r>
      <w:r>
        <w:rPr>
          <w:rFonts w:hint="default" w:ascii="Times New Roman" w:hAnsi="Times New Roman" w:eastAsia="仿宋_GB2312" w:cs="Times New Roman"/>
          <w:sz w:val="32"/>
          <w:szCs w:val="32"/>
          <w:lang w:val="en-US" w:eastAsia="zh-CN"/>
        </w:rPr>
        <w:t>0.69</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，决算数与预算数持平。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4.农林水支出</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水利</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其他水利支出</w:t>
      </w:r>
      <w:r>
        <w:rPr>
          <w:rFonts w:hint="default" w:ascii="Times New Roman" w:hAnsi="Times New Roman" w:eastAsia="仿宋_GB2312" w:cs="Times New Roman"/>
          <w:sz w:val="32"/>
          <w:szCs w:val="32"/>
        </w:rPr>
        <w:t>（项）:支出决算为</w:t>
      </w:r>
      <w:r>
        <w:rPr>
          <w:rFonts w:hint="default" w:ascii="Times New Roman" w:hAnsi="Times New Roman" w:eastAsia="仿宋_GB2312" w:cs="Times New Roman"/>
          <w:sz w:val="32"/>
          <w:szCs w:val="32"/>
          <w:lang w:val="en-US" w:eastAsia="zh-CN"/>
        </w:rPr>
        <w:t>120.87</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决算数与预算数持平。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5.住房保障支出（类）住房改革支出（款）住房公积金（项）决算数为13.25万元，完成预算100%</w:t>
      </w:r>
      <w:r>
        <w:rPr>
          <w:rFonts w:hint="default" w:ascii="Times New Roman" w:hAnsi="Times New Roman" w:eastAsia="仿宋_GB2312" w:cs="Times New Roman"/>
          <w:sz w:val="32"/>
          <w:szCs w:val="32"/>
          <w:lang w:eastAsia="zh-CN"/>
        </w:rPr>
        <w:t>，决算数与预算数持平。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（注：数据来源于财决Z01-1表，罗列全部功能分类科目至项级。上述“预算”口径为调整预算数。增减变动原因为决算数&lt;项级&gt;和调整预算数&lt;项级&gt;比较，与预算数持平可以不写原因。）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bookmarkStart w:id="38" w:name="_Toc15396608"/>
      <w:bookmarkStart w:id="39" w:name="_Toc15377214"/>
      <w:r>
        <w:rPr>
          <w:rFonts w:hint="default" w:ascii="Times New Roman" w:hAnsi="Times New Roman" w:eastAsia="黑体" w:cs="Times New Roman"/>
          <w:sz w:val="32"/>
          <w:szCs w:val="32"/>
        </w:rPr>
        <w:t>一般公共预算财政拨款基本支出决算情况说明</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2020年一般公共预算财政拨款基本支出</w:t>
      </w:r>
      <w:r>
        <w:rPr>
          <w:rFonts w:hint="default" w:ascii="Times New Roman" w:hAnsi="Times New Roman" w:eastAsia="仿宋_GB2312" w:cs="Times New Roman"/>
          <w:sz w:val="32"/>
          <w:szCs w:val="32"/>
          <w:lang w:val="en-US" w:eastAsia="zh-CN"/>
        </w:rPr>
        <w:t>145.74</w:t>
      </w:r>
      <w:r>
        <w:rPr>
          <w:rFonts w:hint="default" w:ascii="Times New Roman" w:hAnsi="Times New Roman" w:eastAsia="仿宋_GB2312" w:cs="Times New Roman"/>
          <w:sz w:val="32"/>
          <w:szCs w:val="32"/>
        </w:rPr>
        <w:t>万元，其中：</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sz w:val="32"/>
          <w:szCs w:val="32"/>
          <w:lang w:val="en-US" w:eastAsia="zh-CN"/>
        </w:rPr>
        <w:t>129.63</w:t>
      </w:r>
      <w:r>
        <w:rPr>
          <w:rFonts w:hint="default" w:ascii="Times New Roman" w:hAnsi="Times New Roman" w:eastAsia="仿宋_GB2312" w:cs="Times New Roman"/>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日常公用经费</w:t>
      </w:r>
      <w:r>
        <w:rPr>
          <w:rFonts w:hint="default" w:ascii="Times New Roman" w:hAnsi="Times New Roman" w:eastAsia="仿宋_GB2312" w:cs="Times New Roman"/>
          <w:sz w:val="32"/>
          <w:szCs w:val="32"/>
          <w:lang w:val="en-US" w:eastAsia="zh-CN"/>
        </w:rPr>
        <w:t>16.11</w:t>
      </w:r>
      <w:r>
        <w:rPr>
          <w:rFonts w:hint="default" w:ascii="Times New Roman" w:hAnsi="Times New Roman" w:eastAsia="仿宋_GB2312" w:cs="Times New Roman"/>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（注：数据来源于财决07表，根据本部门实际支出情况罗列全部经济分类科目。）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bookmarkStart w:id="40" w:name="_Toc15377215"/>
      <w:bookmarkStart w:id="41" w:name="_Toc15396609"/>
      <w:r>
        <w:rPr>
          <w:rFonts w:hint="default" w:ascii="Times New Roman" w:hAnsi="Times New Roman" w:eastAsia="黑体" w:cs="Times New Roman"/>
          <w:sz w:val="32"/>
          <w:szCs w:val="32"/>
        </w:rPr>
        <w:t>七、“三公”经费财政拨款支出决算情况说明</w:t>
      </w:r>
      <w:bookmarkEnd w:id="40"/>
      <w:bookmarkEnd w:id="4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bookmarkStart w:id="42" w:name="_Toc15377216"/>
      <w:r>
        <w:rPr>
          <w:rFonts w:hint="default" w:ascii="Times New Roman" w:hAnsi="Times New Roman" w:eastAsia="楷体_GB2312" w:cs="Times New Roman"/>
          <w:sz w:val="32"/>
          <w:szCs w:val="32"/>
        </w:rPr>
        <w:t>（一）“三公”经费财政拨款支出决算总体情况说明</w:t>
      </w:r>
      <w:bookmarkEnd w:id="42"/>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2020年“三公”经费财政拨款支出决算为</w:t>
      </w:r>
      <w:r>
        <w:rPr>
          <w:rFonts w:hint="default" w:ascii="Times New Roman" w:hAnsi="Times New Roman" w:eastAsia="仿宋_GB2312" w:cs="Times New Roman"/>
          <w:sz w:val="32"/>
          <w:szCs w:val="32"/>
          <w:lang w:val="en-US" w:eastAsia="zh-CN"/>
        </w:rPr>
        <w:t>7.65</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%，与预算数持平。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（注：上述“预算”口径为调整预算数，包括政府性基金支出决算情况。）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eastAsia="zh-CN"/>
        </w:rPr>
      </w:pPr>
      <w:bookmarkStart w:id="43" w:name="_Toc15377217"/>
      <w:r>
        <w:rPr>
          <w:rFonts w:hint="default" w:ascii="Times New Roman" w:hAnsi="Times New Roman" w:eastAsia="楷体_GB2312" w:cs="Times New Roman"/>
          <w:sz w:val="32"/>
          <w:szCs w:val="32"/>
        </w:rPr>
        <w:t>（二）“三公”经费财政拨款支出决算具体情况说明</w:t>
      </w:r>
      <w:bookmarkEnd w:id="43"/>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2020年“三公”经费财政拨款支出决算中，因公出国（境）费支出决算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sz w:val="32"/>
          <w:szCs w:val="32"/>
          <w:lang w:val="en-US" w:eastAsia="zh-CN"/>
        </w:rPr>
        <w:t>7.5</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98</w:t>
      </w:r>
      <w:r>
        <w:rPr>
          <w:rFonts w:hint="default" w:ascii="Times New Roman" w:hAnsi="Times New Roman" w:eastAsia="仿宋_GB2312" w:cs="Times New Roman"/>
          <w:sz w:val="32"/>
          <w:szCs w:val="32"/>
        </w:rPr>
        <w:t>%；公务接待费支出决算</w:t>
      </w:r>
      <w:r>
        <w:rPr>
          <w:rFonts w:hint="default" w:ascii="Times New Roman" w:hAnsi="Times New Roman" w:eastAsia="仿宋_GB2312" w:cs="Times New Roman"/>
          <w:sz w:val="32"/>
          <w:szCs w:val="32"/>
          <w:lang w:val="en-US" w:eastAsia="zh-CN"/>
        </w:rPr>
        <w:t>0.15</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%。具体情况如下：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65408" behindDoc="0" locked="0" layoutInCell="1" allowOverlap="1">
            <wp:simplePos x="0" y="0"/>
            <wp:positionH relativeFrom="column">
              <wp:posOffset>325120</wp:posOffset>
            </wp:positionH>
            <wp:positionV relativeFrom="paragraph">
              <wp:posOffset>64135</wp:posOffset>
            </wp:positionV>
            <wp:extent cx="4200525" cy="2247900"/>
            <wp:effectExtent l="4445" t="4445" r="5080" b="14605"/>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（图7：“三公”经费财政拨款支出结构）（饼状图）</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1.因公出国（境）经费支出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人。因公出国（境）支出决算</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201</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eastAsia" w:eastAsia="仿宋_GB2312" w:cs="Times New Roman"/>
          <w:sz w:val="32"/>
          <w:szCs w:val="32"/>
          <w:lang w:eastAsia="zh-CN"/>
        </w:rPr>
        <w:t>持平。</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2.公务用车购置及运行维护费支出</w:t>
      </w:r>
      <w:r>
        <w:rPr>
          <w:rFonts w:hint="default" w:ascii="Times New Roman" w:hAnsi="Times New Roman" w:eastAsia="仿宋_GB2312" w:cs="Times New Roman"/>
          <w:sz w:val="32"/>
          <w:szCs w:val="32"/>
          <w:lang w:val="en-US" w:eastAsia="zh-CN"/>
        </w:rPr>
        <w:t>7.5</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持平。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其中：公务用车购置支出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万元。全年按规定更新购置公务用车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万元。截至2020年12月底，单位共有公务用车</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辆、越野车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w:t>
      </w:r>
      <w:r>
        <w:rPr>
          <w:rFonts w:hint="default" w:ascii="Times New Roman" w:hAnsi="Times New Roman" w:eastAsia="仿宋_GB2312" w:cs="Times New Roman"/>
          <w:sz w:val="32"/>
          <w:szCs w:val="32"/>
          <w:lang w:eastAsia="zh-CN"/>
        </w:rPr>
        <w:t>皮卡</w:t>
      </w:r>
      <w:r>
        <w:rPr>
          <w:rFonts w:hint="default" w:ascii="Times New Roman" w:hAnsi="Times New Roman" w:eastAsia="仿宋_GB2312" w:cs="Times New Roman"/>
          <w:sz w:val="32"/>
          <w:szCs w:val="32"/>
        </w:rPr>
        <w:t>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w:t>
      </w:r>
      <w:r>
        <w:rPr>
          <w:rFonts w:hint="default" w:ascii="Times New Roman" w:hAnsi="Times New Roman" w:eastAsia="仿宋_GB2312" w:cs="Times New Roman"/>
          <w:sz w:val="32"/>
          <w:szCs w:val="32"/>
          <w:lang w:val="en-US" w:eastAsia="zh-CN"/>
        </w:rPr>
        <w:t>7.5</w:t>
      </w:r>
      <w:r>
        <w:rPr>
          <w:rFonts w:hint="default" w:ascii="Times New Roman" w:hAnsi="Times New Roman" w:eastAsia="仿宋_GB2312" w:cs="Times New Roman"/>
          <w:sz w:val="32"/>
          <w:szCs w:val="32"/>
        </w:rPr>
        <w:t>万元。主要用于事业工作、公共安全、一般行政管理事务、防汛、抗旱、</w:t>
      </w:r>
      <w:r>
        <w:rPr>
          <w:rFonts w:hint="default" w:ascii="Times New Roman" w:hAnsi="Times New Roman" w:eastAsia="仿宋_GB2312" w:cs="Times New Roman"/>
          <w:sz w:val="32"/>
          <w:szCs w:val="32"/>
          <w:lang w:eastAsia="zh-CN"/>
        </w:rPr>
        <w:t>梅子箐水库扩建工程项目工地巡查</w:t>
      </w:r>
      <w:r>
        <w:rPr>
          <w:rFonts w:hint="default" w:ascii="Times New Roman" w:hAnsi="Times New Roman" w:eastAsia="仿宋_GB2312" w:cs="Times New Roman"/>
          <w:sz w:val="32"/>
          <w:szCs w:val="32"/>
        </w:rPr>
        <w:t>等工作所需的公务用车燃料费、维修费、过路过桥费、保险费等支出。</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3.公务接待费支出</w:t>
      </w:r>
      <w:r>
        <w:rPr>
          <w:rFonts w:hint="default" w:ascii="Times New Roman" w:hAnsi="Times New Roman" w:eastAsia="仿宋_GB2312" w:cs="Times New Roman"/>
          <w:sz w:val="32"/>
          <w:szCs w:val="32"/>
          <w:lang w:val="en-US" w:eastAsia="zh-CN"/>
        </w:rPr>
        <w:t>0.15</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%。公务接待费支出决算比2019年减少</w:t>
      </w:r>
      <w:r>
        <w:rPr>
          <w:rFonts w:hint="default" w:ascii="Times New Roman" w:hAnsi="Times New Roman" w:eastAsia="仿宋_GB2312" w:cs="Times New Roman"/>
          <w:sz w:val="32"/>
          <w:szCs w:val="32"/>
          <w:lang w:val="en-US" w:eastAsia="zh-CN"/>
        </w:rPr>
        <w:t>0.17</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53</w:t>
      </w:r>
      <w:r>
        <w:rPr>
          <w:rFonts w:hint="default" w:ascii="Times New Roman" w:hAnsi="Times New Roman" w:eastAsia="仿宋_GB2312" w:cs="Times New Roman"/>
          <w:sz w:val="32"/>
          <w:szCs w:val="32"/>
        </w:rPr>
        <w:t>%。主要原因是主要原因是</w:t>
      </w:r>
      <w:r>
        <w:rPr>
          <w:rFonts w:hint="default" w:ascii="Times New Roman" w:hAnsi="Times New Roman" w:eastAsia="仿宋_GB2312" w:cs="Times New Roman"/>
          <w:sz w:val="32"/>
          <w:szCs w:val="32"/>
          <w:lang w:eastAsia="zh-CN"/>
        </w:rPr>
        <w:t>严格执行中央八项规定。</w:t>
      </w: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国内公务接待支出</w:t>
      </w:r>
      <w:r>
        <w:rPr>
          <w:rFonts w:hint="default" w:ascii="Times New Roman" w:hAnsi="Times New Roman" w:eastAsia="仿宋_GB2312" w:cs="Times New Roman"/>
          <w:sz w:val="32"/>
          <w:szCs w:val="32"/>
          <w:lang w:val="en-US" w:eastAsia="zh-CN"/>
        </w:rPr>
        <w:t>0.15</w:t>
      </w:r>
      <w:r>
        <w:rPr>
          <w:rFonts w:hint="default" w:ascii="Times New Roman" w:hAnsi="Times New Roman" w:eastAsia="仿宋_GB2312" w:cs="Times New Roman"/>
          <w:sz w:val="32"/>
          <w:szCs w:val="32"/>
        </w:rPr>
        <w:t>万元，主要用</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rPr>
        <w:t>用餐费等)。国内公务接待</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0.15</w:t>
      </w:r>
      <w:r>
        <w:rPr>
          <w:rFonts w:hint="default" w:ascii="Times New Roman" w:hAnsi="Times New Roman" w:eastAsia="仿宋_GB2312" w:cs="Times New Roman"/>
          <w:sz w:val="32"/>
          <w:szCs w:val="32"/>
        </w:rPr>
        <w:t>万元，具体内容包括：</w:t>
      </w:r>
      <w:r>
        <w:rPr>
          <w:rFonts w:hint="default" w:ascii="Times New Roman" w:hAnsi="Times New Roman" w:eastAsia="仿宋_GB2312" w:cs="Times New Roman"/>
          <w:sz w:val="32"/>
          <w:szCs w:val="32"/>
          <w:lang w:eastAsia="zh-CN"/>
        </w:rPr>
        <w:t>导截流移民安置终验现场检查工作。</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外事接待支出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万元，外事接待</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人，共计支出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w:t>
      </w:r>
    </w:p>
    <w:p>
      <w:pPr>
        <w:ind w:firstLine="640" w:firstLineChars="200"/>
        <w:rPr>
          <w:rFonts w:hint="default" w:ascii="Times New Roman" w:hAnsi="Times New Roman" w:eastAsia="黑体" w:cs="Times New Roman"/>
          <w:sz w:val="32"/>
          <w:szCs w:val="32"/>
        </w:rPr>
      </w:pPr>
      <w:bookmarkStart w:id="44" w:name="_Toc15396610"/>
      <w:bookmarkStart w:id="45" w:name="_Toc15377218"/>
      <w:r>
        <w:rPr>
          <w:rFonts w:hint="default" w:ascii="Times New Roman" w:hAnsi="Times New Roman" w:eastAsia="黑体" w:cs="Times New Roman"/>
          <w:sz w:val="32"/>
          <w:szCs w:val="32"/>
        </w:rPr>
        <w:t>八、政府性基金预算支出决算情况说明</w:t>
      </w:r>
      <w:bookmarkEnd w:id="44"/>
      <w:bookmarkEnd w:id="45"/>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2020年政府性基金预算拨款支出</w:t>
      </w:r>
      <w:r>
        <w:rPr>
          <w:rFonts w:hint="default" w:ascii="Times New Roman" w:hAnsi="Times New Roman" w:eastAsia="仿宋_GB2312" w:cs="Times New Roman"/>
          <w:sz w:val="32"/>
          <w:szCs w:val="32"/>
          <w:lang w:val="en-US" w:eastAsia="zh-CN"/>
        </w:rPr>
        <w:t>2971.81</w:t>
      </w:r>
      <w:r>
        <w:rPr>
          <w:rFonts w:hint="default" w:ascii="Times New Roman" w:hAnsi="Times New Roman" w:eastAsia="仿宋_GB2312" w:cs="Times New Roman"/>
          <w:sz w:val="32"/>
          <w:szCs w:val="32"/>
        </w:rPr>
        <w:t>万元。</w:t>
      </w:r>
    </w:p>
    <w:p>
      <w:pPr>
        <w:ind w:firstLine="640" w:firstLineChars="200"/>
        <w:rPr>
          <w:rFonts w:hint="default" w:ascii="Times New Roman" w:hAnsi="Times New Roman" w:eastAsia="黑体" w:cs="Times New Roman"/>
          <w:sz w:val="32"/>
          <w:szCs w:val="32"/>
        </w:rPr>
      </w:pPr>
      <w:bookmarkStart w:id="46" w:name="_Toc15396611"/>
      <w:bookmarkStart w:id="47" w:name="_Toc15377219"/>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国有资本经营预算支出决算情况说明</w:t>
      </w:r>
      <w:bookmarkEnd w:id="46"/>
      <w:bookmarkEnd w:id="47"/>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2020年国有资本经营预算拨款支出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ind w:firstLine="640" w:firstLineChars="200"/>
        <w:rPr>
          <w:rFonts w:hint="default" w:ascii="Times New Roman" w:hAnsi="Times New Roman" w:eastAsia="黑体" w:cs="Times New Roman"/>
          <w:sz w:val="32"/>
          <w:szCs w:val="32"/>
        </w:rPr>
      </w:pPr>
      <w:bookmarkStart w:id="48" w:name="_Toc15396612"/>
      <w:bookmarkStart w:id="49" w:name="_Toc15377221"/>
      <w:r>
        <w:rPr>
          <w:rFonts w:hint="default" w:ascii="Times New Roman" w:hAnsi="Times New Roman" w:eastAsia="黑体" w:cs="Times New Roman"/>
          <w:sz w:val="32"/>
          <w:szCs w:val="32"/>
        </w:rPr>
        <w:t>十、其他重要事项的情况说明</w:t>
      </w:r>
      <w:bookmarkEnd w:id="48"/>
      <w:bookmarkEnd w:id="49"/>
    </w:p>
    <w:p>
      <w:pPr>
        <w:ind w:firstLine="640" w:firstLineChars="200"/>
        <w:rPr>
          <w:rFonts w:hint="default" w:ascii="Times New Roman" w:hAnsi="Times New Roman" w:eastAsia="楷体_GB2312" w:cs="Times New Roman"/>
          <w:sz w:val="32"/>
          <w:szCs w:val="32"/>
          <w:lang w:eastAsia="zh-CN"/>
        </w:rPr>
      </w:pPr>
      <w:bookmarkStart w:id="50" w:name="_Toc15377222"/>
      <w:r>
        <w:rPr>
          <w:rFonts w:hint="default" w:ascii="Times New Roman" w:hAnsi="Times New Roman" w:eastAsia="楷体_GB2312" w:cs="Times New Roman"/>
          <w:sz w:val="32"/>
          <w:szCs w:val="32"/>
        </w:rPr>
        <w:t>（一）机关运行经费支出情况</w:t>
      </w:r>
      <w:bookmarkEnd w:id="50"/>
      <w:r>
        <w:rPr>
          <w:rFonts w:hint="default" w:ascii="Times New Roman" w:hAnsi="Times New Roman" w:eastAsia="楷体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西区水利工程运行中心</w:t>
      </w:r>
      <w:r>
        <w:rPr>
          <w:rFonts w:hint="default" w:ascii="Times New Roman" w:hAnsi="Times New Roman" w:eastAsia="仿宋_GB2312" w:cs="Times New Roman"/>
          <w:sz w:val="32"/>
          <w:szCs w:val="32"/>
        </w:rPr>
        <w:t>机关运行经费支出</w:t>
      </w:r>
      <w:r>
        <w:rPr>
          <w:rFonts w:hint="default" w:ascii="Times New Roman" w:hAnsi="Times New Roman" w:eastAsia="仿宋_GB2312" w:cs="Times New Roman"/>
          <w:sz w:val="32"/>
          <w:szCs w:val="32"/>
          <w:lang w:val="en-US" w:eastAsia="zh-CN"/>
        </w:rPr>
        <w:t>16.11</w:t>
      </w:r>
      <w:r>
        <w:rPr>
          <w:rFonts w:hint="default" w:ascii="Times New Roman" w:hAnsi="Times New Roman" w:eastAsia="仿宋_GB2312" w:cs="Times New Roman"/>
          <w:sz w:val="32"/>
          <w:szCs w:val="32"/>
        </w:rPr>
        <w:t>万元，与2019年决算数持平）。</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（注：数据来源于财决附03表）</w:t>
      </w:r>
    </w:p>
    <w:p>
      <w:pPr>
        <w:ind w:firstLine="640" w:firstLineChars="200"/>
        <w:rPr>
          <w:rFonts w:hint="default" w:ascii="Times New Roman" w:hAnsi="Times New Roman" w:eastAsia="楷体_GB2312" w:cs="Times New Roman"/>
          <w:sz w:val="32"/>
          <w:szCs w:val="32"/>
          <w:lang w:eastAsia="zh-CN"/>
        </w:rPr>
      </w:pPr>
      <w:bookmarkStart w:id="51" w:name="_Toc15377223"/>
      <w:r>
        <w:rPr>
          <w:rFonts w:hint="default" w:ascii="Times New Roman" w:hAnsi="Times New Roman" w:eastAsia="楷体_GB2312" w:cs="Times New Roman"/>
          <w:sz w:val="32"/>
          <w:szCs w:val="32"/>
        </w:rPr>
        <w:t>（二）政府采购支出情况</w:t>
      </w:r>
      <w:bookmarkEnd w:id="51"/>
      <w:r>
        <w:rPr>
          <w:rFonts w:hint="default" w:ascii="Times New Roman" w:hAnsi="Times New Roman" w:eastAsia="楷体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w:t>
      </w:r>
      <w:r>
        <w:rPr>
          <w:rFonts w:hint="default" w:ascii="Times New Roman" w:hAnsi="Times New Roman" w:eastAsia="仿宋_GB2312" w:cs="Times New Roman"/>
          <w:sz w:val="32"/>
          <w:szCs w:val="32"/>
          <w:lang w:eastAsia="zh-CN"/>
        </w:rPr>
        <w:t>西区水利工程运行中心</w:t>
      </w:r>
      <w:r>
        <w:rPr>
          <w:rFonts w:hint="default" w:ascii="Times New Roman" w:hAnsi="Times New Roman" w:eastAsia="仿宋_GB2312" w:cs="Times New Roman"/>
          <w:sz w:val="32"/>
          <w:szCs w:val="32"/>
        </w:rPr>
        <w:t>政府采购支出总额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万元。授予中小企业合同金额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%，其中：授予小微企业合同金额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（注：数据来源于财决附03表）</w:t>
      </w:r>
    </w:p>
    <w:p>
      <w:pPr>
        <w:ind w:firstLine="640" w:firstLineChars="200"/>
        <w:rPr>
          <w:rFonts w:hint="default" w:ascii="Times New Roman" w:hAnsi="Times New Roman" w:eastAsia="楷体_GB2312" w:cs="Times New Roman"/>
          <w:sz w:val="32"/>
          <w:szCs w:val="32"/>
          <w:lang w:eastAsia="zh-CN"/>
        </w:rPr>
      </w:pPr>
      <w:bookmarkStart w:id="52" w:name="_Toc15377224"/>
      <w:r>
        <w:rPr>
          <w:rFonts w:hint="default" w:ascii="Times New Roman" w:hAnsi="Times New Roman" w:eastAsia="楷体_GB2312" w:cs="Times New Roman"/>
          <w:sz w:val="32"/>
          <w:szCs w:val="32"/>
        </w:rPr>
        <w:t>（三）国有资产占有使用情况</w:t>
      </w:r>
      <w:bookmarkEnd w:id="52"/>
      <w:r>
        <w:rPr>
          <w:rFonts w:hint="default" w:ascii="Times New Roman" w:hAnsi="Times New Roman" w:eastAsia="楷体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截至2020年12月31日，</w:t>
      </w:r>
      <w:r>
        <w:rPr>
          <w:rFonts w:hint="default" w:ascii="Times New Roman" w:hAnsi="Times New Roman" w:eastAsia="仿宋_GB2312" w:cs="Times New Roman"/>
          <w:sz w:val="32"/>
          <w:szCs w:val="32"/>
          <w:lang w:eastAsia="zh-CN"/>
        </w:rPr>
        <w:t>西区水利工程运行中心</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辆，其中：主要领导干部用车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辆、机要通信用车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辆、应急保障用车</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单价50万元以上通用设备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台（套），单价100万元以上专用设备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台（套）。（注：数据来源财决附03表，按部门决算报表填报数据罗列车辆情况。）</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（四）预算绩效管理情况。</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根据预算绩效管理要求，本部门（单位）在年初预算编制阶段，组织对</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项目（项目名称）开展了预算事前绩效评估，对</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个项目编制了绩效目标，预算执行过程中，选取</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个项目开展绩效监控，年终执行完毕后，对</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个项目开展了绩效目标完成情况自评。</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1.项目绩效目标完成情况。</w:t>
      </w:r>
      <w:r>
        <w:rPr>
          <w:rFonts w:hint="default" w:ascii="Times New Roman" w:hAnsi="Times New Roman" w:eastAsia="仿宋_GB2312" w:cs="Times New Roman"/>
          <w:b/>
          <w:bCs/>
          <w:sz w:val="32"/>
          <w:szCs w:val="32"/>
        </w:rPr>
        <w:br w:type="textWrapping"/>
      </w:r>
      <w:r>
        <w:rPr>
          <w:rFonts w:hint="default" w:ascii="Times New Roman" w:hAnsi="Times New Roman" w:eastAsia="仿宋_GB2312" w:cs="Times New Roman"/>
          <w:sz w:val="32"/>
          <w:szCs w:val="32"/>
        </w:rPr>
        <w:t xml:space="preserve">   本部门在20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年度部门决算中反映“</w:t>
      </w:r>
      <w:r>
        <w:rPr>
          <w:rFonts w:hint="default" w:ascii="Times New Roman" w:hAnsi="Times New Roman" w:eastAsia="仿宋_GB2312" w:cs="Times New Roman"/>
          <w:sz w:val="32"/>
          <w:szCs w:val="32"/>
          <w:lang w:eastAsia="zh-CN"/>
        </w:rPr>
        <w:t>其他水利支出”土地开发支出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个项目绩效目标实际完成情况。</w:t>
      </w:r>
    </w:p>
    <w:p>
      <w:pPr>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eastAsia="zh-CN"/>
        </w:rPr>
        <w:t>防汛</w:t>
      </w:r>
      <w:r>
        <w:rPr>
          <w:rFonts w:hint="default" w:ascii="Times New Roman" w:hAnsi="Times New Roman" w:eastAsia="仿宋_GB2312" w:cs="Times New Roman"/>
          <w:b/>
          <w:bCs/>
          <w:sz w:val="32"/>
          <w:szCs w:val="32"/>
        </w:rPr>
        <w:t>项目绩效目标完成情况综述。</w:t>
      </w:r>
      <w:r>
        <w:rPr>
          <w:rFonts w:hint="default" w:ascii="Times New Roman" w:hAnsi="Times New Roman" w:eastAsia="仿宋_GB2312" w:cs="Times New Roman"/>
          <w:sz w:val="32"/>
          <w:szCs w:val="32"/>
        </w:rPr>
        <w:t>项目全年预算数</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万元，执行数为</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%。通过项目实施，</w:t>
      </w:r>
      <w:r>
        <w:rPr>
          <w:rFonts w:hint="default" w:ascii="Times New Roman" w:hAnsi="Times New Roman" w:eastAsia="仿宋_GB2312" w:cs="Times New Roman"/>
          <w:sz w:val="32"/>
          <w:szCs w:val="32"/>
          <w:lang w:eastAsia="zh-CN"/>
        </w:rPr>
        <w:t>维护社会稳定，保障社会正常的生产和生活活动，提升了防汛预警应变能力。</w:t>
      </w:r>
      <w:r>
        <w:rPr>
          <w:rFonts w:hint="default" w:ascii="Times New Roman" w:hAnsi="Times New Roman" w:eastAsia="仿宋_GB2312" w:cs="Times New Roman"/>
          <w:sz w:val="32"/>
          <w:szCs w:val="32"/>
        </w:rPr>
        <w:t>发现的主要问题：</w:t>
      </w:r>
      <w:r>
        <w:rPr>
          <w:rFonts w:hint="default" w:ascii="Times New Roman" w:hAnsi="Times New Roman" w:eastAsia="仿宋_GB2312" w:cs="Times New Roman"/>
          <w:sz w:val="32"/>
          <w:szCs w:val="32"/>
          <w:lang w:eastAsia="zh-CN"/>
        </w:rPr>
        <w:t>无。</w:t>
      </w:r>
    </w:p>
    <w:p>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（2）防汛物资采购项目绩效目标完成情况综述。</w:t>
      </w:r>
      <w:r>
        <w:rPr>
          <w:rFonts w:hint="default" w:ascii="Times New Roman" w:hAnsi="Times New Roman" w:eastAsia="仿宋_GB2312" w:cs="Times New Roman"/>
          <w:sz w:val="32"/>
          <w:szCs w:val="32"/>
        </w:rPr>
        <w:t>项目全年预算数4.5万元，执行数为4.5万元，完成预算的100%。本次主要采购了发电机、手电筒、工具箱和雨鞋等物资，通过项目实施，中心顺利开展防汛各项工作，提升了防汛应急应变能力。发现的主要问题：无。</w:t>
      </w:r>
    </w:p>
    <w:p>
      <w:pPr>
        <w:rPr>
          <w:rFonts w:hint="default" w:ascii="Times New Roman" w:hAnsi="Times New Roman" w:eastAsia="仿宋_GB2312" w:cs="Times New Roman"/>
          <w:sz w:val="28"/>
          <w:szCs w:val="28"/>
        </w:rPr>
      </w:pPr>
      <w:r>
        <w:rPr>
          <w:rFonts w:hint="default" w:ascii="Times New Roman" w:hAnsi="Times New Roman" w:eastAsia="仿宋_GB2312" w:cs="Times New Roman"/>
          <w:b/>
          <w:bCs/>
          <w:sz w:val="32"/>
          <w:szCs w:val="32"/>
        </w:rPr>
        <w:t>（3）梅子箐水库扩建项目绩效目标完成情况综述。</w:t>
      </w:r>
      <w:r>
        <w:rPr>
          <w:rFonts w:hint="default" w:ascii="Times New Roman" w:hAnsi="Times New Roman" w:eastAsia="仿宋_GB2312" w:cs="Times New Roman"/>
          <w:sz w:val="32"/>
          <w:szCs w:val="32"/>
        </w:rPr>
        <w:t>项目全年预算数4500万元，执行数为2909.71万元，完成预算的42%。通过项目实施，梅子箐水库扩建工程施工二标段完成了总工程量的98%、施工五标段完成了总工程量的75%，基本完成了移民临时用地复垦工作，完成了森林植被恢复及移民安置点房屋单价变更相关工作，共使用资金</w:t>
      </w:r>
      <w:r>
        <w:rPr>
          <w:rFonts w:hint="default" w:ascii="Times New Roman" w:hAnsi="Times New Roman" w:eastAsia="仿宋_GB2312" w:cs="Times New Roman"/>
          <w:sz w:val="32"/>
          <w:szCs w:val="32"/>
          <w:lang w:val="en-US" w:eastAsia="zh-CN"/>
        </w:rPr>
        <w:t>2971.81</w:t>
      </w:r>
      <w:r>
        <w:rPr>
          <w:rFonts w:hint="default" w:ascii="Times New Roman" w:hAnsi="Times New Roman" w:eastAsia="仿宋_GB2312" w:cs="Times New Roman"/>
          <w:sz w:val="32"/>
          <w:szCs w:val="32"/>
        </w:rPr>
        <w:t>万元，其工程质量达到行业验收标准。发现的主要问题：今年个别项目因跨区域协调难度大，灌区工程林业用地手续未及时办理，造成了项目推进慢，未保证项目按时完成。下一步改进措施：加强横向沟通与协调，及时解决工</w:t>
      </w:r>
      <w:r>
        <w:rPr>
          <w:rFonts w:hint="default" w:ascii="Times New Roman" w:hAnsi="Times New Roman" w:eastAsia="仿宋_GB2312" w:cs="Times New Roman"/>
          <w:sz w:val="28"/>
          <w:szCs w:val="28"/>
        </w:rPr>
        <w:t>程建设中实际问题，保证工程及时推进。</w:t>
      </w:r>
    </w:p>
    <w:tbl>
      <w:tblPr>
        <w:tblStyle w:val="9"/>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1208"/>
        <w:gridCol w:w="1440"/>
        <w:gridCol w:w="1140"/>
        <w:gridCol w:w="1590"/>
        <w:gridCol w:w="2292"/>
        <w:gridCol w:w="408"/>
        <w:gridCol w:w="1882"/>
      </w:tblGrid>
      <w:tr>
        <w:tblPrEx>
          <w:tblLayout w:type="fixed"/>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项目绩效目标完成情况表</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(2020年度)</w:t>
            </w:r>
          </w:p>
        </w:tc>
      </w:tr>
      <w:tr>
        <w:tblPrEx>
          <w:tblLayout w:type="fixed"/>
          <w:tblCellMar>
            <w:top w:w="0" w:type="dxa"/>
            <w:left w:w="0" w:type="dxa"/>
            <w:bottom w:w="0" w:type="dxa"/>
            <w:right w:w="0" w:type="dxa"/>
          </w:tblCellMar>
        </w:tblPrEx>
        <w:trPr>
          <w:trHeight w:val="276" w:hRule="atLeast"/>
          <w:jc w:val="center"/>
        </w:trPr>
        <w:tc>
          <w:tcPr>
            <w:tcW w:w="37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617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防汛工作经费（物资储备）</w:t>
            </w:r>
          </w:p>
        </w:tc>
      </w:tr>
      <w:tr>
        <w:tblPrEx>
          <w:tblLayout w:type="fixed"/>
          <w:tblCellMar>
            <w:top w:w="0" w:type="dxa"/>
            <w:left w:w="0" w:type="dxa"/>
            <w:bottom w:w="0" w:type="dxa"/>
            <w:right w:w="0" w:type="dxa"/>
          </w:tblCellMar>
        </w:tblPrEx>
        <w:trPr>
          <w:trHeight w:val="276" w:hRule="atLeast"/>
          <w:jc w:val="center"/>
        </w:trPr>
        <w:tc>
          <w:tcPr>
            <w:tcW w:w="37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预算单位</w:t>
            </w:r>
          </w:p>
        </w:tc>
        <w:tc>
          <w:tcPr>
            <w:tcW w:w="617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攀枝花市西区水利工程运行中心</w:t>
            </w:r>
          </w:p>
        </w:tc>
      </w:tr>
      <w:tr>
        <w:tblPrEx>
          <w:tblLayout w:type="fixed"/>
          <w:tblCellMar>
            <w:top w:w="0" w:type="dxa"/>
            <w:left w:w="0" w:type="dxa"/>
            <w:bottom w:w="0" w:type="dxa"/>
            <w:right w:w="0" w:type="dxa"/>
          </w:tblCellMar>
        </w:tblPrEx>
        <w:trPr>
          <w:trHeight w:val="276" w:hRule="atLeast"/>
          <w:jc w:val="center"/>
        </w:trPr>
        <w:tc>
          <w:tcPr>
            <w:tcW w:w="1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预算执行情况(万元)</w:t>
            </w: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预算数:</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4.5万元</w:t>
            </w:r>
          </w:p>
        </w:tc>
        <w:tc>
          <w:tcPr>
            <w:tcW w:w="27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执行数:</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4.5万元</w:t>
            </w:r>
          </w:p>
        </w:tc>
      </w:tr>
      <w:tr>
        <w:tblPrEx>
          <w:tblLayout w:type="fixed"/>
          <w:tblCellMar>
            <w:top w:w="0" w:type="dxa"/>
            <w:left w:w="0" w:type="dxa"/>
            <w:bottom w:w="0" w:type="dxa"/>
            <w:right w:w="0" w:type="dxa"/>
          </w:tblCellMar>
        </w:tblPrEx>
        <w:trPr>
          <w:trHeight w:val="276" w:hRule="atLeast"/>
          <w:jc w:val="center"/>
        </w:trPr>
        <w:tc>
          <w:tcPr>
            <w:tcW w:w="1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其中-财政拨款:</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4.5万元</w:t>
            </w:r>
          </w:p>
        </w:tc>
        <w:tc>
          <w:tcPr>
            <w:tcW w:w="27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其中-财政拨款:</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4.5万元</w:t>
            </w:r>
          </w:p>
        </w:tc>
      </w:tr>
      <w:tr>
        <w:tblPrEx>
          <w:tblLayout w:type="fixed"/>
          <w:tblCellMar>
            <w:top w:w="0" w:type="dxa"/>
            <w:left w:w="0" w:type="dxa"/>
            <w:bottom w:w="0" w:type="dxa"/>
            <w:right w:w="0" w:type="dxa"/>
          </w:tblCellMar>
        </w:tblPrEx>
        <w:trPr>
          <w:trHeight w:val="651" w:hRule="atLeast"/>
          <w:jc w:val="center"/>
        </w:trPr>
        <w:tc>
          <w:tcPr>
            <w:tcW w:w="1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p>
        </w:tc>
        <w:tc>
          <w:tcPr>
            <w:tcW w:w="25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其它资金:</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p>
        </w:tc>
        <w:tc>
          <w:tcPr>
            <w:tcW w:w="27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其它资金:</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p>
        </w:tc>
      </w:tr>
      <w:tr>
        <w:tblPrEx>
          <w:tblLayout w:type="fixed"/>
          <w:tblCellMar>
            <w:top w:w="0" w:type="dxa"/>
            <w:left w:w="0" w:type="dxa"/>
            <w:bottom w:w="0" w:type="dxa"/>
            <w:right w:w="0" w:type="dxa"/>
          </w:tblCellMar>
        </w:tblPrEx>
        <w:trPr>
          <w:trHeight w:val="276" w:hRule="atLeast"/>
          <w:jc w:val="center"/>
        </w:trPr>
        <w:tc>
          <w:tcPr>
            <w:tcW w:w="12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年度目标完成情况</w:t>
            </w:r>
          </w:p>
        </w:tc>
        <w:tc>
          <w:tcPr>
            <w:tcW w:w="41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预期目标</w:t>
            </w:r>
          </w:p>
        </w:tc>
        <w:tc>
          <w:tcPr>
            <w:tcW w:w="45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实际完成目标</w:t>
            </w:r>
          </w:p>
        </w:tc>
      </w:tr>
      <w:tr>
        <w:tblPrEx>
          <w:tblLayout w:type="fixed"/>
          <w:tblCellMar>
            <w:top w:w="0" w:type="dxa"/>
            <w:left w:w="0" w:type="dxa"/>
            <w:bottom w:w="0" w:type="dxa"/>
            <w:right w:w="0" w:type="dxa"/>
          </w:tblCellMar>
        </w:tblPrEx>
        <w:trPr>
          <w:trHeight w:val="90" w:hRule="atLeast"/>
          <w:jc w:val="center"/>
        </w:trPr>
        <w:tc>
          <w:tcPr>
            <w:tcW w:w="12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p>
        </w:tc>
        <w:tc>
          <w:tcPr>
            <w:tcW w:w="41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w:t>
            </w:r>
          </w:p>
        </w:tc>
        <w:tc>
          <w:tcPr>
            <w:tcW w:w="45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w:t>
            </w:r>
          </w:p>
        </w:tc>
      </w:tr>
      <w:tr>
        <w:tblPrEx>
          <w:tblLayout w:type="fixed"/>
          <w:tblCellMar>
            <w:top w:w="0" w:type="dxa"/>
            <w:left w:w="0" w:type="dxa"/>
            <w:bottom w:w="0" w:type="dxa"/>
            <w:right w:w="0" w:type="dxa"/>
          </w:tblCellMar>
        </w:tblPrEx>
        <w:trPr>
          <w:trHeight w:val="862" w:hRule="atLeast"/>
          <w:jc w:val="center"/>
        </w:trPr>
        <w:tc>
          <w:tcPr>
            <w:tcW w:w="120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绩效指标完成情况</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一级指标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二级指标</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三级指标</w:t>
            </w:r>
          </w:p>
        </w:tc>
        <w:tc>
          <w:tcPr>
            <w:tcW w:w="2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预期指标值(包含数字及文字描述)</w:t>
            </w:r>
          </w:p>
        </w:tc>
        <w:tc>
          <w:tcPr>
            <w:tcW w:w="22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120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数量指标</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防汛物资</w:t>
            </w:r>
          </w:p>
        </w:tc>
        <w:tc>
          <w:tcPr>
            <w:tcW w:w="2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购买发电机一台、雨鞋20双、工具箱2套、安全绳安全带两套、强光电筒5把、太阳能灯两把、铁锹5把、锄头10把等</w:t>
            </w:r>
          </w:p>
        </w:tc>
        <w:tc>
          <w:tcPr>
            <w:tcW w:w="22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按计划完成采购任务</w:t>
            </w:r>
          </w:p>
        </w:tc>
      </w:tr>
      <w:tr>
        <w:tblPrEx>
          <w:tblLayout w:type="fixed"/>
          <w:tblCellMar>
            <w:top w:w="0" w:type="dxa"/>
            <w:left w:w="0" w:type="dxa"/>
            <w:bottom w:w="0" w:type="dxa"/>
            <w:right w:w="0" w:type="dxa"/>
          </w:tblCellMar>
        </w:tblPrEx>
        <w:trPr>
          <w:trHeight w:val="1297" w:hRule="atLeast"/>
          <w:jc w:val="center"/>
        </w:trPr>
        <w:tc>
          <w:tcPr>
            <w:tcW w:w="1208" w:type="dxa"/>
            <w:vMerge w:val="continue"/>
            <w:tcBorders>
              <w:left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质量指标</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防汛物资</w:t>
            </w:r>
          </w:p>
        </w:tc>
        <w:tc>
          <w:tcPr>
            <w:tcW w:w="2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保证防汛物资质量合格，三座水库及在建工程安全度汛。</w:t>
            </w:r>
          </w:p>
        </w:tc>
        <w:tc>
          <w:tcPr>
            <w:tcW w:w="22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防汛工作开展顺利，三座水库及水库在建工程已安全度汛。</w:t>
            </w:r>
          </w:p>
        </w:tc>
      </w:tr>
      <w:tr>
        <w:tblPrEx>
          <w:tblLayout w:type="fixed"/>
          <w:tblCellMar>
            <w:top w:w="0" w:type="dxa"/>
            <w:left w:w="0" w:type="dxa"/>
            <w:bottom w:w="0" w:type="dxa"/>
            <w:right w:w="0" w:type="dxa"/>
          </w:tblCellMar>
        </w:tblPrEx>
        <w:trPr>
          <w:trHeight w:val="1042" w:hRule="atLeast"/>
          <w:jc w:val="center"/>
        </w:trPr>
        <w:tc>
          <w:tcPr>
            <w:tcW w:w="1208" w:type="dxa"/>
            <w:vMerge w:val="continue"/>
            <w:tcBorders>
              <w:left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时效指标</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防汛物资</w:t>
            </w:r>
          </w:p>
        </w:tc>
        <w:tc>
          <w:tcPr>
            <w:tcW w:w="2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保证2020年防汛工作，着重是2020年5月-10月梅子箐水库扩建工程安全度汛。</w:t>
            </w:r>
          </w:p>
        </w:tc>
        <w:tc>
          <w:tcPr>
            <w:tcW w:w="22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2020年汛期安全度汛</w:t>
            </w:r>
          </w:p>
        </w:tc>
      </w:tr>
      <w:tr>
        <w:tblPrEx>
          <w:tblLayout w:type="fixed"/>
          <w:tblCellMar>
            <w:top w:w="0" w:type="dxa"/>
            <w:left w:w="0" w:type="dxa"/>
            <w:bottom w:w="0" w:type="dxa"/>
            <w:right w:w="0" w:type="dxa"/>
          </w:tblCellMar>
        </w:tblPrEx>
        <w:trPr>
          <w:trHeight w:val="1042" w:hRule="atLeast"/>
          <w:jc w:val="center"/>
        </w:trPr>
        <w:tc>
          <w:tcPr>
            <w:tcW w:w="1208" w:type="dxa"/>
            <w:vMerge w:val="continue"/>
            <w:tcBorders>
              <w:left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32"/>
                <w:szCs w:val="32"/>
              </w:rPr>
            </w:pP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成本指标</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防汛物资</w:t>
            </w:r>
          </w:p>
        </w:tc>
        <w:tc>
          <w:tcPr>
            <w:tcW w:w="2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完成物资采购4.5万元</w:t>
            </w:r>
          </w:p>
        </w:tc>
        <w:tc>
          <w:tcPr>
            <w:tcW w:w="22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4.5万元</w:t>
            </w:r>
          </w:p>
        </w:tc>
      </w:tr>
      <w:tr>
        <w:tblPrEx>
          <w:tblLayout w:type="fixed"/>
          <w:tblCellMar>
            <w:top w:w="0" w:type="dxa"/>
            <w:left w:w="0" w:type="dxa"/>
            <w:bottom w:w="0" w:type="dxa"/>
            <w:right w:w="0" w:type="dxa"/>
          </w:tblCellMar>
        </w:tblPrEx>
        <w:trPr>
          <w:trHeight w:val="1042" w:hRule="atLeast"/>
          <w:jc w:val="center"/>
        </w:trPr>
        <w:tc>
          <w:tcPr>
            <w:tcW w:w="1208" w:type="dxa"/>
            <w:vMerge w:val="continue"/>
            <w:tcBorders>
              <w:left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32"/>
                <w:szCs w:val="32"/>
              </w:rPr>
            </w:pP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效益指标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社会效益</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防汛物资</w:t>
            </w:r>
          </w:p>
        </w:tc>
        <w:tc>
          <w:tcPr>
            <w:tcW w:w="2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维护工地稳定，保证后勤物资充沛，有效提升防汛预警应变能力。</w:t>
            </w:r>
          </w:p>
        </w:tc>
        <w:tc>
          <w:tcPr>
            <w:tcW w:w="22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保证了应急物资，提升了防汛预警应变能力。</w:t>
            </w:r>
          </w:p>
        </w:tc>
      </w:tr>
      <w:tr>
        <w:tblPrEx>
          <w:tblLayout w:type="fixed"/>
          <w:tblCellMar>
            <w:top w:w="0" w:type="dxa"/>
            <w:left w:w="0" w:type="dxa"/>
            <w:bottom w:w="0" w:type="dxa"/>
            <w:right w:w="0" w:type="dxa"/>
          </w:tblCellMar>
        </w:tblPrEx>
        <w:trPr>
          <w:trHeight w:val="1050" w:hRule="atLeast"/>
          <w:jc w:val="center"/>
        </w:trPr>
        <w:tc>
          <w:tcPr>
            <w:tcW w:w="120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32"/>
                <w:szCs w:val="32"/>
              </w:rPr>
            </w:pP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满意度指标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满意度指标</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防汛物资</w:t>
            </w:r>
          </w:p>
        </w:tc>
        <w:tc>
          <w:tcPr>
            <w:tcW w:w="2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项目涉及的服务人员满意度需达90%以上。</w:t>
            </w:r>
          </w:p>
        </w:tc>
        <w:tc>
          <w:tcPr>
            <w:tcW w:w="22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r>
    </w:tbl>
    <w:tbl>
      <w:tblPr>
        <w:tblStyle w:val="9"/>
        <w:tblpPr w:leftFromText="180" w:rightFromText="180" w:vertAnchor="text" w:horzAnchor="page" w:tblpXSpec="center" w:tblpY="3402"/>
        <w:tblOverlap w:val="never"/>
        <w:tblW w:w="9960" w:type="dxa"/>
        <w:jc w:val="center"/>
        <w:tblInd w:w="0" w:type="dxa"/>
        <w:tblLayout w:type="fixed"/>
        <w:tblCellMar>
          <w:top w:w="0" w:type="dxa"/>
          <w:left w:w="0" w:type="dxa"/>
          <w:bottom w:w="0" w:type="dxa"/>
          <w:right w:w="0" w:type="dxa"/>
        </w:tblCellMar>
      </w:tblPr>
      <w:tblGrid>
        <w:gridCol w:w="1140"/>
        <w:gridCol w:w="1133"/>
        <w:gridCol w:w="780"/>
        <w:gridCol w:w="1080"/>
        <w:gridCol w:w="3435"/>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项目绩效目标完成情况表</w:t>
            </w:r>
            <w:r>
              <w:rPr>
                <w:rFonts w:hint="default" w:ascii="Times New Roman" w:hAnsi="Times New Roman" w:eastAsia="仿宋_GB2312" w:cs="Times New Roman"/>
                <w:b/>
                <w:bCs/>
                <w:sz w:val="32"/>
                <w:szCs w:val="32"/>
              </w:rPr>
              <w:br w:type="textWrapping"/>
            </w:r>
            <w:r>
              <w:rPr>
                <w:rFonts w:hint="default" w:ascii="Times New Roman" w:hAnsi="Times New Roman" w:eastAsia="仿宋_GB2312" w:cs="Times New Roman"/>
                <w:b/>
                <w:bCs/>
                <w:sz w:val="32"/>
                <w:szCs w:val="32"/>
              </w:rPr>
              <w:t>(2020 年度)</w:t>
            </w:r>
          </w:p>
        </w:tc>
      </w:tr>
      <w:tr>
        <w:tblPrEx>
          <w:tblLayout w:type="fixed"/>
          <w:tblCellMar>
            <w:top w:w="0" w:type="dxa"/>
            <w:left w:w="0" w:type="dxa"/>
            <w:bottom w:w="0" w:type="dxa"/>
            <w:right w:w="0" w:type="dxa"/>
          </w:tblCellMar>
        </w:tblPrEx>
        <w:trPr>
          <w:trHeight w:val="276" w:hRule="atLeast"/>
          <w:jc w:val="center"/>
        </w:trPr>
        <w:tc>
          <w:tcPr>
            <w:tcW w:w="30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69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防汛专项</w:t>
            </w:r>
          </w:p>
        </w:tc>
      </w:tr>
      <w:tr>
        <w:tblPrEx>
          <w:tblLayout w:type="fixed"/>
          <w:tblCellMar>
            <w:top w:w="0" w:type="dxa"/>
            <w:left w:w="0" w:type="dxa"/>
            <w:bottom w:w="0" w:type="dxa"/>
            <w:right w:w="0" w:type="dxa"/>
          </w:tblCellMar>
        </w:tblPrEx>
        <w:trPr>
          <w:trHeight w:val="276" w:hRule="atLeast"/>
          <w:jc w:val="center"/>
        </w:trPr>
        <w:tc>
          <w:tcPr>
            <w:tcW w:w="30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预算单位</w:t>
            </w:r>
          </w:p>
        </w:tc>
        <w:tc>
          <w:tcPr>
            <w:tcW w:w="69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攀枝花市西区水利工程运行中心</w:t>
            </w:r>
          </w:p>
        </w:tc>
      </w:tr>
      <w:tr>
        <w:tblPrEx>
          <w:tblLayout w:type="fixed"/>
          <w:tblCellMar>
            <w:top w:w="0" w:type="dxa"/>
            <w:left w:w="0" w:type="dxa"/>
            <w:bottom w:w="0" w:type="dxa"/>
            <w:right w:w="0" w:type="dxa"/>
          </w:tblCellMar>
        </w:tblPrEx>
        <w:trPr>
          <w:trHeight w:val="276" w:hRule="atLeast"/>
          <w:jc w:val="center"/>
        </w:trPr>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预算执行情况(万元)</w:t>
            </w:r>
          </w:p>
        </w:tc>
        <w:tc>
          <w:tcPr>
            <w:tcW w:w="19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预算数: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6万元</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6万元</w:t>
            </w:r>
          </w:p>
        </w:tc>
      </w:tr>
      <w:tr>
        <w:tblPrEx>
          <w:tblLayout w:type="fixed"/>
          <w:tblCellMar>
            <w:top w:w="0" w:type="dxa"/>
            <w:left w:w="0" w:type="dxa"/>
            <w:bottom w:w="0" w:type="dxa"/>
            <w:right w:w="0" w:type="dxa"/>
          </w:tblCellMar>
        </w:tblPrEx>
        <w:trPr>
          <w:trHeight w:val="276"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9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其中-财政拨款: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6万元</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6万元</w:t>
            </w:r>
          </w:p>
        </w:tc>
      </w:tr>
      <w:tr>
        <w:tblPrEx>
          <w:tblLayout w:type="fixed"/>
          <w:tblCellMar>
            <w:top w:w="0" w:type="dxa"/>
            <w:left w:w="0" w:type="dxa"/>
            <w:bottom w:w="0" w:type="dxa"/>
            <w:right w:w="0" w:type="dxa"/>
          </w:tblCellMar>
        </w:tblPrEx>
        <w:trPr>
          <w:trHeight w:val="546"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9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其它资金: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r>
      <w:tr>
        <w:tblPrEx>
          <w:tblLayout w:type="fixed"/>
          <w:tblCellMar>
            <w:top w:w="0" w:type="dxa"/>
            <w:left w:w="0" w:type="dxa"/>
            <w:bottom w:w="0" w:type="dxa"/>
            <w:right w:w="0" w:type="dxa"/>
          </w:tblCellMar>
        </w:tblPrEx>
        <w:trPr>
          <w:trHeight w:val="276" w:hRule="atLeast"/>
          <w:jc w:val="center"/>
        </w:trPr>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年度目标完成情况</w:t>
            </w:r>
          </w:p>
        </w:tc>
        <w:tc>
          <w:tcPr>
            <w:tcW w:w="29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预期目标</w:t>
            </w:r>
          </w:p>
        </w:tc>
        <w:tc>
          <w:tcPr>
            <w:tcW w:w="5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实际完成目标</w:t>
            </w:r>
          </w:p>
        </w:tc>
      </w:tr>
      <w:tr>
        <w:tblPrEx>
          <w:tblLayout w:type="fixed"/>
          <w:tblCellMar>
            <w:top w:w="0" w:type="dxa"/>
            <w:left w:w="0" w:type="dxa"/>
            <w:bottom w:w="0" w:type="dxa"/>
            <w:right w:w="0" w:type="dxa"/>
          </w:tblCellMar>
        </w:tblPrEx>
        <w:trPr>
          <w:trHeight w:val="1710"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29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pacing w:val="-6"/>
                <w:sz w:val="24"/>
                <w:szCs w:val="24"/>
              </w:rPr>
              <w:t>1.做好防汛物资储备，完成防汛应急演练，做好防汛安全巡查和值班值守工作，确保梅子箐、三洞桥及高涧沟三座水库库区人畜及水库在建工程安全度汛。</w:t>
            </w:r>
          </w:p>
        </w:tc>
        <w:tc>
          <w:tcPr>
            <w:tcW w:w="5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防汛工作顺利开展，三座水库及在建工程安全度汛。</w:t>
            </w:r>
          </w:p>
        </w:tc>
      </w:tr>
      <w:tr>
        <w:tblPrEx>
          <w:tblLayout w:type="fixed"/>
          <w:tblCellMar>
            <w:top w:w="0" w:type="dxa"/>
            <w:left w:w="0" w:type="dxa"/>
            <w:bottom w:w="0" w:type="dxa"/>
            <w:right w:w="0" w:type="dxa"/>
          </w:tblCellMar>
        </w:tblPrEx>
        <w:trPr>
          <w:trHeight w:val="847" w:hRule="atLeast"/>
          <w:jc w:val="center"/>
        </w:trPr>
        <w:tc>
          <w:tcPr>
            <w:tcW w:w="11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绩效指标完成情况</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一级指标</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三级指标</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实际完成指标值(包含数字及文字描述)</w:t>
            </w:r>
          </w:p>
        </w:tc>
      </w:tr>
      <w:tr>
        <w:tblPrEx>
          <w:tblLayout w:type="fixed"/>
          <w:tblCellMar>
            <w:top w:w="0" w:type="dxa"/>
            <w:left w:w="0" w:type="dxa"/>
            <w:bottom w:w="0" w:type="dxa"/>
            <w:right w:w="0" w:type="dxa"/>
          </w:tblCellMar>
        </w:tblPrEx>
        <w:trPr>
          <w:trHeight w:val="1820" w:hRule="atLeast"/>
          <w:jc w:val="center"/>
        </w:trPr>
        <w:tc>
          <w:tcPr>
            <w:tcW w:w="1140" w:type="dxa"/>
            <w:vMerge w:val="continue"/>
            <w:tcBorders>
              <w:left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项目完成指标</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数量指标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防汛经费</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防汛物资储备，完成1次防汛应急演练，做好防汛安全巡查和值班值守工作，确保梅子箐、三洞桥及高涧沟三座水库库区人畜及水库在建工程安全度汛；</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做好防汛物资储备，完成1次防汛应急演练，完成了汛期的巡查和值班值守工作，3座水库和水库在建工程已安全度汛。</w:t>
            </w:r>
          </w:p>
        </w:tc>
      </w:tr>
      <w:tr>
        <w:tblPrEx>
          <w:tblLayout w:type="fixed"/>
          <w:tblCellMar>
            <w:top w:w="0" w:type="dxa"/>
            <w:left w:w="0" w:type="dxa"/>
            <w:bottom w:w="0" w:type="dxa"/>
            <w:right w:w="0" w:type="dxa"/>
          </w:tblCellMar>
        </w:tblPrEx>
        <w:trPr>
          <w:trHeight w:val="1157" w:hRule="atLeast"/>
          <w:jc w:val="center"/>
        </w:trPr>
        <w:tc>
          <w:tcPr>
            <w:tcW w:w="1140" w:type="dxa"/>
            <w:vMerge w:val="continue"/>
            <w:tcBorders>
              <w:left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项目完成指标</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质量指标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防汛经费</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保证单位防汛工作顺利开展，三座水库及在建工程安全度汛。</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防汛工作开展顺利，三座水库及水库在建工程已安全度汛。</w:t>
            </w:r>
          </w:p>
        </w:tc>
      </w:tr>
      <w:tr>
        <w:tblPrEx>
          <w:tblLayout w:type="fixed"/>
          <w:tblCellMar>
            <w:top w:w="0" w:type="dxa"/>
            <w:left w:w="0" w:type="dxa"/>
            <w:bottom w:w="0" w:type="dxa"/>
            <w:right w:w="0" w:type="dxa"/>
          </w:tblCellMar>
        </w:tblPrEx>
        <w:trPr>
          <w:trHeight w:val="1042" w:hRule="atLeast"/>
          <w:jc w:val="center"/>
        </w:trPr>
        <w:tc>
          <w:tcPr>
            <w:tcW w:w="1140" w:type="dxa"/>
            <w:vMerge w:val="continue"/>
            <w:tcBorders>
              <w:left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项目完成指标</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时效指标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防汛经费</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保证汛期（2020年5月-10月）三座水库及水库在建工程安全度汛</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2020年汛期安全度汛</w:t>
            </w:r>
          </w:p>
        </w:tc>
      </w:tr>
      <w:tr>
        <w:tblPrEx>
          <w:tblLayout w:type="fixed"/>
          <w:tblCellMar>
            <w:top w:w="0" w:type="dxa"/>
            <w:left w:w="0" w:type="dxa"/>
            <w:bottom w:w="0" w:type="dxa"/>
            <w:right w:w="0" w:type="dxa"/>
          </w:tblCellMar>
        </w:tblPrEx>
        <w:trPr>
          <w:trHeight w:val="887" w:hRule="atLeast"/>
          <w:jc w:val="center"/>
        </w:trPr>
        <w:tc>
          <w:tcPr>
            <w:tcW w:w="1140" w:type="dxa"/>
            <w:vMerge w:val="continue"/>
            <w:tcBorders>
              <w:left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项目完成指标</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成本指标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防汛经费</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防汛物资储备，完成1次防汛应急演练，防汛安全巡查和值班值守工作，共需经费6万元。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6万元</w:t>
            </w:r>
          </w:p>
        </w:tc>
      </w:tr>
      <w:tr>
        <w:tblPrEx>
          <w:tblLayout w:type="fixed"/>
          <w:tblCellMar>
            <w:top w:w="0" w:type="dxa"/>
            <w:left w:w="0" w:type="dxa"/>
            <w:bottom w:w="0" w:type="dxa"/>
            <w:right w:w="0" w:type="dxa"/>
          </w:tblCellMar>
        </w:tblPrEx>
        <w:trPr>
          <w:trHeight w:val="1042" w:hRule="atLeast"/>
          <w:jc w:val="center"/>
        </w:trPr>
        <w:tc>
          <w:tcPr>
            <w:tcW w:w="1140" w:type="dxa"/>
            <w:vMerge w:val="continue"/>
            <w:tcBorders>
              <w:left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效益指标</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社会效益</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防汛经费</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维护社会稳定，保障社会正常的生产和生活活动，提升防汛预警应变能力。</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维护社会稳定，保障社会正常的生产和生活活动，提升了防汛预警应变能力。</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32"/>
                <w:szCs w:val="32"/>
              </w:rPr>
              <w:t>项目绩效目标完成情况表</w:t>
            </w:r>
            <w:r>
              <w:rPr>
                <w:rFonts w:hint="default" w:ascii="Times New Roman" w:hAnsi="Times New Roman" w:eastAsia="仿宋_GB2312" w:cs="Times New Roman"/>
                <w:b/>
                <w:bCs/>
                <w:sz w:val="32"/>
                <w:szCs w:val="32"/>
              </w:rPr>
              <w:br w:type="textWrapping"/>
            </w:r>
            <w:r>
              <w:rPr>
                <w:rFonts w:hint="default" w:ascii="Times New Roman" w:hAnsi="Times New Roman" w:eastAsia="仿宋_GB2312" w:cs="Times New Roman"/>
                <w:b/>
                <w:bCs/>
                <w:sz w:val="32"/>
                <w:szCs w:val="32"/>
              </w:rPr>
              <w:t>(2020年度)</w:t>
            </w:r>
          </w:p>
        </w:tc>
      </w:tr>
      <w:tr>
        <w:tblPrEx>
          <w:tblLayout w:type="fixed"/>
          <w:tblCellMar>
            <w:top w:w="0" w:type="dxa"/>
            <w:left w:w="0" w:type="dxa"/>
            <w:bottom w:w="0" w:type="dxa"/>
            <w:right w:w="0" w:type="dxa"/>
          </w:tblCellMar>
        </w:tblPrEx>
        <w:trPr>
          <w:trHeight w:val="276" w:hRule="atLeast"/>
          <w:jc w:val="center"/>
        </w:trPr>
        <w:tc>
          <w:tcPr>
            <w:tcW w:w="30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69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梅子箐水库扩建工程项目</w:t>
            </w:r>
          </w:p>
        </w:tc>
      </w:tr>
      <w:tr>
        <w:tblPrEx>
          <w:tblLayout w:type="fixed"/>
          <w:tblCellMar>
            <w:top w:w="0" w:type="dxa"/>
            <w:left w:w="0" w:type="dxa"/>
            <w:bottom w:w="0" w:type="dxa"/>
            <w:right w:w="0" w:type="dxa"/>
          </w:tblCellMar>
        </w:tblPrEx>
        <w:trPr>
          <w:trHeight w:val="276" w:hRule="atLeast"/>
          <w:jc w:val="center"/>
        </w:trPr>
        <w:tc>
          <w:tcPr>
            <w:tcW w:w="30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预算单位</w:t>
            </w:r>
          </w:p>
        </w:tc>
        <w:tc>
          <w:tcPr>
            <w:tcW w:w="69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攀枝花市西区水利工程运行中心</w:t>
            </w:r>
          </w:p>
        </w:tc>
      </w:tr>
      <w:tr>
        <w:tblPrEx>
          <w:tblLayout w:type="fixed"/>
          <w:tblCellMar>
            <w:top w:w="0" w:type="dxa"/>
            <w:left w:w="0" w:type="dxa"/>
            <w:bottom w:w="0" w:type="dxa"/>
            <w:right w:w="0" w:type="dxa"/>
          </w:tblCellMar>
        </w:tblPrEx>
        <w:trPr>
          <w:trHeight w:val="276" w:hRule="atLeast"/>
          <w:jc w:val="center"/>
        </w:trPr>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预算执行情况(万元)</w:t>
            </w:r>
          </w:p>
        </w:tc>
        <w:tc>
          <w:tcPr>
            <w:tcW w:w="19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预算数: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4500</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2967.31</w:t>
            </w:r>
          </w:p>
        </w:tc>
      </w:tr>
      <w:tr>
        <w:tblPrEx>
          <w:tblLayout w:type="fixed"/>
          <w:tblCellMar>
            <w:top w:w="0" w:type="dxa"/>
            <w:left w:w="0" w:type="dxa"/>
            <w:bottom w:w="0" w:type="dxa"/>
            <w:right w:w="0" w:type="dxa"/>
          </w:tblCellMar>
        </w:tblPrEx>
        <w:trPr>
          <w:trHeight w:val="276"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9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其中-财政拨款: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4500</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2967.31</w:t>
            </w:r>
          </w:p>
        </w:tc>
      </w:tr>
      <w:tr>
        <w:tblPrEx>
          <w:tblLayout w:type="fixed"/>
          <w:tblCellMar>
            <w:top w:w="0" w:type="dxa"/>
            <w:left w:w="0" w:type="dxa"/>
            <w:bottom w:w="0" w:type="dxa"/>
            <w:right w:w="0" w:type="dxa"/>
          </w:tblCellMar>
        </w:tblPrEx>
        <w:trPr>
          <w:trHeight w:val="431"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9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其它资金:</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r>
      <w:tr>
        <w:tblPrEx>
          <w:tblLayout w:type="fixed"/>
          <w:tblCellMar>
            <w:top w:w="0" w:type="dxa"/>
            <w:left w:w="0" w:type="dxa"/>
            <w:bottom w:w="0" w:type="dxa"/>
            <w:right w:w="0" w:type="dxa"/>
          </w:tblCellMar>
        </w:tblPrEx>
        <w:trPr>
          <w:trHeight w:val="276" w:hRule="atLeast"/>
          <w:jc w:val="center"/>
        </w:trPr>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年度目标完成情况</w:t>
            </w:r>
          </w:p>
        </w:tc>
        <w:tc>
          <w:tcPr>
            <w:tcW w:w="29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预期目标</w:t>
            </w:r>
          </w:p>
        </w:tc>
        <w:tc>
          <w:tcPr>
            <w:tcW w:w="5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实际完成目标</w:t>
            </w:r>
          </w:p>
        </w:tc>
      </w:tr>
      <w:tr>
        <w:tblPrEx>
          <w:tblLayout w:type="fixed"/>
          <w:tblCellMar>
            <w:top w:w="0" w:type="dxa"/>
            <w:left w:w="0" w:type="dxa"/>
            <w:bottom w:w="0" w:type="dxa"/>
            <w:right w:w="0" w:type="dxa"/>
          </w:tblCellMar>
        </w:tblPrEx>
        <w:trPr>
          <w:trHeight w:val="1855" w:hRule="atLeast"/>
          <w:jc w:val="center"/>
        </w:trPr>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29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施工二标段完成总工程量的98%，施工五标段完成总工程量的75%，完成仁和区移民临时用地复垦、森林植被恢复及移民安置点房屋单价变更相关工作。</w:t>
            </w:r>
          </w:p>
        </w:tc>
        <w:tc>
          <w:tcPr>
            <w:tcW w:w="5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施工二标段完成了总工程量的98%、施工五标段完成了总工程量的75%，基本完成仁和区移民临时用地复垦工作，完成了森林植被恢复及移民安置点房屋单价变更相关工作。</w:t>
            </w:r>
          </w:p>
        </w:tc>
      </w:tr>
      <w:tr>
        <w:tblPrEx>
          <w:tblLayout w:type="fixed"/>
          <w:tblCellMar>
            <w:top w:w="0" w:type="dxa"/>
            <w:left w:w="0" w:type="dxa"/>
            <w:bottom w:w="0" w:type="dxa"/>
            <w:right w:w="0" w:type="dxa"/>
          </w:tblCellMar>
        </w:tblPrEx>
        <w:trPr>
          <w:trHeight w:val="517" w:hRule="atLeast"/>
          <w:jc w:val="center"/>
        </w:trPr>
        <w:tc>
          <w:tcPr>
            <w:tcW w:w="11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绩效指标完成情况</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一级指标</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三级指标</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预期指标值</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实际完成指标值</w:t>
            </w:r>
          </w:p>
        </w:tc>
      </w:tr>
      <w:tr>
        <w:tblPrEx>
          <w:tblLayout w:type="fixed"/>
          <w:tblCellMar>
            <w:top w:w="0" w:type="dxa"/>
            <w:left w:w="0" w:type="dxa"/>
            <w:bottom w:w="0" w:type="dxa"/>
            <w:right w:w="0" w:type="dxa"/>
          </w:tblCellMar>
        </w:tblPrEx>
        <w:trPr>
          <w:trHeight w:val="953" w:hRule="atLeast"/>
          <w:jc w:val="center"/>
        </w:trPr>
        <w:tc>
          <w:tcPr>
            <w:tcW w:w="1140" w:type="dxa"/>
            <w:vMerge w:val="continue"/>
            <w:tcBorders>
              <w:left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项目完成指标</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数量指标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梅子箐水库扩建工程项目</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2标段计划完成总工程量的98%，5标段计划完成总工程量的75%，完成移民临时用地复垦、森林植被恢复及移民安置点房屋单价变更相关工作。</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完成了2、5标段年度指标、基本完成了移民临时用地复垦工作，完成了森林植被恢复及移民安置点房屋单价变更相关工作。</w:t>
            </w:r>
          </w:p>
        </w:tc>
      </w:tr>
      <w:tr>
        <w:tblPrEx>
          <w:tblLayout w:type="fixed"/>
          <w:tblCellMar>
            <w:top w:w="0" w:type="dxa"/>
            <w:left w:w="0" w:type="dxa"/>
            <w:bottom w:w="0" w:type="dxa"/>
            <w:right w:w="0" w:type="dxa"/>
          </w:tblCellMar>
        </w:tblPrEx>
        <w:trPr>
          <w:trHeight w:val="1540" w:hRule="atLeast"/>
          <w:jc w:val="center"/>
        </w:trPr>
        <w:tc>
          <w:tcPr>
            <w:tcW w:w="1140" w:type="dxa"/>
            <w:vMerge w:val="continue"/>
            <w:tcBorders>
              <w:left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项目完成指标</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质量指标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梅子箐水库扩建工程项目</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完成梅子箐水库扩建工程各标段标段施工任务</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工程质量达到行业验收标准</w:t>
            </w:r>
          </w:p>
        </w:tc>
      </w:tr>
      <w:tr>
        <w:tblPrEx>
          <w:tblLayout w:type="fixed"/>
          <w:tblCellMar>
            <w:top w:w="0" w:type="dxa"/>
            <w:left w:w="0" w:type="dxa"/>
            <w:bottom w:w="0" w:type="dxa"/>
            <w:right w:w="0" w:type="dxa"/>
          </w:tblCellMar>
        </w:tblPrEx>
        <w:trPr>
          <w:trHeight w:val="1276" w:hRule="atLeast"/>
          <w:jc w:val="center"/>
        </w:trPr>
        <w:tc>
          <w:tcPr>
            <w:tcW w:w="1140" w:type="dxa"/>
            <w:vMerge w:val="continue"/>
            <w:tcBorders>
              <w:left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项目完成指标</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时效指标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梅子箐水库扩建工程项目</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截止2020年底，施工二标段完成了总工程量的98%、施工五标段完成了总工程量的75%.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截止2020年底完成了全年的目标任务</w:t>
            </w:r>
          </w:p>
        </w:tc>
      </w:tr>
      <w:tr>
        <w:tblPrEx>
          <w:tblLayout w:type="fixed"/>
          <w:tblCellMar>
            <w:top w:w="0" w:type="dxa"/>
            <w:left w:w="0" w:type="dxa"/>
            <w:bottom w:w="0" w:type="dxa"/>
            <w:right w:w="0" w:type="dxa"/>
          </w:tblCellMar>
        </w:tblPrEx>
        <w:trPr>
          <w:trHeight w:val="1397" w:hRule="atLeast"/>
          <w:jc w:val="center"/>
        </w:trPr>
        <w:tc>
          <w:tcPr>
            <w:tcW w:w="1140" w:type="dxa"/>
            <w:vMerge w:val="continue"/>
            <w:tcBorders>
              <w:left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项目完成指标</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成本指标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梅子箐水库扩建工程项目</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工程建设进度款及移民费用</w:t>
            </w:r>
            <w:r>
              <w:rPr>
                <w:rFonts w:hint="default" w:ascii="Times New Roman" w:hAnsi="Times New Roman" w:eastAsia="仿宋_GB2312" w:cs="Times New Roman"/>
                <w:sz w:val="24"/>
                <w:szCs w:val="24"/>
                <w:lang w:val="en-US" w:eastAsia="zh-CN"/>
              </w:rPr>
              <w:t>4562.1</w:t>
            </w:r>
            <w:r>
              <w:rPr>
                <w:rFonts w:hint="default" w:ascii="Times New Roman" w:hAnsi="Times New Roman" w:eastAsia="仿宋_GB2312" w:cs="Times New Roman"/>
                <w:sz w:val="24"/>
                <w:szCs w:val="24"/>
              </w:rPr>
              <w:t>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2971.81</w:t>
            </w:r>
            <w:r>
              <w:rPr>
                <w:rFonts w:hint="default" w:ascii="Times New Roman" w:hAnsi="Times New Roman" w:eastAsia="仿宋_GB2312" w:cs="Times New Roman"/>
                <w:sz w:val="24"/>
                <w:szCs w:val="24"/>
              </w:rPr>
              <w:t>万元</w:t>
            </w:r>
          </w:p>
        </w:tc>
      </w:tr>
      <w:tr>
        <w:tblPrEx>
          <w:tblLayout w:type="fixed"/>
          <w:tblCellMar>
            <w:top w:w="0" w:type="dxa"/>
            <w:left w:w="0" w:type="dxa"/>
            <w:bottom w:w="0" w:type="dxa"/>
            <w:right w:w="0" w:type="dxa"/>
          </w:tblCellMar>
        </w:tblPrEx>
        <w:trPr>
          <w:trHeight w:val="1455" w:hRule="atLeast"/>
          <w:jc w:val="center"/>
        </w:trPr>
        <w:tc>
          <w:tcPr>
            <w:tcW w:w="1140" w:type="dxa"/>
            <w:vMerge w:val="continue"/>
            <w:tcBorders>
              <w:left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效益指标</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社会效益</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梅子箐水库扩建工程项目</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水库建成后，可解决西区格里坪镇和仁和区福田镇5.81万亩耕地灌溉用水问题，保障灌区乡村1.3万余人的饮水安全。</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可积极有效地推动攀枝花市优质高效农业的发展。</w:t>
            </w:r>
          </w:p>
        </w:tc>
      </w:tr>
      <w:tr>
        <w:tblPrEx>
          <w:tblLayout w:type="fixed"/>
          <w:tblCellMar>
            <w:top w:w="0" w:type="dxa"/>
            <w:left w:w="0" w:type="dxa"/>
            <w:bottom w:w="0" w:type="dxa"/>
            <w:right w:w="0" w:type="dxa"/>
          </w:tblCellMar>
        </w:tblPrEx>
        <w:trPr>
          <w:trHeight w:val="1075" w:hRule="atLeast"/>
          <w:jc w:val="center"/>
        </w:trPr>
        <w:tc>
          <w:tcPr>
            <w:tcW w:w="11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满意度指标</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满意度</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梅子箐水库扩建工程项目</w:t>
            </w:r>
          </w:p>
        </w:tc>
        <w:tc>
          <w:tcPr>
            <w:tcW w:w="3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项目涉及的服务人员满意度需达90%以上。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r>
    </w:tbl>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2.部门绩效评价结果。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本部门按要求对20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年部门整体支出绩效评价情况开展自评，《20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年部门整体支出绩效评价报告》见附件。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本部门自行组织对</w:t>
      </w:r>
      <w:r>
        <w:rPr>
          <w:rFonts w:hint="default" w:ascii="Times New Roman" w:hAnsi="Times New Roman" w:eastAsia="仿宋_GB2312" w:cs="Times New Roman"/>
          <w:sz w:val="32"/>
          <w:szCs w:val="32"/>
          <w:lang w:eastAsia="zh-CN"/>
        </w:rPr>
        <w:t>防汛专项</w:t>
      </w:r>
      <w:r>
        <w:rPr>
          <w:rFonts w:hint="default" w:ascii="Times New Roman" w:hAnsi="Times New Roman" w:eastAsia="仿宋_GB2312" w:cs="Times New Roman"/>
          <w:sz w:val="32"/>
          <w:szCs w:val="32"/>
        </w:rPr>
        <w:t>经费项目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防汛专项</w:t>
      </w:r>
      <w:r>
        <w:rPr>
          <w:rFonts w:hint="default" w:ascii="Times New Roman" w:hAnsi="Times New Roman" w:eastAsia="仿宋_GB2312" w:cs="Times New Roman"/>
          <w:sz w:val="32"/>
          <w:szCs w:val="32"/>
        </w:rPr>
        <w:t>经费项目20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年绩效评价报告》见附件2。（非涉密部门均需公开部门整体支出评价报告，部门自行组织的绩效评价情况根据部门实际公开，若未组织项目绩效评价，则只需说明部门整体支出绩效评价情况）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bCs/>
          <w:sz w:val="32"/>
          <w:szCs w:val="32"/>
        </w:rPr>
      </w:pPr>
      <w:bookmarkStart w:id="53" w:name="_Toc15377225"/>
      <w:bookmarkStart w:id="54" w:name="_Toc15396613"/>
      <w:r>
        <w:rPr>
          <w:rFonts w:hint="default" w:ascii="Times New Roman" w:hAnsi="Times New Roman" w:eastAsia="仿宋_GB2312" w:cs="Times New Roman"/>
          <w:b/>
          <w:bCs/>
          <w:sz w:val="32"/>
          <w:szCs w:val="32"/>
        </w:rPr>
        <w:t>名词解释</w:t>
      </w:r>
      <w:bookmarkEnd w:id="53"/>
      <w:bookmarkEnd w:id="54"/>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2.事业收入：指事业单位开展专业业务活动及辅助活动取得的收入。如…（二级预算单位事业收入情况）等。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3.经营收入：指事业单位在专业业务活动及其辅助活动之外开展非独立核算经营活动取得的收入。如…（二级预算单位经营收入情况）等。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4.其他收入：指单位取得的除上述收入以外的各项收入。主要是…（收入类型）等。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5.使用非财政拨款结余：指事业单位使用以前年度积累的非财政拨款结余弥补当年收支差额的金额。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7.结余分配：指事业单位按照会计制度规定缴纳的所得税、提取的专用结余以及转入非财政拨款结余的金额等。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9.社会保障和就业支出（类）行政事业单位养老支出（款）行政单位离退休（项），指主要用于行政单位（包括实行公务员管理的事业单位）开支的离退休费；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10社会保障和就业支出（类）行政事业单位养老支出（款）机关事业单位基本养老保险费支出（项），指主要用于机关事业单位实施养老保险制度由单位缴纳的基本养老保险费支出；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11.卫生健康支出（类）行政事业单位医疗（款）行政单位医疗（项）：指主要用于行政单位（包括实行公务员管理的事业单位）基本医疗保险缴费经费；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12.卫生健康支出（类）行政事业单位医疗（款）事业单位医疗（项）：指主要用于事业单位基本医疗保险缴费经费；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13.卫生健康支出（类）行政事业单位医疗（款）公务员医疗补助（项）：指主要用于财政部门安排的公务员医疗补助经费。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14.农林水支出(类)农业农村（款）事业运行（项）：指主要用于农业事业人员的基本工资、津补贴、奖金、其他工资福利支出、水电费、差旅费、邮电费、工会经费、其他交通费用和其他商品和服务等支出；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15.农林水支出(类)水利（款）其他水利支出（项）：指反映其他用于水利方面的支出。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住房保障支出（类）住房改革支出（款）住房公积金（项）：指主要用于行政事业单位按人力资源和社会保障部、财政部规定的基本工资和津贴补贴及及规定比例为职工缴纳的住房公积金。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（解释本部门决算报表中全部功能分类科目至项级，请参照《2020年政府收支分类科目》增减内容。）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7.基本支出：指为保障机构正常运转、完成日常工作任务而发生的人员支出和公用支出。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8.项目支出：指在基本支出之外为完成特定行政任务和事业发展目标所发生的支出。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9.经营支出：指事业单位在专业业务活动及其辅助活动之外开展非独立核算经营活动发生的支出。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（名词解释部分请根据各部门实际列支情况罗列，并根据本部门职责职能增减名词解释内容。）</w:t>
      </w:r>
      <w:bookmarkStart w:id="55" w:name="_Toc1537722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bookmarkStart w:id="56" w:name="_Toc15396614"/>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第四部分 附件</w:t>
      </w:r>
      <w:bookmarkEnd w:id="5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default" w:ascii="Times New Roman" w:hAnsi="Times New Roman" w:eastAsia="仿宋_GB2312" w:cs="Times New Roman"/>
          <w:b/>
          <w:bCs/>
          <w:sz w:val="44"/>
          <w:szCs w:val="44"/>
          <w:lang w:eastAsia="zh-CN"/>
        </w:rPr>
      </w:pPr>
      <w:r>
        <w:rPr>
          <w:rFonts w:hint="default" w:ascii="Times New Roman" w:hAnsi="Times New Roman" w:eastAsia="仿宋_GB2312" w:cs="Times New Roman"/>
          <w:b/>
          <w:bCs/>
          <w:sz w:val="44"/>
          <w:szCs w:val="44"/>
          <w:lang w:eastAsia="zh-CN"/>
        </w:rPr>
        <w:t>攀枝花市西区水利工程运行中心</w:t>
      </w: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default" w:ascii="Times New Roman" w:hAnsi="Times New Roman" w:eastAsia="仿宋_GB2312" w:cs="Times New Roman"/>
          <w:b/>
          <w:bCs/>
          <w:sz w:val="44"/>
          <w:szCs w:val="44"/>
          <w:lang w:val="zh-CN"/>
        </w:rPr>
      </w:pPr>
      <w:r>
        <w:rPr>
          <w:rFonts w:hint="default" w:ascii="Times New Roman" w:hAnsi="Times New Roman" w:eastAsia="仿宋_GB2312" w:cs="Times New Roman"/>
          <w:b/>
          <w:bCs/>
          <w:sz w:val="44"/>
          <w:szCs w:val="44"/>
        </w:rPr>
        <w:t>2020年部门</w:t>
      </w:r>
      <w:r>
        <w:rPr>
          <w:rFonts w:hint="default" w:ascii="Times New Roman" w:hAnsi="Times New Roman" w:eastAsia="仿宋_GB2312" w:cs="Times New Roman"/>
          <w:b/>
          <w:bCs/>
          <w:sz w:val="44"/>
          <w:szCs w:val="44"/>
          <w:lang w:val="zh-CN"/>
        </w:rPr>
        <w:t>整体支出绩效评价报告</w:t>
      </w:r>
    </w:p>
    <w:p>
      <w:pPr>
        <w:rPr>
          <w:rFonts w:hint="default" w:ascii="Times New Roman" w:hAnsi="Times New Roman" w:eastAsia="仿宋_GB2312" w:cs="Times New Roman"/>
          <w:sz w:val="32"/>
          <w:szCs w:val="32"/>
        </w:rPr>
      </w:pPr>
    </w:p>
    <w:p>
      <w:pPr>
        <w:jc w:val="center"/>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部门（单位）概况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（一）机构组成。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攀枝花市西区水利工程运行中心为西区水利局下设二级独立核算事业单位。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zh-CN"/>
        </w:rPr>
        <w:t>）机构职能。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1.在区委、区政府的统一领导下开展工程建设管理各项工作。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2.负责梅子箐水库扩建工程项目规划、立项、报批工作。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3.在上级部门的指导下组织设计文件的编制、审核、申报等工作。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4.按照基本建设程序和批准的建设规模、内容、标准组织工程建设。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梅子箐水库工程建设项目资金的筹集，依据《基本建设财务管理制度》、《会计基础工作规范》等基本管理制度，建立健全各项财务管理制度，并组织编制、审查、上报项目年度建设计划，落实年度工程建设资金，严格按照概算控制工程投资，用好、管好建设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6.负责工程质量监督、安全监督和开工手续的办理。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7.负责协调工程建设用地、征地手续办理、征地拆迁、移民安置等工作，解决好工程建设外部条件。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8.依法对工程项目的勘察、设计、施工、监理和设备材料等组织招标，并签订有关合同。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9.组织施工用水、用电、道路、通讯和场地平整等准备工作及必要的生产、生活临时设施的建设。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10.组织研究和处理建设过程中出现的技术和管理问题，加强施工现场管理，委托监理单位组织施工图审查和技术交底，组织重大设计变更的审核与报批。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11.负责组织制订、上报在建工程度汛方案，落实安全度汛措施，并对建设过程中的安全度汛负责。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12.负责监督检查现场管理机构建设管理情况，包括工程投资、工期、质量、生产安全和工程建设责任制落实情况等。</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13.负责组织工程各阶段验收和竣工验收工作，组织编制竣工决算并送审；组织项目运行准备和运行管理，办理项目移交手续。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14负责工程档案资料管理，包括对各参建单位所形成档案资料的收集整理、验收，并对归档工作进行监督、检查。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zh-CN"/>
        </w:rPr>
        <w:t>）人员概况。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攀枝花市西区水利工程运行中心事业编制9名，其中：主任1名，副主任2名，，实有人数事业人员9人；公务用车编制3台，实有公务用车3台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二、部门财政资金收支情况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（一）部门财政资金收入情况。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2020年本年收入合计4713.84万元，其中：一般公共预算财政拨款收入145.74万元，占3%；政府性基金预算财政拨款收入4568.10万元，占97%。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部门财政资金支出情况。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2020年本年支出3123.56万元，主要用于以下方面:社会保障和就业支出9.7万元，占总支出的</w:t>
      </w:r>
      <w:r>
        <w:rPr>
          <w:rFonts w:hint="default" w:ascii="Times New Roman" w:hAnsi="Times New Roman" w:eastAsia="仿宋_GB2312" w:cs="Times New Roman"/>
          <w:sz w:val="32"/>
          <w:szCs w:val="32"/>
          <w:lang w:val="en-US" w:eastAsia="zh-CN"/>
        </w:rPr>
        <w:t>0.31</w:t>
      </w:r>
      <w:r>
        <w:rPr>
          <w:rFonts w:hint="default" w:ascii="Times New Roman" w:hAnsi="Times New Roman" w:eastAsia="仿宋_GB2312" w:cs="Times New Roman"/>
          <w:sz w:val="32"/>
          <w:szCs w:val="32"/>
          <w:lang w:val="zh-CN"/>
        </w:rPr>
        <w:t>%；卫生健康支出7.93万元，占总支出的</w:t>
      </w:r>
      <w:r>
        <w:rPr>
          <w:rFonts w:hint="default" w:ascii="Times New Roman" w:hAnsi="Times New Roman" w:eastAsia="仿宋_GB2312" w:cs="Times New Roman"/>
          <w:sz w:val="32"/>
          <w:szCs w:val="32"/>
          <w:lang w:val="en-US" w:eastAsia="zh-CN"/>
        </w:rPr>
        <w:t>0.25</w:t>
      </w:r>
      <w:r>
        <w:rPr>
          <w:rFonts w:hint="default" w:ascii="Times New Roman" w:hAnsi="Times New Roman" w:eastAsia="仿宋_GB2312" w:cs="Times New Roman"/>
          <w:sz w:val="32"/>
          <w:szCs w:val="32"/>
          <w:lang w:val="zh-CN"/>
        </w:rPr>
        <w:t>%；城乡社区支出62.1万元，占总支出的</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%；农林水支出120.87万元，占总支出的</w:t>
      </w:r>
      <w:r>
        <w:rPr>
          <w:rFonts w:hint="default" w:ascii="Times New Roman" w:hAnsi="Times New Roman" w:eastAsia="仿宋_GB2312" w:cs="Times New Roman"/>
          <w:sz w:val="32"/>
          <w:szCs w:val="32"/>
          <w:lang w:val="en-US" w:eastAsia="zh-CN"/>
        </w:rPr>
        <w:t>3.87</w:t>
      </w:r>
      <w:r>
        <w:rPr>
          <w:rFonts w:hint="default" w:ascii="Times New Roman" w:hAnsi="Times New Roman" w:eastAsia="仿宋_GB2312" w:cs="Times New Roman"/>
          <w:sz w:val="32"/>
          <w:szCs w:val="32"/>
          <w:lang w:val="zh-CN"/>
        </w:rPr>
        <w:t>%；住房保障支出13.25万元，占总支出的</w:t>
      </w:r>
      <w:r>
        <w:rPr>
          <w:rFonts w:hint="default" w:ascii="Times New Roman" w:hAnsi="Times New Roman" w:eastAsia="仿宋_GB2312" w:cs="Times New Roman"/>
          <w:sz w:val="32"/>
          <w:szCs w:val="32"/>
          <w:lang w:val="en-US" w:eastAsia="zh-CN"/>
        </w:rPr>
        <w:t>0.42</w:t>
      </w:r>
      <w:r>
        <w:rPr>
          <w:rFonts w:hint="default" w:ascii="Times New Roman" w:hAnsi="Times New Roman" w:eastAsia="仿宋_GB2312" w:cs="Times New Roman"/>
          <w:sz w:val="32"/>
          <w:szCs w:val="32"/>
          <w:lang w:val="zh-CN"/>
        </w:rPr>
        <w:t>%；政府性基金预算财政拨款支出2909.71万元，占总支出的</w:t>
      </w:r>
      <w:r>
        <w:rPr>
          <w:rFonts w:hint="default" w:ascii="Times New Roman" w:hAnsi="Times New Roman" w:eastAsia="仿宋_GB2312" w:cs="Times New Roman"/>
          <w:sz w:val="32"/>
          <w:szCs w:val="32"/>
          <w:lang w:val="en-US" w:eastAsia="zh-CN"/>
        </w:rPr>
        <w:t>93.15</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三、部门整体预算绩效管理情况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（一）部门预算管理。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2020年攀枝花市西区水利工程运行中心严格按照部门职能及履职需求制定部门绩效目标，基本完成部门目标任务，按照财政预算编制要求及预算编制原则准确及时全面编制预算、合理控制部门支出、根据预算目标进行预算动态调整、项目执行进度良好有序、预算完成情况良好、无违规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2020年我中心基本支出预算安排145.74万元，实际支出145.74万，基本支出主要用于人员经费和日常公用支出，人员经费用于人员的工资福利、养老保险、职业年金、公积金、社保缴费、其他工资福利支出等；日常公用经费用于日常工作中的办公费、邮电费、水费、电费、维修费、劳务费、委托业务费、工会经费、福利费、公务车运行维护费、手续费、其他商品和服务支出。其他对个人和家庭的补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2020年项目预算安排4500元，实际支出2977.81万元(其中包括使用2019年结转结余)，主要用于防汛、抗旱、其他水利支出、梅子箐水库扩建工程项目、移民项目等支出，项目基本按照预算绩效目标开展。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zh-CN"/>
        </w:rPr>
        <w:t>）结果应用情况。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通过项目实施，梅子箐水库扩建工程施工二标段完成了总工程量的98%、施工五标段完成了总工程量的75%，基本完成了移民临时用地复垦工作，完成了森林植被恢复及移民安置点房屋单价变更相关工作，共使用资金</w:t>
      </w:r>
      <w:r>
        <w:rPr>
          <w:rFonts w:hint="default" w:ascii="Times New Roman" w:hAnsi="Times New Roman" w:eastAsia="仿宋_GB2312" w:cs="Times New Roman"/>
          <w:sz w:val="32"/>
          <w:szCs w:val="32"/>
          <w:lang w:val="en-US" w:eastAsia="zh-CN"/>
        </w:rPr>
        <w:t>2971.81</w:t>
      </w:r>
      <w:r>
        <w:rPr>
          <w:rFonts w:hint="default" w:ascii="Times New Roman" w:hAnsi="Times New Roman" w:eastAsia="仿宋_GB2312" w:cs="Times New Roman"/>
          <w:sz w:val="32"/>
          <w:szCs w:val="32"/>
        </w:rPr>
        <w:t>万元，其工程质量达到行业验收标准。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四、评价结论及建议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（一）评价结论。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通过绩效评价，我中心认为，2020年度部门预算具有明确的用途和目标，制定了较详细的执行计划，资金到位及时并严格按照财政有关规定使用，预算决策、管理、执行等日益规范，能较好地满足工作需要，取得了良好经济效益和社会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（二）存在问题。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各个项目能按进度完成目标任务，但由于财政资金不到位，造成资金拨付进度缓慢，执行使用率较低。下一步我们将加大对财政资金支出绩效评价工作的培训力度，提高绩效评价工作的认知度，重视目标绩效评价工作，切实提升绩效评价工作水平，并能及时将评价结果运用到工作实施过程中，更好的完成年度目标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zh-CN"/>
        </w:rPr>
        <w:t>）改进建议。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在制定部门绩效相关政策时，建议结合相关行业特点，财政保障资金的到位，进一步加快项目及资金支付进度，减少当年结余资金率，提高项目绩效。</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pPr>
        <w:rPr>
          <w:rFonts w:hint="default" w:ascii="Times New Roman" w:hAnsi="Times New Roman" w:eastAsia="仿宋_GB2312" w:cs="Times New Roman"/>
          <w:sz w:val="32"/>
          <w:szCs w:val="32"/>
        </w:rPr>
      </w:pPr>
    </w:p>
    <w:p>
      <w:pPr>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eastAsia="zh-CN"/>
        </w:rPr>
        <w:t>防汛专项经费</w:t>
      </w:r>
      <w:r>
        <w:rPr>
          <w:rFonts w:hint="eastAsia" w:ascii="方正小标宋_GBK" w:hAnsi="方正小标宋_GBK" w:eastAsia="方正小标宋_GBK" w:cs="方正小标宋_GBK"/>
          <w:sz w:val="44"/>
          <w:szCs w:val="44"/>
        </w:rPr>
        <w:t>2020年</w:t>
      </w:r>
      <w:r>
        <w:rPr>
          <w:rFonts w:hint="eastAsia" w:ascii="方正小标宋_GBK" w:hAnsi="方正小标宋_GBK" w:eastAsia="方正小标宋_GBK" w:cs="方正小标宋_GBK"/>
          <w:sz w:val="44"/>
          <w:szCs w:val="44"/>
          <w:lang w:val="zh-CN"/>
        </w:rPr>
        <w:t>绩效评价报告</w:t>
      </w:r>
    </w:p>
    <w:p>
      <w:pPr>
        <w:rPr>
          <w:rFonts w:hint="default" w:ascii="Times New Roman" w:hAnsi="Times New Roman" w:eastAsia="仿宋_GB2312" w:cs="Times New Roman"/>
          <w:sz w:val="32"/>
          <w:szCs w:val="32"/>
          <w:lang w:val="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rPr>
        <w:t>根据《攀枝花市防汛抗旱指挥部办公室关于做好2020年防汛带班值班和信息报送工作的通知》（攀防办〔2020〕8号）文要求，全区水利系统从2020年5月1日开始实行24小时水旱灾害防御值班。请各相关部门加强统筹协调，落实值、带班人员，严明工作纪律，强化值班值守工作。值班期间，工作人员要坚守岗位，切实履行工作职责，不得擅自离岗脱岗。强化信息收集和报送，及时处理突发情况，重大事项要及时报告，确保水旱灾害防御信息上下贯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项目立项、资金申报的依据。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负责梅子箐水库及其他区级水利工程管理范围内的工程，承担水库及区级其他水利工程管理范围内的工程及设施设备的维修保养、运行管理、安全监测等，编制汛期调度运行计划、大坝安全应急预案、防汛抢险应急预案等。</w:t>
      </w:r>
      <w:r>
        <w:rPr>
          <w:rFonts w:hint="default" w:ascii="Times New Roman" w:hAnsi="Times New Roman" w:eastAsia="仿宋_GB2312" w:cs="Times New Roman"/>
          <w:sz w:val="32"/>
          <w:szCs w:val="32"/>
          <w:lang w:eastAsia="zh-CN"/>
        </w:rPr>
        <w:t>所需经费</w:t>
      </w:r>
      <w:r>
        <w:rPr>
          <w:rFonts w:hint="default" w:ascii="Times New Roman" w:hAnsi="Times New Roman" w:eastAsia="仿宋_GB2312" w:cs="Times New Roman"/>
          <w:sz w:val="32"/>
          <w:szCs w:val="32"/>
          <w:lang w:val="zh-CN"/>
        </w:rPr>
        <w:t>区财政负责。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4．资金分配的原则及考虑因素。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（二）项目绩效目标。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负责梅子箐水库及其他区级水利工程管理范围内的工程，承担水库及区级其他水利工程管理范围内的工程及设施设备的维修保养、运行管理、安全监测等，编制汛期调度运行计划、大坝安全应急预案、防汛抢险应急预案等。</w:t>
      </w:r>
      <w:r>
        <w:rPr>
          <w:rFonts w:hint="default" w:ascii="Times New Roman" w:hAnsi="Times New Roman" w:eastAsia="仿宋_GB2312" w:cs="Times New Roman"/>
          <w:sz w:val="32"/>
          <w:szCs w:val="32"/>
          <w:lang w:eastAsia="zh-CN"/>
        </w:rPr>
        <w:t>所需经费</w:t>
      </w:r>
      <w:r>
        <w:rPr>
          <w:rFonts w:hint="default" w:ascii="Times New Roman" w:hAnsi="Times New Roman" w:eastAsia="仿宋_GB2312" w:cs="Times New Roman"/>
          <w:sz w:val="32"/>
          <w:szCs w:val="32"/>
          <w:lang w:val="zh-CN"/>
        </w:rPr>
        <w:t>区财政负责。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（三）项目自评步骤及方法。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项目采取自评方式，按照财政下达的项目支出绩效评价指标体系，从项目决策、项目管理、项目绩效等方面做出评价。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项目资金申报及使用情况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防汛专项经费</w:t>
      </w:r>
      <w:r>
        <w:rPr>
          <w:rFonts w:hint="default" w:ascii="Times New Roman" w:hAnsi="Times New Roman" w:eastAsia="仿宋_GB2312" w:cs="Times New Roman"/>
          <w:sz w:val="32"/>
          <w:szCs w:val="32"/>
        </w:rPr>
        <w:t>年初申报预算是</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万元，区财政预算批复下达经费预算</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防汛</w:t>
      </w:r>
      <w:r>
        <w:rPr>
          <w:rFonts w:hint="default" w:ascii="Times New Roman" w:hAnsi="Times New Roman" w:eastAsia="仿宋_GB2312" w:cs="Times New Roman"/>
          <w:sz w:val="32"/>
          <w:szCs w:val="32"/>
        </w:rPr>
        <w:t>经费及支</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资金计划。</w:t>
      </w:r>
      <w:r>
        <w:rPr>
          <w:rFonts w:hint="default" w:ascii="Times New Roman" w:hAnsi="Times New Roman" w:eastAsia="仿宋_GB2312" w:cs="Times New Roman"/>
          <w:sz w:val="32"/>
          <w:szCs w:val="32"/>
          <w:lang w:eastAsia="zh-CN"/>
        </w:rPr>
        <w:t>防汛经费</w:t>
      </w:r>
      <w:r>
        <w:rPr>
          <w:rFonts w:hint="default" w:ascii="Times New Roman" w:hAnsi="Times New Roman" w:eastAsia="仿宋_GB2312" w:cs="Times New Roman"/>
          <w:sz w:val="32"/>
          <w:szCs w:val="32"/>
        </w:rPr>
        <w:t>资金全部由区财政预算安排。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资金到位。年初预算申报的</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万元已全部到位，资金到位率100%。资金到位及时，有效地保证了项目工作的正常、平稳开展。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资金使用。本项目实际到位资金</w:t>
      </w:r>
      <w:r>
        <w:rPr>
          <w:rFonts w:hint="default" w:ascii="Times New Roman" w:hAnsi="Times New Roman" w:eastAsia="仿宋_GB2312" w:cs="Times New Roman"/>
          <w:sz w:val="32"/>
          <w:szCs w:val="32"/>
          <w:lang w:val="en-US" w:eastAsia="zh-CN"/>
        </w:rPr>
        <w:t>6万</w:t>
      </w:r>
      <w:r>
        <w:rPr>
          <w:rFonts w:hint="default" w:ascii="Times New Roman" w:hAnsi="Times New Roman" w:eastAsia="仿宋_GB2312" w:cs="Times New Roman"/>
          <w:sz w:val="32"/>
          <w:szCs w:val="32"/>
        </w:rPr>
        <w:t>元，实际使用资金</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万元，主要是防汛物资储备，完成1次防汛应急演练，做好防汛安全巡查和值班值守工作，确保梅子箐、三洞桥及高涧沟三座水库库区人畜及水库在建工程安全度汛；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（三）项目财务管理情况。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西区</w:t>
      </w:r>
      <w:r>
        <w:rPr>
          <w:rFonts w:hint="default" w:ascii="Times New Roman" w:hAnsi="Times New Roman" w:eastAsia="仿宋_GB2312" w:cs="Times New Roman"/>
          <w:sz w:val="32"/>
          <w:szCs w:val="32"/>
          <w:lang w:eastAsia="zh-CN"/>
        </w:rPr>
        <w:t>水利工程运行中心</w:t>
      </w:r>
      <w:r>
        <w:rPr>
          <w:rFonts w:hint="default" w:ascii="Times New Roman" w:hAnsi="Times New Roman" w:eastAsia="仿宋_GB2312" w:cs="Times New Roman"/>
          <w:sz w:val="32"/>
          <w:szCs w:val="32"/>
        </w:rPr>
        <w:t>严格遵守《中华人民共和国会计法》《中华人民共和国预算法》、《专项资金管理制度》等各项规定，对项目专项资金实行单独核算、专款专用的原则，未出现专项资金被挤占、截留和挪用现象。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本项目属于经常性项目，在</w:t>
      </w:r>
      <w:r>
        <w:rPr>
          <w:rFonts w:hint="default" w:ascii="Times New Roman" w:hAnsi="Times New Roman" w:eastAsia="仿宋_GB2312" w:cs="Times New Roman"/>
          <w:sz w:val="32"/>
          <w:szCs w:val="32"/>
          <w:lang w:eastAsia="zh-CN"/>
        </w:rPr>
        <w:t>每年汛期</w:t>
      </w:r>
      <w:r>
        <w:rPr>
          <w:rFonts w:hint="default" w:ascii="Times New Roman" w:hAnsi="Times New Roman" w:eastAsia="仿宋_GB2312" w:cs="Times New Roman"/>
          <w:sz w:val="32"/>
          <w:szCs w:val="32"/>
        </w:rPr>
        <w:t>前组织实施。由区</w:t>
      </w:r>
      <w:r>
        <w:rPr>
          <w:rFonts w:hint="default" w:ascii="Times New Roman" w:hAnsi="Times New Roman" w:eastAsia="仿宋_GB2312" w:cs="Times New Roman"/>
          <w:sz w:val="32"/>
          <w:szCs w:val="32"/>
          <w:lang w:eastAsia="zh-CN"/>
        </w:rPr>
        <w:t>水利工程运行中心</w:t>
      </w:r>
      <w:r>
        <w:rPr>
          <w:rFonts w:hint="default" w:ascii="Times New Roman" w:hAnsi="Times New Roman" w:eastAsia="仿宋_GB2312" w:cs="Times New Roman"/>
          <w:sz w:val="32"/>
          <w:szCs w:val="32"/>
        </w:rPr>
        <w:t>组织实施与管理，实施过程均按照西区财政批复文件要求执行。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zh-CN"/>
        </w:rPr>
        <w:t>）项目管理情况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西区</w:t>
      </w:r>
      <w:r>
        <w:rPr>
          <w:rFonts w:hint="default" w:ascii="Times New Roman" w:hAnsi="Times New Roman" w:eastAsia="仿宋_GB2312" w:cs="Times New Roman"/>
          <w:sz w:val="32"/>
          <w:szCs w:val="32"/>
          <w:lang w:eastAsia="zh-CN"/>
        </w:rPr>
        <w:t>水利工程运行中心</w:t>
      </w:r>
      <w:r>
        <w:rPr>
          <w:rFonts w:hint="default" w:ascii="Times New Roman" w:hAnsi="Times New Roman" w:eastAsia="仿宋_GB2312" w:cs="Times New Roman"/>
          <w:sz w:val="32"/>
          <w:szCs w:val="32"/>
        </w:rPr>
        <w:t>严格执行区财政局下发的文件要求，项目经费由区</w:t>
      </w:r>
      <w:r>
        <w:rPr>
          <w:rFonts w:hint="default" w:ascii="Times New Roman" w:hAnsi="Times New Roman" w:eastAsia="仿宋_GB2312" w:cs="Times New Roman"/>
          <w:sz w:val="32"/>
          <w:szCs w:val="32"/>
          <w:lang w:eastAsia="zh-CN"/>
        </w:rPr>
        <w:t>西区水利工程运行中心</w:t>
      </w:r>
      <w:r>
        <w:rPr>
          <w:rFonts w:hint="default" w:ascii="Times New Roman" w:hAnsi="Times New Roman" w:eastAsia="仿宋_GB2312" w:cs="Times New Roman"/>
          <w:sz w:val="32"/>
          <w:szCs w:val="32"/>
        </w:rPr>
        <w:t>统一管理，采取会议讨论决定的形式，按照项目计划安排，根据实际工作需要开支，做到专款专用。同时按照财政专项资金管理办法进行了账务处理，支出严格按照相关法规进行会计核算，付款申请及审批程序合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zh-CN"/>
        </w:rPr>
        <w:t>）项目监管情况。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为确保专项资金及时拨付到位，采取银行转账方式上卡的方式发放。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eastAsia="黑体" w:cs="Times New Roman"/>
          <w:sz w:val="32"/>
          <w:szCs w:val="32"/>
          <w:lang w:val="zh-CN"/>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（一）项目完成情况。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防汛</w:t>
      </w:r>
      <w:r>
        <w:rPr>
          <w:rFonts w:hint="default" w:ascii="Times New Roman" w:hAnsi="Times New Roman" w:eastAsia="仿宋_GB2312" w:cs="Times New Roman"/>
          <w:sz w:val="32"/>
          <w:szCs w:val="32"/>
          <w:lang w:eastAsia="zh-CN"/>
        </w:rPr>
        <w:t>专项</w:t>
      </w:r>
      <w:r>
        <w:rPr>
          <w:rFonts w:hint="default" w:ascii="Times New Roman" w:hAnsi="Times New Roman" w:eastAsia="仿宋_GB2312" w:cs="Times New Roman"/>
          <w:sz w:val="32"/>
          <w:szCs w:val="32"/>
        </w:rPr>
        <w:t>项目完成</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年汛期做好防汛物资储备，完成1次防汛应急演练，完成了汛期的巡查和值班值守工作。保证了3座水库和水库在建工程安全度汛。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年防汛工作的顺利完成，维护社会稳定，保障了社会正常的生产和生活活动，群众满意度良好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提升了防汛预警应变能力。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（一）评价结论。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本项目依照区财政部门要求，依据充分，目标明确，程序合理；项目资金到位及时，实际使用资金</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万元，未超出预算资金；项目的组织管理符合项目的特殊性要求，项目的产出基本达到目标，项目效果良好，项目的绩效基本实现。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综上所述，本项目绩效评价总得分为90分，评价级别为“优”。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财政支出绩效评价指标体系</w:t>
      </w:r>
    </w:p>
    <w:tbl>
      <w:tblPr>
        <w:tblStyle w:val="9"/>
        <w:tblW w:w="9163" w:type="dxa"/>
        <w:jc w:val="center"/>
        <w:tblInd w:w="0" w:type="dxa"/>
        <w:tblLayout w:type="fixed"/>
        <w:tblCellMar>
          <w:top w:w="0" w:type="dxa"/>
          <w:left w:w="108" w:type="dxa"/>
          <w:bottom w:w="0" w:type="dxa"/>
          <w:right w:w="108" w:type="dxa"/>
        </w:tblCellMar>
      </w:tblPr>
      <w:tblGrid>
        <w:gridCol w:w="723"/>
        <w:gridCol w:w="690"/>
        <w:gridCol w:w="450"/>
        <w:gridCol w:w="735"/>
        <w:gridCol w:w="795"/>
        <w:gridCol w:w="822"/>
        <w:gridCol w:w="2148"/>
        <w:gridCol w:w="2025"/>
        <w:gridCol w:w="775"/>
      </w:tblGrid>
      <w:tr>
        <w:tblPrEx>
          <w:tblLayout w:type="fixed"/>
          <w:tblCellMar>
            <w:top w:w="0" w:type="dxa"/>
            <w:left w:w="108" w:type="dxa"/>
            <w:bottom w:w="0" w:type="dxa"/>
            <w:right w:w="108" w:type="dxa"/>
          </w:tblCellMar>
        </w:tblPrEx>
        <w:trPr>
          <w:trHeight w:val="446" w:hRule="atLeast"/>
          <w:jc w:val="center"/>
        </w:trPr>
        <w:tc>
          <w:tcPr>
            <w:tcW w:w="723" w:type="dxa"/>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一级指标</w:t>
            </w:r>
          </w:p>
        </w:tc>
        <w:tc>
          <w:tcPr>
            <w:tcW w:w="690" w:type="dxa"/>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分值</w:t>
            </w:r>
            <w:r>
              <w:rPr>
                <w:rFonts w:hint="default" w:ascii="Times New Roman" w:hAnsi="Times New Roman" w:eastAsia="仿宋_GB2312" w:cs="Times New Roman"/>
                <w:sz w:val="24"/>
                <w:szCs w:val="24"/>
              </w:rPr>
              <w:drawing>
                <wp:inline distT="0" distB="0" distL="114300" distR="114300">
                  <wp:extent cx="19050" cy="19050"/>
                  <wp:effectExtent l="0" t="0" r="0" b="0"/>
                  <wp:docPr id="6" name="图片 1" descr="I:\..\..\..\..\..\..\DOCUME~1\ADMINI~1\LOCALS~1\Temp\ksohtml\clip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DOCUME~1\ADMINI~1\LOCALS~1\Temp\ksohtml\clip_image1.png"/>
                          <pic:cNvPicPr>
                            <a:picLocks noChangeAspect="1"/>
                          </pic:cNvPicPr>
                        </pic:nvPicPr>
                        <pic:blipFill>
                          <a:blip r:embed="rId12"/>
                          <a:stretch>
                            <a:fillRect/>
                          </a:stretch>
                        </pic:blipFill>
                        <pic:spPr>
                          <a:xfrm>
                            <a:off x="0" y="0"/>
                            <a:ext cx="19050" cy="19050"/>
                          </a:xfrm>
                          <a:prstGeom prst="rect">
                            <a:avLst/>
                          </a:prstGeom>
                          <a:noFill/>
                          <a:ln>
                            <a:noFill/>
                          </a:ln>
                        </pic:spPr>
                      </pic:pic>
                    </a:graphicData>
                  </a:graphic>
                </wp:inline>
              </w:drawing>
            </w:r>
            <w:r>
              <w:rPr>
                <w:rFonts w:hint="default" w:ascii="Times New Roman" w:hAnsi="Times New Roman" w:eastAsia="仿宋_GB2312" w:cs="Times New Roman"/>
                <w:sz w:val="24"/>
                <w:szCs w:val="24"/>
              </w:rPr>
              <w:drawing>
                <wp:inline distT="0" distB="0" distL="114300" distR="114300">
                  <wp:extent cx="19050" cy="19050"/>
                  <wp:effectExtent l="0" t="0" r="0" b="0"/>
                  <wp:docPr id="7" name="图片 2" descr="I:\..\..\..\..\..\..\DOCUME~1\ADMINI~1\LOCALS~1\Temp\ksohtml\clip_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DOCUME~1\ADMINI~1\LOCALS~1\Temp\ksohtml\clip_image2.png"/>
                          <pic:cNvPicPr>
                            <a:picLocks noChangeAspect="1"/>
                          </pic:cNvPicPr>
                        </pic:nvPicPr>
                        <pic:blipFill>
                          <a:blip r:embed="rId12"/>
                          <a:stretch>
                            <a:fillRect/>
                          </a:stretch>
                        </pic:blipFill>
                        <pic:spPr>
                          <a:xfrm>
                            <a:off x="0" y="0"/>
                            <a:ext cx="19050" cy="19050"/>
                          </a:xfrm>
                          <a:prstGeom prst="rect">
                            <a:avLst/>
                          </a:prstGeom>
                          <a:noFill/>
                          <a:ln>
                            <a:noFill/>
                          </a:ln>
                        </pic:spPr>
                      </pic:pic>
                    </a:graphicData>
                  </a:graphic>
                </wp:inline>
              </w:drawing>
            </w:r>
            <w:r>
              <w:rPr>
                <w:rFonts w:hint="default" w:ascii="Times New Roman" w:hAnsi="Times New Roman" w:eastAsia="仿宋_GB2312" w:cs="Times New Roman"/>
                <w:sz w:val="24"/>
                <w:szCs w:val="24"/>
              </w:rPr>
              <w:drawing>
                <wp:inline distT="0" distB="0" distL="114300" distR="114300">
                  <wp:extent cx="19050" cy="19050"/>
                  <wp:effectExtent l="0" t="0" r="0" b="0"/>
                  <wp:docPr id="9" name="图片 3" descr="I:\..\..\..\..\..\..\DOCUME~1\ADMINI~1\LOCALS~1\Temp\ksohtml\clip_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DOCUME~1\ADMINI~1\LOCALS~1\Temp\ksohtml\clip_image3.png"/>
                          <pic:cNvPicPr>
                            <a:picLocks noChangeAspect="1"/>
                          </pic:cNvPicPr>
                        </pic:nvPicPr>
                        <pic:blipFill>
                          <a:blip r:embed="rId12"/>
                          <a:stretch>
                            <a:fillRect/>
                          </a:stretch>
                        </pic:blipFill>
                        <pic:spPr>
                          <a:xfrm>
                            <a:off x="0" y="0"/>
                            <a:ext cx="19050" cy="19050"/>
                          </a:xfrm>
                          <a:prstGeom prst="rect">
                            <a:avLst/>
                          </a:prstGeom>
                          <a:noFill/>
                          <a:ln>
                            <a:noFill/>
                          </a:ln>
                        </pic:spPr>
                      </pic:pic>
                    </a:graphicData>
                  </a:graphic>
                </wp:inline>
              </w:drawing>
            </w:r>
            <w:r>
              <w:rPr>
                <w:rFonts w:hint="default" w:ascii="Times New Roman" w:hAnsi="Times New Roman" w:eastAsia="仿宋_GB2312" w:cs="Times New Roman"/>
                <w:sz w:val="24"/>
                <w:szCs w:val="24"/>
              </w:rPr>
              <w:drawing>
                <wp:inline distT="0" distB="0" distL="114300" distR="114300">
                  <wp:extent cx="19050" cy="19050"/>
                  <wp:effectExtent l="0" t="0" r="0" b="0"/>
                  <wp:docPr id="8" name="图片 4" descr="I:\..\..\..\..\..\..\DOCUME~1\ADMINI~1\LOCALS~1\Temp\ksohtml\clip_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DOCUME~1\ADMINI~1\LOCALS~1\Temp\ksohtml\clip_image5.png"/>
                          <pic:cNvPicPr>
                            <a:picLocks noChangeAspect="1"/>
                          </pic:cNvPicPr>
                        </pic:nvPicPr>
                        <pic:blipFill>
                          <a:blip r:embed="rId12"/>
                          <a:stretch>
                            <a:fillRect/>
                          </a:stretch>
                        </pic:blipFill>
                        <pic:spPr>
                          <a:xfrm>
                            <a:off x="0" y="0"/>
                            <a:ext cx="19050" cy="19050"/>
                          </a:xfrm>
                          <a:prstGeom prst="rect">
                            <a:avLst/>
                          </a:prstGeom>
                          <a:noFill/>
                          <a:ln>
                            <a:noFill/>
                          </a:ln>
                        </pic:spPr>
                      </pic:pic>
                    </a:graphicData>
                  </a:graphic>
                </wp:inline>
              </w:drawing>
            </w:r>
          </w:p>
        </w:tc>
        <w:tc>
          <w:tcPr>
            <w:tcW w:w="450" w:type="dxa"/>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二级指标</w:t>
            </w:r>
          </w:p>
        </w:tc>
        <w:tc>
          <w:tcPr>
            <w:tcW w:w="735" w:type="dxa"/>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分值</w:t>
            </w:r>
          </w:p>
        </w:tc>
        <w:tc>
          <w:tcPr>
            <w:tcW w:w="795" w:type="dxa"/>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三级指标</w:t>
            </w:r>
          </w:p>
        </w:tc>
        <w:tc>
          <w:tcPr>
            <w:tcW w:w="822" w:type="dxa"/>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分值</w:t>
            </w:r>
          </w:p>
        </w:tc>
        <w:tc>
          <w:tcPr>
            <w:tcW w:w="2148" w:type="dxa"/>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指标解释</w:t>
            </w:r>
          </w:p>
        </w:tc>
        <w:tc>
          <w:tcPr>
            <w:tcW w:w="2025" w:type="dxa"/>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评价标准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实际得分</w:t>
            </w:r>
          </w:p>
        </w:tc>
      </w:tr>
      <w:tr>
        <w:tblPrEx>
          <w:tblLayout w:type="fixed"/>
          <w:tblCellMar>
            <w:top w:w="0" w:type="dxa"/>
            <w:left w:w="108" w:type="dxa"/>
            <w:bottom w:w="0" w:type="dxa"/>
            <w:right w:w="108" w:type="dxa"/>
          </w:tblCellMar>
        </w:tblPrEx>
        <w:trPr>
          <w:trHeight w:val="546" w:hRule="atLeast"/>
          <w:jc w:val="center"/>
        </w:trPr>
        <w:tc>
          <w:tcPr>
            <w:tcW w:w="723" w:type="dxa"/>
            <w:vMerge w:val="restart"/>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项目决策</w:t>
            </w:r>
          </w:p>
        </w:tc>
        <w:tc>
          <w:tcPr>
            <w:tcW w:w="690" w:type="dxa"/>
            <w:vMerge w:val="restart"/>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450" w:type="dxa"/>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项目目标</w:t>
            </w:r>
          </w:p>
        </w:tc>
        <w:tc>
          <w:tcPr>
            <w:tcW w:w="735" w:type="dxa"/>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795" w:type="dxa"/>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目标内容</w:t>
            </w:r>
          </w:p>
        </w:tc>
        <w:tc>
          <w:tcPr>
            <w:tcW w:w="822" w:type="dxa"/>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148" w:type="dxa"/>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目标是否明确、细化、量化</w:t>
            </w:r>
          </w:p>
        </w:tc>
        <w:tc>
          <w:tcPr>
            <w:tcW w:w="2025" w:type="dxa"/>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目标明确（1分），目标细化（1分），目标量化（2分）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r>
      <w:tr>
        <w:tblPrEx>
          <w:tblLayout w:type="fixed"/>
          <w:tblCellMar>
            <w:top w:w="0" w:type="dxa"/>
            <w:left w:w="108" w:type="dxa"/>
            <w:bottom w:w="0" w:type="dxa"/>
            <w:right w:w="108" w:type="dxa"/>
          </w:tblCellMar>
        </w:tblPrEx>
        <w:trPr>
          <w:trHeight w:val="750" w:hRule="atLeast"/>
          <w:jc w:val="center"/>
        </w:trPr>
        <w:tc>
          <w:tcPr>
            <w:tcW w:w="723" w:type="dxa"/>
            <w:vMerge w:val="continue"/>
            <w:tcBorders>
              <w:top w:val="single" w:color="auto" w:sz="4" w:space="0"/>
              <w:left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top w:val="single" w:color="auto" w:sz="4" w:space="0"/>
              <w:left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restart"/>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决策过程</w:t>
            </w:r>
          </w:p>
        </w:tc>
        <w:tc>
          <w:tcPr>
            <w:tcW w:w="735" w:type="dxa"/>
            <w:vMerge w:val="restart"/>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795" w:type="dxa"/>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决策依据</w:t>
            </w:r>
          </w:p>
        </w:tc>
        <w:tc>
          <w:tcPr>
            <w:tcW w:w="822" w:type="dxa"/>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148" w:type="dxa"/>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项目是否符合经济社会发展规划和部门年度工作计划；是否根据需要制定中长期实施规划</w:t>
            </w:r>
          </w:p>
        </w:tc>
        <w:tc>
          <w:tcPr>
            <w:tcW w:w="2025" w:type="dxa"/>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项目符合经济社会发展规划和部门年度工作计划（2分），根据需要制定中长期实施规划（1分）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r>
      <w:tr>
        <w:tblPrEx>
          <w:tblLayout w:type="fixed"/>
          <w:tblCellMar>
            <w:top w:w="0" w:type="dxa"/>
            <w:left w:w="108" w:type="dxa"/>
            <w:bottom w:w="0" w:type="dxa"/>
            <w:right w:w="108" w:type="dxa"/>
          </w:tblCellMar>
        </w:tblPrEx>
        <w:trPr>
          <w:trHeight w:val="771" w:hRule="atLeast"/>
          <w:jc w:val="center"/>
        </w:trPr>
        <w:tc>
          <w:tcPr>
            <w:tcW w:w="723" w:type="dxa"/>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35"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95"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决策程序</w:t>
            </w:r>
          </w:p>
        </w:tc>
        <w:tc>
          <w:tcPr>
            <w:tcW w:w="822"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148"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项目是否符合申报条件；申报、批复程序是否符合相关管理办法；项目调整是否履行相应手续</w:t>
            </w:r>
          </w:p>
        </w:tc>
        <w:tc>
          <w:tcPr>
            <w:tcW w:w="2025" w:type="dxa"/>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项目符合申报条件（2分），申报、批复程序符合相关管理办法（2分），项目实施调整履行相应手续（1分）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r>
      <w:tr>
        <w:tblPrEx>
          <w:tblLayout w:type="fixed"/>
          <w:tblCellMar>
            <w:top w:w="0" w:type="dxa"/>
            <w:left w:w="108" w:type="dxa"/>
            <w:bottom w:w="0" w:type="dxa"/>
            <w:right w:w="108" w:type="dxa"/>
          </w:tblCellMar>
        </w:tblPrEx>
        <w:trPr>
          <w:trHeight w:val="469" w:hRule="atLeast"/>
          <w:jc w:val="center"/>
        </w:trPr>
        <w:tc>
          <w:tcPr>
            <w:tcW w:w="723" w:type="dxa"/>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restart"/>
            <w:tcBorders>
              <w:top w:val="single" w:color="000000" w:sz="4" w:space="0"/>
              <w:left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资金分配</w:t>
            </w:r>
          </w:p>
        </w:tc>
        <w:tc>
          <w:tcPr>
            <w:tcW w:w="735" w:type="dxa"/>
            <w:vMerge w:val="restart"/>
            <w:tcBorders>
              <w:top w:val="single" w:color="000000" w:sz="4" w:space="0"/>
              <w:left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795"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分配方法</w:t>
            </w:r>
          </w:p>
        </w:tc>
        <w:tc>
          <w:tcPr>
            <w:tcW w:w="822"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148"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是否根据需要制定相关资金管理办法，并在管理办法中明确资金分配方法；资金分配因素是否全面、合理</w:t>
            </w:r>
          </w:p>
        </w:tc>
        <w:tc>
          <w:tcPr>
            <w:tcW w:w="2025" w:type="dxa"/>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办法健全、规范（1分），因素选择全面、合理（1分）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r>
      <w:tr>
        <w:tblPrEx>
          <w:tblLayout w:type="fixed"/>
          <w:tblCellMar>
            <w:top w:w="0" w:type="dxa"/>
            <w:left w:w="108" w:type="dxa"/>
            <w:bottom w:w="0" w:type="dxa"/>
            <w:right w:w="108" w:type="dxa"/>
          </w:tblCellMar>
        </w:tblPrEx>
        <w:trPr>
          <w:trHeight w:val="385" w:hRule="atLeast"/>
          <w:jc w:val="center"/>
        </w:trPr>
        <w:tc>
          <w:tcPr>
            <w:tcW w:w="72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3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95"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分配结果</w:t>
            </w:r>
          </w:p>
        </w:tc>
        <w:tc>
          <w:tcPr>
            <w:tcW w:w="822"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2148"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资金分配是否符合相关管理办法；分配结果是否合理</w:t>
            </w:r>
          </w:p>
        </w:tc>
        <w:tc>
          <w:tcPr>
            <w:tcW w:w="2025" w:type="dxa"/>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项目符合相关分配方法（2分），资金分配合理（4分）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r>
      <w:tr>
        <w:tblPrEx>
          <w:tblLayout w:type="fixed"/>
          <w:tblCellMar>
            <w:top w:w="0" w:type="dxa"/>
            <w:left w:w="108" w:type="dxa"/>
            <w:bottom w:w="0" w:type="dxa"/>
            <w:right w:w="108" w:type="dxa"/>
          </w:tblCellMar>
        </w:tblPrEx>
        <w:trPr>
          <w:trHeight w:val="638" w:hRule="atLeast"/>
          <w:jc w:val="center"/>
        </w:trPr>
        <w:tc>
          <w:tcPr>
            <w:tcW w:w="723" w:type="dxa"/>
            <w:vMerge w:val="restart"/>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项目管理</w:t>
            </w:r>
          </w:p>
        </w:tc>
        <w:tc>
          <w:tcPr>
            <w:tcW w:w="690" w:type="dxa"/>
            <w:vMerge w:val="restart"/>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w:t>
            </w:r>
          </w:p>
        </w:tc>
        <w:tc>
          <w:tcPr>
            <w:tcW w:w="450" w:type="dxa"/>
            <w:vMerge w:val="restart"/>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资金到位</w:t>
            </w:r>
          </w:p>
        </w:tc>
        <w:tc>
          <w:tcPr>
            <w:tcW w:w="735" w:type="dxa"/>
            <w:vMerge w:val="restart"/>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795"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到位率</w:t>
            </w:r>
          </w:p>
        </w:tc>
        <w:tc>
          <w:tcPr>
            <w:tcW w:w="822"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148"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实际到位/计划到位×100%</w:t>
            </w:r>
          </w:p>
        </w:tc>
        <w:tc>
          <w:tcPr>
            <w:tcW w:w="2025"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根据项目实际到位资金占计划的比重计算得分（3分）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r>
      <w:tr>
        <w:tblPrEx>
          <w:tblLayout w:type="fixed"/>
          <w:tblCellMar>
            <w:top w:w="0" w:type="dxa"/>
            <w:left w:w="108" w:type="dxa"/>
            <w:bottom w:w="0" w:type="dxa"/>
            <w:right w:w="108" w:type="dxa"/>
          </w:tblCellMar>
        </w:tblPrEx>
        <w:trPr>
          <w:trHeight w:val="619" w:hRule="atLeast"/>
          <w:jc w:val="center"/>
        </w:trPr>
        <w:tc>
          <w:tcPr>
            <w:tcW w:w="723"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35"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95" w:type="dxa"/>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到位时效</w:t>
            </w:r>
          </w:p>
        </w:tc>
        <w:tc>
          <w:tcPr>
            <w:tcW w:w="822"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148"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资金是否及时到位；若未及时到位，是否影响项目进度</w:t>
            </w:r>
          </w:p>
        </w:tc>
        <w:tc>
          <w:tcPr>
            <w:tcW w:w="2025"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及时到位（2分），未及时到位但未影响项目进度（1.5分），未及时到位并影响项目进度（0-1分）。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r>
      <w:tr>
        <w:tblPrEx>
          <w:tblLayout w:type="fixed"/>
          <w:tblCellMar>
            <w:top w:w="0" w:type="dxa"/>
            <w:left w:w="108" w:type="dxa"/>
            <w:bottom w:w="0" w:type="dxa"/>
            <w:right w:w="108" w:type="dxa"/>
          </w:tblCellMar>
        </w:tblPrEx>
        <w:trPr>
          <w:trHeight w:val="370"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资金管理</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资金使用</w:t>
            </w:r>
          </w:p>
        </w:tc>
        <w:tc>
          <w:tcPr>
            <w:tcW w:w="822"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2148"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是否存在支出依据不合规、虚列项目支出的情况；是否存在截留、挤占、挪用项目资金情况；是否存在超标准开支情况</w:t>
            </w:r>
          </w:p>
        </w:tc>
        <w:tc>
          <w:tcPr>
            <w:tcW w:w="2025"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虚列（套取）扣4-7分，支出依据不合规扣1分，截留、挤占、挪用扣3-6分，超标准开支扣2-5分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r>
      <w:tr>
        <w:tblPrEx>
          <w:tblLayout w:type="fixed"/>
          <w:tblCellMar>
            <w:top w:w="0" w:type="dxa"/>
            <w:left w:w="108" w:type="dxa"/>
            <w:bottom w:w="0" w:type="dxa"/>
            <w:right w:w="108" w:type="dxa"/>
          </w:tblCellMar>
        </w:tblPrEx>
        <w:trPr>
          <w:trHeight w:val="644"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财务管理</w:t>
            </w:r>
          </w:p>
        </w:tc>
        <w:tc>
          <w:tcPr>
            <w:tcW w:w="822" w:type="dxa"/>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148"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资金管理、费用支出等制度是否健全，是否严格执行；会计核算是否规范</w:t>
            </w:r>
          </w:p>
        </w:tc>
        <w:tc>
          <w:tcPr>
            <w:tcW w:w="2025" w:type="dxa"/>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财务制度健全（1分），严格执行制度（1分），会计核算规范（1分）。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r>
      <w:tr>
        <w:tblPrEx>
          <w:tblLayout w:type="fixed"/>
          <w:tblCellMar>
            <w:top w:w="0" w:type="dxa"/>
            <w:left w:w="108" w:type="dxa"/>
            <w:bottom w:w="0" w:type="dxa"/>
            <w:right w:w="108" w:type="dxa"/>
          </w:tblCellMar>
        </w:tblPrEx>
        <w:trPr>
          <w:trHeight w:val="376"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组织实施</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组织机构</w:t>
            </w:r>
          </w:p>
        </w:tc>
        <w:tc>
          <w:tcPr>
            <w:tcW w:w="8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148" w:type="dxa"/>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机构是否健全、分工是否明确</w:t>
            </w:r>
          </w:p>
        </w:tc>
        <w:tc>
          <w:tcPr>
            <w:tcW w:w="2025"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机构健全、分工明确（1分）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r>
      <w:tr>
        <w:tblPrEx>
          <w:tblLayout w:type="fixed"/>
          <w:tblCellMar>
            <w:top w:w="0" w:type="dxa"/>
            <w:left w:w="108" w:type="dxa"/>
            <w:bottom w:w="0" w:type="dxa"/>
            <w:right w:w="108" w:type="dxa"/>
          </w:tblCellMar>
        </w:tblPrEx>
        <w:trPr>
          <w:trHeight w:val="585"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管理制度</w:t>
            </w:r>
          </w:p>
        </w:tc>
        <w:tc>
          <w:tcPr>
            <w:tcW w:w="8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是否建立健全项目管理制度；是否严格执行相关项目管理制度</w:t>
            </w:r>
          </w:p>
        </w:tc>
        <w:tc>
          <w:tcPr>
            <w:tcW w:w="2025" w:type="dxa"/>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建立健全项目管理制度（2分）；严格执行相关项目管理制度（7分）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r>
      <w:tr>
        <w:tblPrEx>
          <w:tblLayout w:type="fixed"/>
          <w:tblCellMar>
            <w:top w:w="0" w:type="dxa"/>
            <w:left w:w="108" w:type="dxa"/>
            <w:bottom w:w="0" w:type="dxa"/>
            <w:right w:w="108" w:type="dxa"/>
          </w:tblCellMar>
        </w:tblPrEx>
        <w:trPr>
          <w:trHeight w:val="313" w:hRule="atLeast"/>
          <w:jc w:val="center"/>
        </w:trPr>
        <w:tc>
          <w:tcPr>
            <w:tcW w:w="723"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项目绩效</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55</w:t>
            </w:r>
          </w:p>
        </w:tc>
        <w:tc>
          <w:tcPr>
            <w:tcW w:w="45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项目产出</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产出数量</w:t>
            </w:r>
          </w:p>
        </w:tc>
        <w:tc>
          <w:tcPr>
            <w:tcW w:w="8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148" w:type="dxa"/>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项目产出数量是否达到绩效目标</w:t>
            </w:r>
          </w:p>
        </w:tc>
        <w:tc>
          <w:tcPr>
            <w:tcW w:w="2025" w:type="dxa"/>
            <w:tcBorders>
              <w:top w:val="single" w:color="000000"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对照年初或调整后的绩效目标评价产出数量（按优5分、良3分、中2分、差1分进行评分）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r>
      <w:tr>
        <w:tblPrEx>
          <w:tblLayout w:type="fixed"/>
          <w:tblCellMar>
            <w:top w:w="0" w:type="dxa"/>
            <w:left w:w="108" w:type="dxa"/>
            <w:bottom w:w="0" w:type="dxa"/>
            <w:right w:w="108" w:type="dxa"/>
          </w:tblCellMar>
        </w:tblPrEx>
        <w:trPr>
          <w:trHeight w:val="2012"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产出质量</w:t>
            </w:r>
          </w:p>
        </w:tc>
        <w:tc>
          <w:tcPr>
            <w:tcW w:w="8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148" w:type="dxa"/>
            <w:tcBorders>
              <w:top w:val="single" w:color="000000" w:sz="4" w:space="0"/>
              <w:left w:val="single" w:color="auto"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项目产出质量是否达到绩效目标</w:t>
            </w:r>
          </w:p>
        </w:tc>
        <w:tc>
          <w:tcPr>
            <w:tcW w:w="2025" w:type="dxa"/>
            <w:tcBorders>
              <w:top w:val="single" w:color="000000" w:sz="4" w:space="0"/>
              <w:left w:val="single" w:color="000000"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对照年初或调整后的绩效目标评价产出质量（按优4分、良3分、中2分、差1分进行评分）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r>
      <w:tr>
        <w:tblPrEx>
          <w:tblLayout w:type="fixed"/>
          <w:tblCellMar>
            <w:top w:w="0" w:type="dxa"/>
            <w:left w:w="108" w:type="dxa"/>
            <w:bottom w:w="0" w:type="dxa"/>
            <w:right w:w="108" w:type="dxa"/>
          </w:tblCellMar>
        </w:tblPrEx>
        <w:trPr>
          <w:trHeight w:val="2009" w:hRule="atLeast"/>
          <w:jc w:val="center"/>
        </w:trPr>
        <w:tc>
          <w:tcPr>
            <w:tcW w:w="723"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95" w:type="dxa"/>
            <w:tcBorders>
              <w:top w:val="single" w:color="auto" w:sz="4" w:space="0"/>
              <w:left w:val="single" w:color="auto"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产出时效</w:t>
            </w:r>
          </w:p>
        </w:tc>
        <w:tc>
          <w:tcPr>
            <w:tcW w:w="822" w:type="dxa"/>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项目产出时效是否达到绩效目标</w:t>
            </w:r>
          </w:p>
        </w:tc>
        <w:tc>
          <w:tcPr>
            <w:tcW w:w="2025" w:type="dxa"/>
            <w:tcBorders>
              <w:top w:val="single" w:color="000000" w:sz="4" w:space="0"/>
              <w:left w:val="single" w:color="000000" w:sz="4" w:space="0"/>
              <w:bottom w:val="single" w:color="000000" w:sz="4" w:space="0"/>
              <w:right w:val="single" w:color="auto" w:sz="4" w:space="0"/>
            </w:tcBorders>
            <w:noWrap w:val="0"/>
            <w:vAlign w:val="center"/>
          </w:tcPr>
          <w:p>
            <w:pPr>
              <w:rPr>
                <w:rFonts w:hint="default" w:ascii="Times New Roman" w:hAnsi="Times New Roman" w:cs="Times New Roman"/>
              </w:rPr>
            </w:pPr>
            <w:r>
              <w:rPr>
                <w:rFonts w:hint="default" w:ascii="Times New Roman" w:hAnsi="Times New Roman" w:cs="Times New Roman"/>
              </w:rPr>
              <w:t>对照年初或调整后的绩效目标评价产出时效（按优3分、良2分、中1分、差0分进行评分）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r>
      <w:tr>
        <w:tblPrEx>
          <w:tblLayout w:type="fixed"/>
          <w:tblCellMar>
            <w:top w:w="0" w:type="dxa"/>
            <w:left w:w="108" w:type="dxa"/>
            <w:bottom w:w="0" w:type="dxa"/>
            <w:right w:w="108" w:type="dxa"/>
          </w:tblCellMar>
        </w:tblPrEx>
        <w:trPr>
          <w:trHeight w:val="376" w:hRule="atLeast"/>
          <w:jc w:val="center"/>
        </w:trPr>
        <w:tc>
          <w:tcPr>
            <w:tcW w:w="723"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95" w:type="dxa"/>
            <w:tcBorders>
              <w:top w:val="single" w:color="000000" w:sz="4" w:space="0"/>
              <w:left w:val="single" w:color="auto"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产出成本</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项目产出成本是否按绩效目标控制</w:t>
            </w:r>
          </w:p>
        </w:tc>
        <w:tc>
          <w:tcPr>
            <w:tcW w:w="2025" w:type="dxa"/>
            <w:tcBorders>
              <w:top w:val="single" w:color="000000" w:sz="4" w:space="0"/>
              <w:left w:val="single" w:color="000000"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对照年初或调整后的绩效目标评价产出成本（按优3分、良2分、中1分、差0分进行评分）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r>
      <w:tr>
        <w:tblPrEx>
          <w:tblLayout w:type="fixed"/>
          <w:tblCellMar>
            <w:top w:w="0" w:type="dxa"/>
            <w:left w:w="108" w:type="dxa"/>
            <w:bottom w:w="0" w:type="dxa"/>
            <w:right w:w="108" w:type="dxa"/>
          </w:tblCellMar>
        </w:tblPrEx>
        <w:trPr>
          <w:trHeight w:val="428" w:hRule="atLeast"/>
          <w:jc w:val="center"/>
        </w:trPr>
        <w:tc>
          <w:tcPr>
            <w:tcW w:w="723"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restart"/>
            <w:tcBorders>
              <w:top w:val="single" w:color="auto" w:sz="4" w:space="0"/>
              <w:left w:val="single" w:color="auto" w:sz="4" w:space="0"/>
              <w:bottom w:val="single" w:color="auto"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项目效果</w:t>
            </w:r>
          </w:p>
        </w:tc>
        <w:tc>
          <w:tcPr>
            <w:tcW w:w="735" w:type="dxa"/>
            <w:vMerge w:val="restart"/>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经济效益</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项目实施是否产生直接或间接经济效益</w:t>
            </w:r>
          </w:p>
        </w:tc>
        <w:tc>
          <w:tcPr>
            <w:tcW w:w="2025" w:type="dxa"/>
            <w:tcBorders>
              <w:top w:val="single" w:color="000000" w:sz="4" w:space="0"/>
              <w:left w:val="single" w:color="000000"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对照年初或调整后的绩效目标评价经济效益（8分）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r>
      <w:tr>
        <w:tblPrEx>
          <w:tblLayout w:type="fixed"/>
          <w:tblCellMar>
            <w:top w:w="0" w:type="dxa"/>
            <w:left w:w="108" w:type="dxa"/>
            <w:bottom w:w="0" w:type="dxa"/>
            <w:right w:w="108" w:type="dxa"/>
          </w:tblCellMar>
        </w:tblPrEx>
        <w:trPr>
          <w:trHeight w:val="397" w:hRule="atLeast"/>
          <w:jc w:val="center"/>
        </w:trPr>
        <w:tc>
          <w:tcPr>
            <w:tcW w:w="723"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continue"/>
            <w:tcBorders>
              <w:top w:val="single" w:color="auto" w:sz="4" w:space="0"/>
              <w:left w:val="single" w:color="auto" w:sz="4" w:space="0"/>
              <w:bottom w:val="single" w:color="auto" w:sz="4" w:space="0"/>
              <w:right w:val="single" w:color="000000" w:sz="4" w:space="0"/>
            </w:tcBorders>
            <w:noWrap w:val="0"/>
            <w:vAlign w:val="center"/>
          </w:tcPr>
          <w:p>
            <w:pPr>
              <w:rPr>
                <w:rFonts w:hint="default" w:ascii="Times New Roman" w:hAnsi="Times New Roman" w:eastAsia="仿宋_GB2312" w:cs="Times New Roman"/>
                <w:sz w:val="24"/>
                <w:szCs w:val="24"/>
              </w:rPr>
            </w:pPr>
          </w:p>
        </w:tc>
        <w:tc>
          <w:tcPr>
            <w:tcW w:w="73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社会效益</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项目实施是否产生社会综合效益</w:t>
            </w:r>
          </w:p>
        </w:tc>
        <w:tc>
          <w:tcPr>
            <w:tcW w:w="2025" w:type="dxa"/>
            <w:tcBorders>
              <w:top w:val="single" w:color="000000" w:sz="4" w:space="0"/>
              <w:left w:val="single" w:color="000000"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对照年初或调整后申报的绩效目标评价社会效益（8分）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r>
      <w:tr>
        <w:tblPrEx>
          <w:tblLayout w:type="fixed"/>
          <w:tblCellMar>
            <w:top w:w="0" w:type="dxa"/>
            <w:left w:w="108" w:type="dxa"/>
            <w:bottom w:w="0" w:type="dxa"/>
            <w:right w:w="108" w:type="dxa"/>
          </w:tblCellMar>
        </w:tblPrEx>
        <w:trPr>
          <w:trHeight w:val="438" w:hRule="atLeast"/>
          <w:jc w:val="center"/>
        </w:trPr>
        <w:tc>
          <w:tcPr>
            <w:tcW w:w="723"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continue"/>
            <w:tcBorders>
              <w:top w:val="single" w:color="auto" w:sz="4" w:space="0"/>
              <w:left w:val="single" w:color="auto" w:sz="4" w:space="0"/>
              <w:bottom w:val="single" w:color="auto" w:sz="4" w:space="0"/>
              <w:right w:val="single" w:color="000000" w:sz="4" w:space="0"/>
            </w:tcBorders>
            <w:noWrap w:val="0"/>
            <w:vAlign w:val="center"/>
          </w:tcPr>
          <w:p>
            <w:pPr>
              <w:rPr>
                <w:rFonts w:hint="default" w:ascii="Times New Roman" w:hAnsi="Times New Roman" w:eastAsia="仿宋_GB2312" w:cs="Times New Roman"/>
                <w:sz w:val="24"/>
                <w:szCs w:val="24"/>
              </w:rPr>
            </w:pPr>
          </w:p>
        </w:tc>
        <w:tc>
          <w:tcPr>
            <w:tcW w:w="73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环境效益</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项目实施是否对环境产生积极或消极影响</w:t>
            </w:r>
          </w:p>
        </w:tc>
        <w:tc>
          <w:tcPr>
            <w:tcW w:w="2025" w:type="dxa"/>
            <w:tcBorders>
              <w:top w:val="single" w:color="000000" w:sz="4" w:space="0"/>
              <w:left w:val="single" w:color="000000"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对照年初或调整后申报的绩效目标评价环境效益（8分）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r>
      <w:tr>
        <w:tblPrEx>
          <w:tblLayout w:type="fixed"/>
          <w:tblCellMar>
            <w:top w:w="0" w:type="dxa"/>
            <w:left w:w="108" w:type="dxa"/>
            <w:bottom w:w="0" w:type="dxa"/>
            <w:right w:w="108" w:type="dxa"/>
          </w:tblCellMar>
        </w:tblPrEx>
        <w:trPr>
          <w:trHeight w:val="417" w:hRule="atLeast"/>
          <w:jc w:val="center"/>
        </w:trPr>
        <w:tc>
          <w:tcPr>
            <w:tcW w:w="723"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continue"/>
            <w:tcBorders>
              <w:top w:val="single" w:color="auto" w:sz="4" w:space="0"/>
              <w:left w:val="single" w:color="auto" w:sz="4" w:space="0"/>
              <w:bottom w:val="single" w:color="auto" w:sz="4" w:space="0"/>
              <w:right w:val="single" w:color="000000" w:sz="4" w:space="0"/>
            </w:tcBorders>
            <w:noWrap w:val="0"/>
            <w:vAlign w:val="center"/>
          </w:tcPr>
          <w:p>
            <w:pPr>
              <w:rPr>
                <w:rFonts w:hint="default" w:ascii="Times New Roman" w:hAnsi="Times New Roman" w:eastAsia="仿宋_GB2312" w:cs="Times New Roman"/>
                <w:sz w:val="24"/>
                <w:szCs w:val="24"/>
              </w:rPr>
            </w:pPr>
          </w:p>
        </w:tc>
        <w:tc>
          <w:tcPr>
            <w:tcW w:w="73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可持续影响</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项目实施对人、自然、资源是否带来可持续影响</w:t>
            </w:r>
          </w:p>
        </w:tc>
        <w:tc>
          <w:tcPr>
            <w:tcW w:w="2025" w:type="dxa"/>
            <w:tcBorders>
              <w:top w:val="single" w:color="000000" w:sz="4" w:space="0"/>
              <w:left w:val="single" w:color="000000"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对照年初或调整后申报的绩效目标评价可持续影响（8分）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r>
      <w:tr>
        <w:tblPrEx>
          <w:tblLayout w:type="fixed"/>
          <w:tblCellMar>
            <w:top w:w="0" w:type="dxa"/>
            <w:left w:w="108" w:type="dxa"/>
            <w:bottom w:w="0" w:type="dxa"/>
            <w:right w:w="108" w:type="dxa"/>
          </w:tblCellMar>
        </w:tblPrEx>
        <w:trPr>
          <w:trHeight w:val="397" w:hRule="atLeast"/>
          <w:jc w:val="center"/>
        </w:trPr>
        <w:tc>
          <w:tcPr>
            <w:tcW w:w="723"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690"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450" w:type="dxa"/>
            <w:vMerge w:val="continue"/>
            <w:tcBorders>
              <w:top w:val="single" w:color="auto" w:sz="4" w:space="0"/>
              <w:left w:val="single" w:color="auto" w:sz="4" w:space="0"/>
              <w:bottom w:val="single" w:color="auto" w:sz="4" w:space="0"/>
              <w:right w:val="single" w:color="000000" w:sz="4" w:space="0"/>
            </w:tcBorders>
            <w:noWrap w:val="0"/>
            <w:vAlign w:val="center"/>
          </w:tcPr>
          <w:p>
            <w:pPr>
              <w:rPr>
                <w:rFonts w:hint="default" w:ascii="Times New Roman" w:hAnsi="Times New Roman" w:eastAsia="仿宋_GB2312" w:cs="Times New Roman"/>
                <w:sz w:val="24"/>
                <w:szCs w:val="24"/>
              </w:rPr>
            </w:pPr>
          </w:p>
        </w:tc>
        <w:tc>
          <w:tcPr>
            <w:tcW w:w="735"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sz w:val="24"/>
                <w:szCs w:val="24"/>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服务对象</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满意度</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项目预期服务对象对项目实施的满意程度</w:t>
            </w:r>
          </w:p>
        </w:tc>
        <w:tc>
          <w:tcPr>
            <w:tcW w:w="2025" w:type="dxa"/>
            <w:tcBorders>
              <w:top w:val="single" w:color="000000" w:sz="4" w:space="0"/>
              <w:left w:val="single" w:color="000000"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对照年初或调整后申报的绩效目标评价服务对象满意度（8分）</w:t>
            </w: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r>
      <w:tr>
        <w:tblPrEx>
          <w:tblLayout w:type="fixed"/>
          <w:tblCellMar>
            <w:top w:w="0" w:type="dxa"/>
            <w:left w:w="108" w:type="dxa"/>
            <w:bottom w:w="0" w:type="dxa"/>
            <w:right w:w="108" w:type="dxa"/>
          </w:tblCellMar>
        </w:tblPrEx>
        <w:trPr>
          <w:trHeight w:val="447" w:hRule="atLeast"/>
          <w:jc w:val="center"/>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450" w:type="dxa"/>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sz w:val="24"/>
                <w:szCs w:val="24"/>
              </w:rPr>
            </w:pPr>
          </w:p>
        </w:tc>
        <w:tc>
          <w:tcPr>
            <w:tcW w:w="735" w:type="dxa"/>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sz w:val="24"/>
                <w:szCs w:val="24"/>
              </w:rPr>
            </w:pPr>
          </w:p>
        </w:tc>
        <w:tc>
          <w:tcPr>
            <w:tcW w:w="2025" w:type="dxa"/>
            <w:tcBorders>
              <w:top w:val="single" w:color="000000" w:sz="4" w:space="0"/>
              <w:left w:val="single" w:color="000000"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90</w:t>
            </w:r>
          </w:p>
        </w:tc>
      </w:tr>
    </w:tbl>
    <w:p>
      <w:pPr>
        <w:numPr>
          <w:ilvl w:val="0"/>
          <w:numId w:val="3"/>
        </w:numPr>
        <w:ind w:left="0" w:leftChars="0" w:firstLine="640" w:firstLineChars="200"/>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存在的问题。</w:t>
      </w:r>
    </w:p>
    <w:p>
      <w:pPr>
        <w:numPr>
          <w:ilvl w:val="0"/>
          <w:numId w:val="0"/>
        </w:numPr>
        <w:ind w:leftChars="200" w:firstLine="320" w:firstLineChars="1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无</w:t>
      </w:r>
    </w:p>
    <w:p>
      <w:pPr>
        <w:numPr>
          <w:ilvl w:val="0"/>
          <w:numId w:val="0"/>
        </w:numPr>
        <w:ind w:leftChars="200"/>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zh-CN"/>
        </w:rPr>
        <w:t>）相关建议。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无</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jc w:val="center"/>
        <w:rPr>
          <w:rFonts w:hint="default" w:ascii="Times New Roman" w:hAnsi="Times New Roman" w:eastAsia="方正小标宋_GBK" w:cs="Times New Roman"/>
          <w:sz w:val="44"/>
          <w:szCs w:val="44"/>
        </w:rPr>
      </w:pPr>
      <w:bookmarkStart w:id="57" w:name="_Toc15396618"/>
      <w:r>
        <w:rPr>
          <w:rFonts w:hint="default" w:ascii="Times New Roman" w:hAnsi="Times New Roman" w:eastAsia="方正小标宋_GBK" w:cs="Times New Roman"/>
          <w:sz w:val="44"/>
          <w:szCs w:val="44"/>
        </w:rPr>
        <w:t>第五部分 附表</w:t>
      </w:r>
      <w:bookmarkEnd w:id="55"/>
      <w:bookmarkEnd w:id="57"/>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bookmarkStart w:id="58" w:name="_Toc15396619"/>
      <w:r>
        <w:rPr>
          <w:rFonts w:hint="default" w:ascii="Times New Roman" w:hAnsi="Times New Roman" w:eastAsia="仿宋_GB2312" w:cs="Times New Roman"/>
          <w:sz w:val="32"/>
          <w:szCs w:val="32"/>
        </w:rPr>
        <w:t>一、收入支出决算总表</w:t>
      </w:r>
      <w:bookmarkEnd w:id="58"/>
    </w:p>
    <w:p>
      <w:pPr>
        <w:rPr>
          <w:rFonts w:hint="default" w:ascii="Times New Roman" w:hAnsi="Times New Roman" w:eastAsia="仿宋_GB2312" w:cs="Times New Roman"/>
          <w:sz w:val="32"/>
          <w:szCs w:val="32"/>
        </w:rPr>
      </w:pPr>
      <w:bookmarkStart w:id="59" w:name="_Toc15396620"/>
      <w:r>
        <w:rPr>
          <w:rFonts w:hint="default" w:ascii="Times New Roman" w:hAnsi="Times New Roman" w:eastAsia="仿宋_GB2312" w:cs="Times New Roman"/>
          <w:sz w:val="32"/>
          <w:szCs w:val="32"/>
        </w:rPr>
        <w:t>二、收入决算表</w:t>
      </w:r>
      <w:bookmarkEnd w:id="59"/>
    </w:p>
    <w:p>
      <w:pPr>
        <w:rPr>
          <w:rFonts w:hint="default" w:ascii="Times New Roman" w:hAnsi="Times New Roman" w:eastAsia="仿宋_GB2312" w:cs="Times New Roman"/>
          <w:sz w:val="32"/>
          <w:szCs w:val="32"/>
        </w:rPr>
      </w:pPr>
      <w:bookmarkStart w:id="60" w:name="_Toc15396621"/>
      <w:r>
        <w:rPr>
          <w:rFonts w:hint="default" w:ascii="Times New Roman" w:hAnsi="Times New Roman" w:eastAsia="仿宋_GB2312" w:cs="Times New Roman"/>
          <w:sz w:val="32"/>
          <w:szCs w:val="32"/>
        </w:rPr>
        <w:t>三、支出决算表</w:t>
      </w:r>
      <w:bookmarkEnd w:id="60"/>
    </w:p>
    <w:p>
      <w:pPr>
        <w:rPr>
          <w:rFonts w:hint="default" w:ascii="Times New Roman" w:hAnsi="Times New Roman" w:eastAsia="仿宋_GB2312" w:cs="Times New Roman"/>
          <w:sz w:val="32"/>
          <w:szCs w:val="32"/>
        </w:rPr>
      </w:pPr>
      <w:bookmarkStart w:id="61" w:name="_Toc15396622"/>
      <w:r>
        <w:rPr>
          <w:rFonts w:hint="default" w:ascii="Times New Roman" w:hAnsi="Times New Roman" w:eastAsia="仿宋_GB2312" w:cs="Times New Roman"/>
          <w:sz w:val="32"/>
          <w:szCs w:val="32"/>
        </w:rPr>
        <w:t>四、财政拨款收入支出决算总表</w:t>
      </w:r>
      <w:bookmarkEnd w:id="61"/>
    </w:p>
    <w:p>
      <w:pPr>
        <w:rPr>
          <w:rFonts w:hint="default" w:ascii="Times New Roman" w:hAnsi="Times New Roman" w:eastAsia="仿宋_GB2312" w:cs="Times New Roman"/>
          <w:sz w:val="32"/>
          <w:szCs w:val="32"/>
        </w:rPr>
      </w:pPr>
      <w:bookmarkStart w:id="62" w:name="_Toc15396623"/>
      <w:r>
        <w:rPr>
          <w:rFonts w:hint="default" w:ascii="Times New Roman" w:hAnsi="Times New Roman" w:eastAsia="仿宋_GB2312" w:cs="Times New Roman"/>
          <w:sz w:val="32"/>
          <w:szCs w:val="32"/>
        </w:rPr>
        <w:t>五、财政拨款支出决算明细表</w:t>
      </w:r>
      <w:bookmarkEnd w:id="62"/>
      <w:bookmarkStart w:id="63" w:name="_Toc15396624"/>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六、一般公共预算财政拨款支出决算表</w:t>
      </w:r>
      <w:bookmarkEnd w:id="63"/>
    </w:p>
    <w:p>
      <w:pPr>
        <w:rPr>
          <w:rFonts w:hint="default" w:ascii="Times New Roman" w:hAnsi="Times New Roman" w:eastAsia="仿宋_GB2312" w:cs="Times New Roman"/>
          <w:sz w:val="32"/>
          <w:szCs w:val="32"/>
        </w:rPr>
      </w:pPr>
      <w:bookmarkStart w:id="64" w:name="_Toc15396625"/>
      <w:r>
        <w:rPr>
          <w:rFonts w:hint="default" w:ascii="Times New Roman" w:hAnsi="Times New Roman" w:eastAsia="仿宋_GB2312" w:cs="Times New Roman"/>
          <w:sz w:val="32"/>
          <w:szCs w:val="32"/>
        </w:rPr>
        <w:t>七、一般公共预算财政拨款支出决算明细表</w:t>
      </w:r>
      <w:bookmarkEnd w:id="64"/>
    </w:p>
    <w:p>
      <w:pPr>
        <w:rPr>
          <w:rFonts w:hint="default" w:ascii="Times New Roman" w:hAnsi="Times New Roman" w:eastAsia="仿宋_GB2312" w:cs="Times New Roman"/>
          <w:sz w:val="32"/>
          <w:szCs w:val="32"/>
        </w:rPr>
      </w:pPr>
      <w:bookmarkStart w:id="65" w:name="_Toc15396626"/>
      <w:r>
        <w:rPr>
          <w:rFonts w:hint="default" w:ascii="Times New Roman" w:hAnsi="Times New Roman" w:eastAsia="仿宋_GB2312" w:cs="Times New Roman"/>
          <w:sz w:val="32"/>
          <w:szCs w:val="32"/>
        </w:rPr>
        <w:t>八、一般公共预算财政拨款基本支出决算表</w:t>
      </w:r>
      <w:bookmarkEnd w:id="65"/>
    </w:p>
    <w:p>
      <w:pPr>
        <w:rPr>
          <w:rFonts w:hint="default" w:ascii="Times New Roman" w:hAnsi="Times New Roman" w:eastAsia="仿宋_GB2312" w:cs="Times New Roman"/>
          <w:sz w:val="32"/>
          <w:szCs w:val="32"/>
        </w:rPr>
      </w:pPr>
      <w:bookmarkStart w:id="66" w:name="_Toc15396627"/>
      <w:r>
        <w:rPr>
          <w:rFonts w:hint="default" w:ascii="Times New Roman" w:hAnsi="Times New Roman" w:eastAsia="仿宋_GB2312" w:cs="Times New Roman"/>
          <w:sz w:val="32"/>
          <w:szCs w:val="32"/>
        </w:rPr>
        <w:t>九、一般公共预算财政拨款项目支出决算表</w:t>
      </w:r>
      <w:bookmarkEnd w:id="66"/>
    </w:p>
    <w:p>
      <w:pPr>
        <w:rPr>
          <w:rFonts w:hint="default" w:ascii="Times New Roman" w:hAnsi="Times New Roman" w:eastAsia="仿宋_GB2312" w:cs="Times New Roman"/>
          <w:sz w:val="32"/>
          <w:szCs w:val="32"/>
        </w:rPr>
      </w:pPr>
      <w:bookmarkStart w:id="67" w:name="_Toc15396628"/>
      <w:r>
        <w:rPr>
          <w:rFonts w:hint="default" w:ascii="Times New Roman" w:hAnsi="Times New Roman" w:eastAsia="仿宋_GB2312" w:cs="Times New Roman"/>
          <w:sz w:val="32"/>
          <w:szCs w:val="32"/>
        </w:rPr>
        <w:t>十、一般公共预算财政拨款“三公”经费支出决算表</w:t>
      </w:r>
      <w:bookmarkEnd w:id="67"/>
    </w:p>
    <w:p>
      <w:pPr>
        <w:rPr>
          <w:rFonts w:hint="default" w:ascii="Times New Roman" w:hAnsi="Times New Roman" w:eastAsia="仿宋_GB2312" w:cs="Times New Roman"/>
          <w:sz w:val="32"/>
          <w:szCs w:val="32"/>
        </w:rPr>
      </w:pPr>
      <w:bookmarkStart w:id="68" w:name="_Toc15396629"/>
      <w:r>
        <w:rPr>
          <w:rFonts w:hint="default" w:ascii="Times New Roman" w:hAnsi="Times New Roman" w:eastAsia="仿宋_GB2312" w:cs="Times New Roman"/>
          <w:sz w:val="32"/>
          <w:szCs w:val="32"/>
        </w:rPr>
        <w:t>十一、政府性基金预算财政拨款收入支出决算表</w:t>
      </w:r>
      <w:bookmarkEnd w:id="68"/>
    </w:p>
    <w:p>
      <w:pPr>
        <w:rPr>
          <w:rFonts w:hint="default" w:ascii="Times New Roman" w:hAnsi="Times New Roman" w:eastAsia="仿宋_GB2312" w:cs="Times New Roman"/>
          <w:sz w:val="32"/>
          <w:szCs w:val="32"/>
        </w:rPr>
      </w:pPr>
      <w:bookmarkStart w:id="69" w:name="_Toc15396630"/>
      <w:r>
        <w:rPr>
          <w:rFonts w:hint="default" w:ascii="Times New Roman" w:hAnsi="Times New Roman" w:eastAsia="仿宋_GB2312" w:cs="Times New Roman"/>
          <w:sz w:val="32"/>
          <w:szCs w:val="32"/>
        </w:rPr>
        <w:t>十二、政府性基金预算财政拨款“三公”经费支出决算表</w:t>
      </w:r>
      <w:bookmarkEnd w:id="69"/>
    </w:p>
    <w:p>
      <w:pPr>
        <w:rPr>
          <w:rFonts w:hint="default" w:ascii="Times New Roman" w:hAnsi="Times New Roman" w:eastAsia="仿宋_GB2312" w:cs="Times New Roman"/>
          <w:sz w:val="32"/>
          <w:szCs w:val="32"/>
        </w:rPr>
      </w:pPr>
      <w:bookmarkStart w:id="70" w:name="_Toc15396631"/>
      <w:r>
        <w:rPr>
          <w:rFonts w:hint="default" w:ascii="Times New Roman" w:hAnsi="Times New Roman" w:eastAsia="仿宋_GB2312" w:cs="Times New Roman"/>
          <w:sz w:val="32"/>
          <w:szCs w:val="32"/>
        </w:rPr>
        <w:t>十三、国有资本经营预算财政拨款支出决算表</w:t>
      </w:r>
      <w:bookmarkEnd w:id="70"/>
    </w:p>
    <w:p>
      <w:pPr>
        <w:pStyle w:val="2"/>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1417"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3BC49"/>
    <w:multiLevelType w:val="singleLevel"/>
    <w:tmpl w:val="96B3BC49"/>
    <w:lvl w:ilvl="0" w:tentative="0">
      <w:start w:val="2"/>
      <w:numFmt w:val="chineseCounting"/>
      <w:suff w:val="nothing"/>
      <w:lvlText w:val="%1、"/>
      <w:lvlJc w:val="left"/>
      <w:rPr>
        <w:rFonts w:hint="eastAsia"/>
      </w:rPr>
    </w:lvl>
  </w:abstractNum>
  <w:abstractNum w:abstractNumId="1">
    <w:nsid w:val="105EB638"/>
    <w:multiLevelType w:val="singleLevel"/>
    <w:tmpl w:val="105EB638"/>
    <w:lvl w:ilvl="0" w:tentative="0">
      <w:start w:val="2"/>
      <w:numFmt w:val="chineseCounting"/>
      <w:suff w:val="nothing"/>
      <w:lvlText w:val="（%1）"/>
      <w:lvlJc w:val="left"/>
      <w:rPr>
        <w:rFonts w:hint="eastAsia"/>
      </w:rPr>
    </w:lvl>
  </w:abstractNum>
  <w:abstractNum w:abstractNumId="2">
    <w:nsid w:val="4B2360EA"/>
    <w:multiLevelType w:val="singleLevel"/>
    <w:tmpl w:val="4B2360EA"/>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MTQ4NmUzMDhmNDA1MjQxMjllOWQyMmVjOWFiOTEifQ=="/>
  </w:docVars>
  <w:rsids>
    <w:rsidRoot w:val="3BEB4F1E"/>
    <w:rsid w:val="35511EE2"/>
    <w:rsid w:val="3BEB4F1E"/>
    <w:rsid w:val="3EF458C6"/>
    <w:rsid w:val="6FA5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link w:val="1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13"/>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nhideWhenUsed/>
    <w:qFormat/>
    <w:uiPriority w:val="99"/>
    <w:rPr>
      <w:rFonts w:ascii="Times New Roman" w:hAnsi="Times New Roman"/>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character" w:styleId="11">
    <w:name w:val="Hyperlink"/>
    <w:basedOn w:val="10"/>
    <w:unhideWhenUsed/>
    <w:qFormat/>
    <w:uiPriority w:val="99"/>
    <w:rPr>
      <w:rFonts w:cs="Times New Roman"/>
      <w:color w:val="0000FF"/>
      <w:u w:val="single"/>
    </w:rPr>
  </w:style>
  <w:style w:type="character" w:customStyle="1" w:styleId="12">
    <w:name w:val=" Char Char6"/>
    <w:basedOn w:val="10"/>
    <w:link w:val="3"/>
    <w:qFormat/>
    <w:locked/>
    <w:uiPriority w:val="9"/>
    <w:rPr>
      <w:b/>
      <w:bCs/>
      <w:kern w:val="44"/>
      <w:sz w:val="44"/>
      <w:szCs w:val="44"/>
    </w:rPr>
  </w:style>
  <w:style w:type="character" w:customStyle="1" w:styleId="13">
    <w:name w:val=" Char Char5"/>
    <w:basedOn w:val="10"/>
    <w:link w:val="4"/>
    <w:qFormat/>
    <w:locked/>
    <w:uiPriority w:val="9"/>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收、支决算总计变动图</a:t>
            </a:r>
          </a:p>
          <a:p>
            <a:pPr defTabSz="914400">
              <a:defRPr lang="zh-CN" sz="1400" b="0" i="0" u="none" strike="noStrike" kern="1200" spc="0" baseline="0">
                <a:solidFill>
                  <a:srgbClr val="595959">
                    <a:lumMod val="65000"/>
                    <a:lumOff val="35000"/>
                  </a:srgb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dLbls>
            <c:delete val="1"/>
          </c:dLbls>
          <c:cat>
            <c:strRef>
              <c:f>[工作簿1]Sheet1!$A$9:$A$10</c:f>
              <c:strCache>
                <c:ptCount val="2"/>
                <c:pt idx="0">
                  <c:v>2019年</c:v>
                </c:pt>
                <c:pt idx="1">
                  <c:v>2020年</c:v>
                </c:pt>
              </c:strCache>
            </c:strRef>
          </c:cat>
          <c:val>
            <c:numRef>
              <c:f>[工作簿1]Sheet1!$B$9:$B$10</c:f>
              <c:numCache>
                <c:formatCode>General</c:formatCode>
                <c:ptCount val="2"/>
                <c:pt idx="0">
                  <c:v>3377.9</c:v>
                </c:pt>
                <c:pt idx="1">
                  <c:v>4713.84</c:v>
                </c:pt>
              </c:numCache>
            </c:numRef>
          </c:val>
        </c:ser>
        <c:dLbls>
          <c:showLegendKey val="0"/>
          <c:showVal val="0"/>
          <c:showCatName val="0"/>
          <c:showSerName val="0"/>
          <c:showPercent val="0"/>
          <c:showBubbleSize val="0"/>
        </c:dLbls>
        <c:gapWidth val="150"/>
        <c:overlap val="0"/>
        <c:axId val="555225798"/>
        <c:axId val="521275346"/>
      </c:barChart>
      <c:catAx>
        <c:axId val="555225798"/>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21275346"/>
        <c:crosses val="autoZero"/>
        <c:auto val="1"/>
        <c:lblAlgn val="ctr"/>
        <c:lblOffset val="100"/>
        <c:noMultiLvlLbl val="0"/>
      </c:catAx>
      <c:valAx>
        <c:axId val="521275346"/>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55225798"/>
        <c:crosses val="autoZero"/>
        <c:crossBetween val="between"/>
      </c:valAx>
      <c:dTable>
        <c:showHorzBorder val="1"/>
        <c:showVertBorder val="1"/>
        <c:showOutline val="1"/>
        <c:showKeys val="1"/>
        <c:spPr>
          <a:noFill/>
          <a:ln w="9525" cap="flat" cmpd="sng" algn="ctr">
            <a:solidFill>
              <a:srgbClr val="D9D9D9">
                <a:lumMod val="15000"/>
                <a:lumOff val="85000"/>
              </a:srgbClr>
            </a:solidFill>
            <a:round/>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dTable>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收入决算结构图</a:t>
            </a:r>
          </a:p>
          <a:p>
            <a:pPr defTabSz="914400">
              <a:defRPr lang="zh-CN" sz="1400" b="0" i="0" u="none" strike="noStrike" kern="1200" spc="0" baseline="0">
                <a:solidFill>
                  <a:srgbClr val="595959">
                    <a:lumMod val="65000"/>
                    <a:lumOff val="35000"/>
                  </a:srgbClr>
                </a:solidFill>
                <a:latin typeface="+mn-lt"/>
                <a:ea typeface="+mn-ea"/>
                <a:cs typeface="+mn-cs"/>
              </a:defRPr>
            </a:pPr>
            <a:r>
              <a:t>单位：万元</a:t>
            </a:r>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[工作簿1]Sheet1!$A$29:$A$30</c:f>
              <c:strCache>
                <c:ptCount val="2"/>
                <c:pt idx="0">
                  <c:v>一般公共预算财政拨款收入</c:v>
                </c:pt>
                <c:pt idx="1">
                  <c:v>政府性基金预算财政拨款</c:v>
                </c:pt>
              </c:strCache>
            </c:strRef>
          </c:cat>
          <c:val>
            <c:numRef>
              <c:f>[工作簿1]Sheet1!$B$29:$B$30</c:f>
              <c:numCache>
                <c:formatCode>General</c:formatCode>
                <c:ptCount val="2"/>
                <c:pt idx="0">
                  <c:v>145</c:v>
                </c:pt>
                <c:pt idx="1">
                  <c:v>4500</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0" i="0" u="none" strike="noStrike" kern="1200" spc="0" baseline="0">
                <a:solidFill>
                  <a:srgbClr val="595959">
                    <a:lumMod val="65000"/>
                    <a:lumOff val="35000"/>
                  </a:srgbClr>
                </a:solidFill>
                <a:latin typeface="+mn-lt"/>
                <a:ea typeface="+mn-ea"/>
                <a:cs typeface="+mn-cs"/>
              </a:defRPr>
            </a:pPr>
            <a:r>
              <a:rPr sz="960"/>
              <a:t>支出结算结构图</a:t>
            </a:r>
            <a:endParaRPr sz="960"/>
          </a:p>
          <a:p>
            <a:pPr defTabSz="914400">
              <a:defRPr lang="zh-CN" sz="960" b="0" i="0" u="none" strike="noStrike" kern="1200" spc="0" baseline="0">
                <a:solidFill>
                  <a:srgbClr val="595959">
                    <a:lumMod val="65000"/>
                    <a:lumOff val="35000"/>
                  </a:srgbClr>
                </a:solidFill>
                <a:latin typeface="+mn-lt"/>
                <a:ea typeface="+mn-ea"/>
                <a:cs typeface="+mn-cs"/>
              </a:defRPr>
            </a:pPr>
            <a:r>
              <a:rPr sz="960"/>
              <a:t>单位万元</a:t>
            </a:r>
            <a:endParaRPr sz="960"/>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[工作簿1]Sheet1!$A$9:$A$10</c:f>
              <c:strCache>
                <c:ptCount val="2"/>
                <c:pt idx="0">
                  <c:v>基本支出</c:v>
                </c:pt>
                <c:pt idx="1">
                  <c:v>项目支出</c:v>
                </c:pt>
              </c:strCache>
            </c:strRef>
          </c:cat>
          <c:val>
            <c:numRef>
              <c:f>[工作簿1]Sheet1!$B$9:$B$10</c:f>
              <c:numCache>
                <c:formatCode>General</c:formatCode>
                <c:ptCount val="2"/>
                <c:pt idx="0">
                  <c:v>145.74</c:v>
                </c:pt>
                <c:pt idx="1">
                  <c:v>2977.81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rgbClr val="595959">
                    <a:lumMod val="65000"/>
                    <a:lumOff val="35000"/>
                  </a:srgbClr>
                </a:solidFill>
                <a:latin typeface="+mn-lt"/>
                <a:ea typeface="+mn-ea"/>
                <a:cs typeface="+mn-cs"/>
              </a:defRPr>
            </a:pPr>
          </a:p>
        </c:txPr>
      </c:legendEntry>
      <c:legendEntry>
        <c:idx val="1"/>
        <c:txPr>
          <a:bodyPr rot="0" spcFirstLastPara="0" vertOverflow="ellipsis" vert="horz" wrap="square" anchor="ctr" anchorCtr="1"/>
          <a:lstStyle/>
          <a:p>
            <a:pPr>
              <a:defRPr lang="zh-CN" sz="800" b="0" i="0" u="none" strike="noStrike" kern="1200" baseline="0">
                <a:solidFill>
                  <a:srgbClr val="595959">
                    <a:lumMod val="65000"/>
                    <a:lumOff val="35000"/>
                  </a:srgbClr>
                </a:solidFill>
                <a:latin typeface="+mn-lt"/>
                <a:ea typeface="+mn-ea"/>
                <a:cs typeface="+mn-cs"/>
              </a:defRPr>
            </a:pPr>
          </a:p>
        </c:txPr>
      </c:legendEntry>
      <c:layout>
        <c:manualLayout>
          <c:xMode val="edge"/>
          <c:yMode val="edge"/>
          <c:x val="0.329758713136729"/>
          <c:y val="0.865713289152424"/>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sz="8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财政拨款收、支决算总计</a:t>
            </a:r>
          </a:p>
          <a:p>
            <a:pPr defTabSz="914400">
              <a:defRPr lang="zh-CN" sz="1400" b="0" i="0" u="none" strike="noStrike" kern="1200" spc="0" baseline="0">
                <a:solidFill>
                  <a:srgbClr val="595959">
                    <a:lumMod val="65000"/>
                    <a:lumOff val="35000"/>
                  </a:srgbClr>
                </a:solidFill>
                <a:latin typeface="+mn-lt"/>
                <a:ea typeface="+mn-ea"/>
                <a:cs typeface="+mn-cs"/>
              </a:defRPr>
            </a:pPr>
            <a:r>
              <a:rPr lang="en-US" altLang="zh-CN" sz="1200"/>
              <a:t>                               </a:t>
            </a:r>
            <a:r>
              <a:rPr sz="1200"/>
              <a:t>单位：万元</a:t>
            </a:r>
            <a:endParaRPr sz="1200"/>
          </a:p>
        </c:rich>
      </c:tx>
      <c:layout/>
      <c:overlay val="0"/>
      <c:spPr>
        <a:noFill/>
        <a:ln>
          <a:noFill/>
        </a:ln>
        <a:effectLst/>
      </c:spPr>
    </c:title>
    <c:autoTitleDeleted val="0"/>
    <c:plotArea>
      <c:layout>
        <c:manualLayout>
          <c:layoutTarget val="inner"/>
          <c:xMode val="edge"/>
          <c:yMode val="edge"/>
          <c:x val="0.117880546714098"/>
          <c:y val="0.319444444444444"/>
          <c:w val="0.678973974911065"/>
          <c:h val="0.526666666666667"/>
        </c:manualLayout>
      </c:layout>
      <c:barChart>
        <c:barDir val="col"/>
        <c:grouping val="clustered"/>
        <c:varyColors val="0"/>
        <c:ser>
          <c:idx val="0"/>
          <c:order val="0"/>
          <c:spPr>
            <a:solidFill>
              <a:srgbClr val="4F81BD"/>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[工作簿1]Sheet1!$A$1:$A$2</c:f>
              <c:strCache>
                <c:ptCount val="2"/>
                <c:pt idx="0">
                  <c:v>2019年</c:v>
                </c:pt>
                <c:pt idx="1">
                  <c:v>2020年</c:v>
                </c:pt>
              </c:strCache>
            </c:strRef>
          </c:cat>
          <c:val>
            <c:numRef>
              <c:f>[工作簿1]Sheet1!$B$1:$B$2</c:f>
              <c:numCache>
                <c:formatCode>General</c:formatCode>
                <c:ptCount val="2"/>
                <c:pt idx="0">
                  <c:v>3377.9</c:v>
                </c:pt>
                <c:pt idx="1">
                  <c:v>4713.84</c:v>
                </c:pt>
              </c:numCache>
            </c:numRef>
          </c:val>
        </c:ser>
        <c:dLbls>
          <c:showLegendKey val="0"/>
          <c:showVal val="1"/>
          <c:showCatName val="0"/>
          <c:showSerName val="0"/>
          <c:showPercent val="0"/>
          <c:showBubbleSize val="0"/>
        </c:dLbls>
        <c:gapWidth val="75"/>
        <c:overlap val="40"/>
        <c:axId val="755238133"/>
        <c:axId val="988773156"/>
      </c:barChart>
      <c:catAx>
        <c:axId val="755238133"/>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88773156"/>
        <c:crosses val="autoZero"/>
        <c:auto val="1"/>
        <c:lblAlgn val="ctr"/>
        <c:lblOffset val="100"/>
        <c:noMultiLvlLbl val="0"/>
      </c:catAx>
      <c:valAx>
        <c:axId val="988773156"/>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55238133"/>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一般公共预算财政拨款支出</a:t>
            </a:r>
          </a:p>
          <a:p>
            <a:pPr defTabSz="914400">
              <a:defRPr lang="zh-CN" sz="1400" b="0" i="0" u="none" strike="noStrike" kern="1200" spc="0" baseline="0">
                <a:solidFill>
                  <a:srgbClr val="595959">
                    <a:lumMod val="65000"/>
                    <a:lumOff val="35000"/>
                  </a:srgbClr>
                </a:solidFill>
                <a:latin typeface="+mn-lt"/>
                <a:ea typeface="+mn-ea"/>
                <a:cs typeface="+mn-cs"/>
              </a:defRPr>
            </a:pPr>
            <a:r>
              <a:rPr lang="en-US" altLang="zh-CN"/>
              <a:t>                      </a:t>
            </a:r>
            <a:r>
              <a:rPr altLang="en-US"/>
              <a:t>单位：万元</a:t>
            </a:r>
            <a:endParaRPr altLang="en-US"/>
          </a:p>
        </c:rich>
      </c:tx>
      <c:layout/>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[工作簿1]Sheet1!$A$6:$A$7</c:f>
              <c:strCache>
                <c:ptCount val="2"/>
                <c:pt idx="0">
                  <c:v>2019年</c:v>
                </c:pt>
                <c:pt idx="1">
                  <c:v>2020年</c:v>
                </c:pt>
              </c:strCache>
            </c:strRef>
          </c:cat>
          <c:val>
            <c:numRef>
              <c:f>[工作簿1]Sheet1!$B$6:$B$7</c:f>
              <c:numCache>
                <c:formatCode>General</c:formatCode>
                <c:ptCount val="2"/>
                <c:pt idx="0">
                  <c:v>1049.94</c:v>
                </c:pt>
                <c:pt idx="1">
                  <c:v>151.74</c:v>
                </c:pt>
              </c:numCache>
            </c:numRef>
          </c:val>
        </c:ser>
        <c:dLbls>
          <c:showLegendKey val="0"/>
          <c:showVal val="1"/>
          <c:showCatName val="0"/>
          <c:showSerName val="0"/>
          <c:showPercent val="0"/>
          <c:showBubbleSize val="0"/>
        </c:dLbls>
        <c:gapWidth val="219"/>
        <c:overlap val="-27"/>
        <c:axId val="243337392"/>
        <c:axId val="956867852"/>
      </c:barChart>
      <c:catAx>
        <c:axId val="243337392"/>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6867852"/>
        <c:crosses val="autoZero"/>
        <c:auto val="1"/>
        <c:lblAlgn val="ctr"/>
        <c:lblOffset val="100"/>
        <c:noMultiLvlLbl val="0"/>
      </c:catAx>
      <c:valAx>
        <c:axId val="956867852"/>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43337392"/>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一般公共预算财政拨款支出结算结构图</a:t>
            </a:r>
          </a:p>
          <a:p>
            <a:pPr defTabSz="914400">
              <a:defRPr lang="zh-CN" sz="1400" b="0" i="0" u="none" strike="noStrike" kern="1200" spc="0" baseline="0">
                <a:solidFill>
                  <a:srgbClr val="595959">
                    <a:lumMod val="65000"/>
                    <a:lumOff val="35000"/>
                  </a:srgbClr>
                </a:solidFill>
                <a:latin typeface="+mn-lt"/>
                <a:ea typeface="+mn-ea"/>
                <a:cs typeface="+mn-cs"/>
              </a:defRPr>
            </a:pPr>
            <a:r>
              <a:rPr lang="en-US" altLang="zh-CN"/>
              <a:t>                                                  </a:t>
            </a:r>
            <a:r>
              <a:t>单位：万元</a:t>
            </a:r>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[工作簿1]Sheet1!$A$26:$A$29</c:f>
              <c:strCache>
                <c:ptCount val="4"/>
                <c:pt idx="0">
                  <c:v>社会保障和就业支出</c:v>
                </c:pt>
                <c:pt idx="1">
                  <c:v>卫生健康支出</c:v>
                </c:pt>
                <c:pt idx="2">
                  <c:v>农林水支出</c:v>
                </c:pt>
                <c:pt idx="3">
                  <c:v>住房保障支出</c:v>
                </c:pt>
              </c:strCache>
            </c:strRef>
          </c:cat>
          <c:val>
            <c:numRef>
              <c:f>[工作簿1]Sheet1!$B$26:$B$29</c:f>
              <c:numCache>
                <c:formatCode>General</c:formatCode>
                <c:ptCount val="4"/>
                <c:pt idx="0">
                  <c:v>9.7</c:v>
                </c:pt>
                <c:pt idx="1">
                  <c:v>7.93</c:v>
                </c:pt>
                <c:pt idx="2">
                  <c:v>120.87</c:v>
                </c:pt>
                <c:pt idx="3">
                  <c:v>13.25</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b"/>
      <c:layout>
        <c:manualLayout>
          <c:xMode val="edge"/>
          <c:yMode val="edge"/>
          <c:x val="0.157023795144341"/>
          <c:y val="0.93704474505723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a:t>“</a:t>
            </a:r>
            <a:r>
              <a:rPr altLang="en-US"/>
              <a:t>三公</a:t>
            </a:r>
            <a:r>
              <a:rPr lang="en-US" altLang="zh-CN"/>
              <a:t>”</a:t>
            </a:r>
            <a:r>
              <a:rPr altLang="en-US"/>
              <a:t>经费财政拨款支出结构图</a:t>
            </a:r>
            <a:endParaRPr altLang="en-US"/>
          </a:p>
          <a:p>
            <a:pPr defTabSz="914400">
              <a:defRPr lang="zh-CN" sz="1400" b="0" i="0" u="none" strike="noStrike" kern="1200" spc="0" baseline="0">
                <a:solidFill>
                  <a:srgbClr val="595959">
                    <a:lumMod val="65000"/>
                    <a:lumOff val="35000"/>
                  </a:srgbClr>
                </a:solidFill>
                <a:latin typeface="+mn-lt"/>
                <a:ea typeface="+mn-ea"/>
                <a:cs typeface="+mn-cs"/>
              </a:defRPr>
            </a:pPr>
            <a:r>
              <a:rPr altLang="en-US"/>
              <a:t>单位：万元</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dLbl>
              <c:idx val="1"/>
              <c:layout/>
              <c:dLblPos val="inEnd"/>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[工作簿1]Sheet1!$A$12:$A$13</c:f>
              <c:strCache>
                <c:ptCount val="2"/>
                <c:pt idx="0">
                  <c:v>接待费</c:v>
                </c:pt>
                <c:pt idx="1">
                  <c:v>公务用车购置及运行维护费</c:v>
                </c:pt>
              </c:strCache>
            </c:strRef>
          </c:cat>
          <c:val>
            <c:numRef>
              <c:f>[工作簿1]Sheet1!$B$12:$B$13</c:f>
              <c:numCache>
                <c:formatCode>General</c:formatCode>
                <c:ptCount val="2"/>
                <c:pt idx="0">
                  <c:v>0.15</c:v>
                </c:pt>
                <c:pt idx="1">
                  <c:v>7.5</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13944</Words>
  <Characters>15371</Characters>
  <Lines>0</Lines>
  <Paragraphs>0</Paragraphs>
  <TotalTime>15</TotalTime>
  <ScaleCrop>false</ScaleCrop>
  <LinksUpToDate>false</LinksUpToDate>
  <CharactersWithSpaces>15399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2021-10-27T01:54:00Z</dcterms:created>
  <dc:creator>admin</dc:creator>
  <cp:lastModifiedBy>Administrator</cp:lastModifiedBy>
  <dcterms:modified xsi:type="dcterms:W3CDTF">2025-01-23T06:26:12Z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AFFCE1F29B624BDA844F8A3845AD309C</vt:lpwstr>
  </property>
</Properties>
</file>