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sz w:val="72"/>
          <w:szCs w:val="72"/>
        </w:rPr>
      </w:pPr>
      <w:bookmarkStart w:id="0" w:name="_Toc15396475"/>
      <w:bookmarkStart w:id="1" w:name="_Toc15377193"/>
      <w:bookmarkStart w:id="2" w:name="_Toc15377425"/>
      <w:bookmarkStart w:id="3" w:name="_Toc15396597"/>
      <w:bookmarkStart w:id="4" w:name="_Toc15378441"/>
      <w:bookmarkStart w:id="5" w:name="_Toc15306267"/>
    </w:p>
    <w:p>
      <w:pPr>
        <w:adjustRightInd w:val="0"/>
        <w:snapToGrid w:val="0"/>
        <w:spacing w:line="360" w:lineRule="auto"/>
        <w:jc w:val="center"/>
        <w:outlineLvl w:val="0"/>
        <w:rPr>
          <w:rFonts w:ascii="方正小标宋简体" w:hAnsi="方正小标宋简体" w:eastAsia="方正小标宋简体" w:cs="方正小标宋简体"/>
          <w:sz w:val="56"/>
          <w:szCs w:val="56"/>
        </w:rPr>
      </w:pPr>
    </w:p>
    <w:p>
      <w:pPr>
        <w:adjustRightInd w:val="0"/>
        <w:snapToGrid w:val="0"/>
        <w:spacing w:line="360" w:lineRule="auto"/>
        <w:jc w:val="center"/>
        <w:outlineLvl w:val="0"/>
        <w:rPr>
          <w:rFonts w:ascii="方正小标宋简体" w:hAnsi="方正小标宋简体" w:eastAsia="方正小标宋简体" w:cs="方正小标宋简体"/>
          <w:sz w:val="56"/>
          <w:szCs w:val="56"/>
        </w:rPr>
      </w:pPr>
    </w:p>
    <w:p>
      <w:pPr>
        <w:adjustRightInd w:val="0"/>
        <w:snapToGrid w:val="0"/>
        <w:spacing w:line="360" w:lineRule="auto"/>
        <w:jc w:val="center"/>
        <w:outlineLvl w:val="0"/>
        <w:rPr>
          <w:rFonts w:ascii="方正小标宋简体" w:hAnsi="方正小标宋简体" w:eastAsia="方正小标宋简体" w:cs="方正小标宋简体"/>
          <w:sz w:val="56"/>
          <w:szCs w:val="56"/>
        </w:rPr>
      </w:pPr>
    </w:p>
    <w:p>
      <w:pPr>
        <w:adjustRightInd w:val="0"/>
        <w:snapToGrid w:val="0"/>
        <w:spacing w:line="360" w:lineRule="auto"/>
        <w:jc w:val="center"/>
        <w:outlineLvl w:val="0"/>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56"/>
          <w:szCs w:val="56"/>
        </w:rPr>
      </w:pPr>
      <w:bookmarkStart w:id="6" w:name="_Toc15377194"/>
      <w:bookmarkStart w:id="7" w:name="_Toc15377426"/>
      <w:bookmarkStart w:id="8" w:name="_Toc15396598"/>
      <w:bookmarkStart w:id="9" w:name="_Toc15396476"/>
      <w:bookmarkStart w:id="10" w:name="_Toc15378442"/>
      <w:r>
        <w:rPr>
          <w:rFonts w:hint="eastAsia" w:ascii="方正小标宋简体" w:hAnsi="方正小标宋简体" w:eastAsia="方正小标宋简体" w:cs="方正小标宋简体"/>
          <w:sz w:val="56"/>
          <w:szCs w:val="56"/>
        </w:rPr>
        <w:t>四川省</w:t>
      </w:r>
      <w:bookmarkEnd w:id="5"/>
      <w:bookmarkStart w:id="11" w:name="_Toc15306268"/>
      <w:r>
        <w:rPr>
          <w:rFonts w:hint="eastAsia" w:ascii="方正小标宋简体" w:hAnsi="方正小标宋简体" w:eastAsia="方正小标宋简体" w:cs="方正小标宋简体"/>
          <w:sz w:val="56"/>
          <w:szCs w:val="56"/>
        </w:rPr>
        <w:t>攀枝花市西区商务局</w:t>
      </w:r>
    </w:p>
    <w:p>
      <w:pPr>
        <w:adjustRightInd w:val="0"/>
        <w:snapToGrid w:val="0"/>
        <w:spacing w:line="360" w:lineRule="auto"/>
        <w:jc w:val="center"/>
        <w:outlineLvl w:val="0"/>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公开时间：2022年10月10日</w:t>
      </w:r>
    </w:p>
    <w:p/>
    <w:p>
      <w:pPr>
        <w:pStyle w:val="11"/>
        <w:adjustRightInd w:val="0"/>
        <w:snapToGrid w:val="0"/>
        <w:spacing w:before="0" w:line="440" w:lineRule="exact"/>
        <w:jc w:val="left"/>
        <w:rPr>
          <w:rFonts w:cstheme="minorBidi"/>
          <w:sz w:val="24"/>
          <w:szCs w:val="24"/>
        </w:rPr>
      </w:pPr>
      <w:r>
        <w:rPr>
          <w:rFonts w:hint="eastAsia"/>
          <w:sz w:val="24"/>
          <w:szCs w:val="24"/>
        </w:rPr>
        <w:t>第一部分部门概况</w:t>
      </w:r>
      <w:r>
        <w:rPr>
          <w:sz w:val="24"/>
        </w:rPr>
        <w:tab/>
      </w:r>
      <w:r>
        <w:rPr>
          <w:rFonts w:hint="eastAsia"/>
          <w:sz w:val="24"/>
          <w:szCs w:val="24"/>
        </w:rPr>
        <w:t>4</w:t>
      </w:r>
    </w:p>
    <w:p>
      <w:pPr>
        <w:pStyle w:val="12"/>
        <w:numPr>
          <w:ilvl w:val="0"/>
          <w:numId w:val="1"/>
        </w:numPr>
        <w:adjustRightInd w:val="0"/>
        <w:snapToGrid w:val="0"/>
        <w:spacing w:line="440" w:lineRule="exact"/>
        <w:ind w:leftChars="0"/>
        <w:jc w:val="left"/>
        <w:rPr>
          <w:rFonts w:ascii="宋体" w:hAnsi="宋体"/>
          <w:sz w:val="24"/>
        </w:rPr>
      </w:pPr>
      <w:r>
        <w:rPr>
          <w:rFonts w:hint="eastAsia"/>
          <w:sz w:val="24"/>
        </w:rPr>
        <w:t>基本职能及主要工作</w:t>
      </w:r>
      <w:r>
        <w:rPr>
          <w:sz w:val="24"/>
        </w:rPr>
        <w:tab/>
      </w:r>
      <w:r>
        <w:rPr>
          <w:rFonts w:hint="eastAsia" w:ascii="宋体" w:hAnsi="宋体"/>
          <w:sz w:val="24"/>
        </w:rPr>
        <w:t>4</w:t>
      </w:r>
    </w:p>
    <w:p>
      <w:pPr>
        <w:pStyle w:val="12"/>
        <w:adjustRightInd w:val="0"/>
        <w:snapToGrid w:val="0"/>
        <w:spacing w:line="440" w:lineRule="exact"/>
        <w:jc w:val="left"/>
        <w:rPr>
          <w:rFonts w:ascii="宋体" w:hAnsi="宋体"/>
          <w:sz w:val="24"/>
        </w:rPr>
      </w:pPr>
      <w:r>
        <w:rPr>
          <w:rFonts w:hint="eastAsia"/>
          <w:sz w:val="24"/>
        </w:rPr>
        <w:t>二、机构设置</w:t>
      </w:r>
      <w:r>
        <w:rPr>
          <w:sz w:val="24"/>
        </w:rPr>
        <w:tab/>
      </w:r>
      <w:r>
        <w:rPr>
          <w:rFonts w:hint="eastAsia" w:ascii="宋体" w:hAnsi="宋体"/>
          <w:sz w:val="24"/>
        </w:rPr>
        <w:t>7</w:t>
      </w:r>
    </w:p>
    <w:p>
      <w:pPr>
        <w:pStyle w:val="11"/>
        <w:adjustRightInd w:val="0"/>
        <w:snapToGrid w:val="0"/>
        <w:spacing w:before="0" w:line="440" w:lineRule="exact"/>
        <w:jc w:val="left"/>
        <w:rPr>
          <w:sz w:val="24"/>
          <w:szCs w:val="24"/>
        </w:rPr>
      </w:pPr>
      <w:r>
        <w:rPr>
          <w:rFonts w:hint="eastAsia"/>
          <w:sz w:val="24"/>
        </w:rPr>
        <w:t>第二部分 2021年度部门决算情况说明</w:t>
      </w:r>
      <w:r>
        <w:rPr>
          <w:sz w:val="24"/>
        </w:rPr>
        <w:tab/>
      </w:r>
      <w:r>
        <w:rPr>
          <w:rFonts w:hint="eastAsia"/>
          <w:sz w:val="24"/>
        </w:rPr>
        <w:t>8</w:t>
      </w:r>
    </w:p>
    <w:p>
      <w:pPr>
        <w:pStyle w:val="12"/>
        <w:numPr>
          <w:ilvl w:val="0"/>
          <w:numId w:val="1"/>
        </w:numPr>
        <w:adjustRightInd w:val="0"/>
        <w:snapToGrid w:val="0"/>
        <w:spacing w:line="440" w:lineRule="exact"/>
        <w:ind w:leftChars="0"/>
        <w:jc w:val="left"/>
        <w:rPr>
          <w:rFonts w:ascii="宋体" w:hAnsi="宋体"/>
          <w:sz w:val="24"/>
        </w:rPr>
      </w:pPr>
      <w:r>
        <w:rPr>
          <w:rFonts w:hint="eastAsia"/>
          <w:sz w:val="24"/>
        </w:rPr>
        <w:t>收入支出决算总体情况说明</w:t>
      </w:r>
      <w:r>
        <w:rPr>
          <w:sz w:val="24"/>
        </w:rPr>
        <w:tab/>
      </w:r>
      <w:r>
        <w:rPr>
          <w:rFonts w:hint="eastAsia" w:ascii="宋体" w:hAnsi="宋体"/>
          <w:sz w:val="24"/>
        </w:rPr>
        <w:t>8</w:t>
      </w:r>
    </w:p>
    <w:p>
      <w:pPr>
        <w:pStyle w:val="12"/>
        <w:adjustRightInd w:val="0"/>
        <w:snapToGrid w:val="0"/>
        <w:spacing w:line="440" w:lineRule="exact"/>
        <w:jc w:val="left"/>
        <w:rPr>
          <w:rFonts w:ascii="宋体" w:hAnsi="宋体" w:cstheme="minorBidi"/>
          <w:sz w:val="24"/>
        </w:rPr>
      </w:pPr>
      <w:r>
        <w:rPr>
          <w:rFonts w:hint="eastAsia"/>
          <w:sz w:val="24"/>
        </w:rPr>
        <w:t>二、收入决算情况说明</w:t>
      </w:r>
      <w:r>
        <w:rPr>
          <w:sz w:val="24"/>
        </w:rPr>
        <w:tab/>
      </w:r>
      <w:r>
        <w:rPr>
          <w:rFonts w:hint="eastAsia" w:ascii="宋体" w:hAnsi="宋体"/>
          <w:sz w:val="24"/>
        </w:rPr>
        <w:t>8</w:t>
      </w:r>
    </w:p>
    <w:p>
      <w:pPr>
        <w:pStyle w:val="12"/>
        <w:adjustRightInd w:val="0"/>
        <w:snapToGrid w:val="0"/>
        <w:spacing w:line="440" w:lineRule="exact"/>
        <w:jc w:val="left"/>
        <w:rPr>
          <w:rFonts w:ascii="宋体" w:hAnsi="宋体" w:cstheme="minorBidi"/>
          <w:sz w:val="24"/>
        </w:rPr>
      </w:pPr>
      <w:r>
        <w:rPr>
          <w:rFonts w:hint="eastAsia"/>
          <w:sz w:val="24"/>
        </w:rPr>
        <w:t>三、支出决算情况说明</w:t>
      </w:r>
      <w:r>
        <w:rPr>
          <w:sz w:val="24"/>
        </w:rPr>
        <w:tab/>
      </w:r>
      <w:r>
        <w:rPr>
          <w:rFonts w:hint="eastAsia" w:ascii="宋体" w:hAnsi="宋体"/>
          <w:sz w:val="24"/>
        </w:rPr>
        <w:t>9</w:t>
      </w:r>
    </w:p>
    <w:p>
      <w:pPr>
        <w:pStyle w:val="12"/>
        <w:adjustRightInd w:val="0"/>
        <w:snapToGrid w:val="0"/>
        <w:spacing w:line="440" w:lineRule="exact"/>
        <w:jc w:val="left"/>
        <w:rPr>
          <w:rFonts w:ascii="宋体" w:hAnsi="宋体" w:cstheme="minorBidi"/>
          <w:sz w:val="24"/>
        </w:rPr>
      </w:pPr>
      <w:r>
        <w:rPr>
          <w:rFonts w:hint="eastAsia"/>
          <w:sz w:val="24"/>
        </w:rPr>
        <w:t>四、财政拨款收入支出决算总体情况说明</w:t>
      </w:r>
      <w:r>
        <w:rPr>
          <w:sz w:val="24"/>
        </w:rPr>
        <w:tab/>
      </w:r>
      <w:r>
        <w:rPr>
          <w:rFonts w:hint="eastAsia" w:ascii="宋体" w:hAnsi="宋体"/>
          <w:sz w:val="24"/>
        </w:rPr>
        <w:t>10</w:t>
      </w:r>
    </w:p>
    <w:p>
      <w:pPr>
        <w:pStyle w:val="12"/>
        <w:adjustRightInd w:val="0"/>
        <w:snapToGrid w:val="0"/>
        <w:spacing w:line="440" w:lineRule="exact"/>
        <w:jc w:val="left"/>
        <w:rPr>
          <w:rFonts w:ascii="宋体" w:hAnsi="宋体" w:cstheme="minorBidi"/>
          <w:sz w:val="24"/>
        </w:rPr>
      </w:pPr>
      <w:r>
        <w:rPr>
          <w:rFonts w:hint="eastAsia"/>
          <w:sz w:val="24"/>
        </w:rPr>
        <w:t>五、一般公共预算财政拨款支出决算情况说明</w:t>
      </w:r>
      <w:r>
        <w:rPr>
          <w:sz w:val="24"/>
        </w:rPr>
        <w:tab/>
      </w:r>
      <w:r>
        <w:rPr>
          <w:rFonts w:hint="eastAsia" w:ascii="宋体" w:hAnsi="宋体"/>
          <w:sz w:val="24"/>
        </w:rPr>
        <w:t>10</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ab/>
      </w:r>
      <w:r>
        <w:rPr>
          <w:rFonts w:hint="eastAsia"/>
          <w:sz w:val="24"/>
        </w:rPr>
        <w:t>13</w:t>
      </w:r>
    </w:p>
    <w:p>
      <w:pPr>
        <w:pStyle w:val="12"/>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sz w:val="24"/>
        </w:rPr>
        <w:tab/>
      </w:r>
      <w:r>
        <w:rPr>
          <w:rFonts w:hint="eastAsia"/>
          <w:sz w:val="24"/>
        </w:rPr>
        <w:t>14</w:t>
      </w:r>
    </w:p>
    <w:p>
      <w:pPr>
        <w:pStyle w:val="12"/>
        <w:adjustRightInd w:val="0"/>
        <w:snapToGrid w:val="0"/>
        <w:spacing w:line="440" w:lineRule="exact"/>
        <w:jc w:val="left"/>
        <w:rPr>
          <w:rFonts w:ascii="仿宋" w:hAnsi="仿宋" w:eastAsia="仿宋" w:cstheme="minorBidi"/>
          <w:sz w:val="24"/>
        </w:rPr>
      </w:pPr>
      <w:r>
        <w:rPr>
          <w:rFonts w:hint="eastAsia"/>
          <w:sz w:val="24"/>
        </w:rPr>
        <w:t xml:space="preserve">八、政府性基金预算支出决算情况说明 </w:t>
      </w:r>
      <w:r>
        <w:rPr>
          <w:sz w:val="24"/>
        </w:rPr>
        <w:tab/>
      </w:r>
      <w:r>
        <w:rPr>
          <w:rFonts w:hint="eastAsia"/>
          <w:sz w:val="24"/>
        </w:rPr>
        <w:t>15</w:t>
      </w:r>
    </w:p>
    <w:p>
      <w:pPr>
        <w:pStyle w:val="12"/>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九、国有资本经营预算支出决算情况说明 </w:t>
      </w:r>
      <w:r>
        <w:rPr>
          <w:sz w:val="24"/>
        </w:rPr>
        <w:tab/>
      </w:r>
      <w:r>
        <w:rPr>
          <w:rFonts w:hint="eastAsia" w:asciiTheme="minorEastAsia" w:hAnsiTheme="minorEastAsia" w:eastAsiaTheme="minorEastAsia" w:cstheme="minorEastAsia"/>
          <w:sz w:val="24"/>
        </w:rPr>
        <w:t>15</w:t>
      </w:r>
    </w:p>
    <w:p>
      <w:pPr>
        <w:pStyle w:val="11"/>
        <w:adjustRightInd w:val="0"/>
        <w:snapToGrid w:val="0"/>
        <w:spacing w:before="0" w:line="440" w:lineRule="exact"/>
        <w:ind w:firstLine="480" w:firstLineChars="200"/>
        <w:jc w:val="left"/>
        <w:rPr>
          <w:rFonts w:cstheme="minorBidi"/>
          <w:sz w:val="24"/>
          <w:szCs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sz w:val="24"/>
        </w:rPr>
        <w:tab/>
      </w:r>
      <w:r>
        <w:rPr>
          <w:rFonts w:hint="eastAsia"/>
          <w:sz w:val="24"/>
        </w:rPr>
        <w:t>15</w:t>
      </w:r>
    </w:p>
    <w:p>
      <w:pPr>
        <w:pStyle w:val="11"/>
        <w:adjustRightInd w:val="0"/>
        <w:snapToGrid w:val="0"/>
        <w:spacing w:before="0" w:line="440" w:lineRule="exact"/>
        <w:jc w:val="left"/>
        <w:rPr>
          <w:rFonts w:cstheme="minorBidi"/>
          <w:sz w:val="24"/>
          <w:szCs w:val="24"/>
        </w:rPr>
      </w:pPr>
      <w:r>
        <w:rPr>
          <w:rFonts w:hint="eastAsia"/>
          <w:sz w:val="24"/>
        </w:rPr>
        <w:t>第三部分名词解释</w:t>
      </w:r>
      <w:r>
        <w:rPr>
          <w:sz w:val="24"/>
        </w:rPr>
        <w:tab/>
      </w:r>
      <w:r>
        <w:rPr>
          <w:rFonts w:hint="eastAsia"/>
          <w:sz w:val="24"/>
        </w:rPr>
        <w:t>17</w:t>
      </w:r>
    </w:p>
    <w:p>
      <w:pPr>
        <w:pStyle w:val="11"/>
        <w:adjustRightInd w:val="0"/>
        <w:snapToGrid w:val="0"/>
        <w:spacing w:before="0" w:line="440" w:lineRule="exact"/>
        <w:jc w:val="left"/>
        <w:rPr>
          <w:rFonts w:cstheme="minorBidi"/>
          <w:sz w:val="24"/>
          <w:szCs w:val="24"/>
        </w:rPr>
      </w:pPr>
      <w:r>
        <w:rPr>
          <w:rFonts w:hint="eastAsia"/>
          <w:sz w:val="24"/>
        </w:rPr>
        <w:t>第四部分附件</w:t>
      </w:r>
      <w:r>
        <w:rPr>
          <w:sz w:val="24"/>
        </w:rPr>
        <w:tab/>
      </w:r>
      <w:r>
        <w:rPr>
          <w:rFonts w:hint="eastAsia"/>
          <w:sz w:val="24"/>
        </w:rPr>
        <w:t>22</w:t>
      </w:r>
    </w:p>
    <w:p>
      <w:pPr>
        <w:pStyle w:val="11"/>
        <w:adjustRightInd w:val="0"/>
        <w:snapToGrid w:val="0"/>
        <w:spacing w:before="0" w:line="440" w:lineRule="exact"/>
        <w:jc w:val="left"/>
        <w:rPr>
          <w:sz w:val="24"/>
        </w:rPr>
      </w:pPr>
      <w:r>
        <w:rPr>
          <w:rFonts w:hint="eastAsia"/>
          <w:sz w:val="24"/>
        </w:rPr>
        <w:t>第五部分附表</w:t>
      </w:r>
      <w:r>
        <w:rPr>
          <w:sz w:val="24"/>
        </w:rPr>
        <w:tab/>
      </w:r>
      <w:r>
        <w:rPr>
          <w:rFonts w:hint="eastAsia"/>
          <w:sz w:val="24"/>
        </w:rPr>
        <w:t>34</w:t>
      </w:r>
    </w:p>
    <w:p>
      <w:pPr>
        <w:pStyle w:val="11"/>
        <w:adjustRightInd w:val="0"/>
        <w:snapToGrid w:val="0"/>
        <w:spacing w:before="0" w:line="440" w:lineRule="exact"/>
        <w:ind w:firstLine="480" w:firstLineChars="200"/>
        <w:jc w:val="left"/>
        <w:rPr>
          <w:rFonts w:cstheme="minorBidi"/>
          <w:sz w:val="24"/>
          <w:szCs w:val="24"/>
        </w:rPr>
      </w:pPr>
      <w:r>
        <w:rPr>
          <w:rFonts w:hint="eastAsia"/>
          <w:sz w:val="24"/>
        </w:rPr>
        <w:t>一、收入支出决算总表</w:t>
      </w:r>
      <w:r>
        <w:rPr>
          <w:sz w:val="24"/>
        </w:rPr>
        <w:tab/>
      </w:r>
      <w:r>
        <w:rPr>
          <w:rFonts w:hint="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r>
        <w:rPr>
          <w:rFonts w:asciiTheme="minorEastAsia" w:hAnsiTheme="minorEastAsia" w:eastAsiaTheme="minorEastAsia" w:cstheme="minorEastAsia"/>
          <w:sz w:val="24"/>
        </w:rPr>
        <w:tab/>
      </w:r>
      <w:r>
        <w:rPr>
          <w:rFonts w:hint="eastAsia" w:asciiTheme="minorEastAsia" w:hAnsiTheme="minorEastAsia" w:eastAsiaTheme="minorEastAsia" w:cstheme="minorEastAsia"/>
          <w:sz w:val="24"/>
        </w:rPr>
        <w:t>34</w:t>
      </w:r>
    </w:p>
    <w:p>
      <w:pPr>
        <w:pStyle w:val="3"/>
        <w:jc w:val="center"/>
        <w:rPr>
          <w:rFonts w:ascii="黑体" w:hAnsi="黑体" w:eastAsia="黑体"/>
          <w:b w:val="0"/>
        </w:rPr>
      </w:pPr>
      <w:bookmarkStart w:id="12" w:name="_Toc15377196"/>
      <w:bookmarkStart w:id="13" w:name="_Toc15396599"/>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rPr>
          <w:rFonts w:ascii="黑体" w:hAnsi="黑体" w:eastAsia="黑体"/>
          <w:b w:val="0"/>
        </w:rPr>
      </w:pPr>
    </w:p>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Style w:val="25"/>
          <w:rFonts w:ascii="黑体" w:hAnsi="黑体" w:eastAsia="黑体"/>
          <w:b/>
          <w:bCs w:val="0"/>
        </w:rPr>
      </w:pPr>
      <w:r>
        <w:rPr>
          <w:rFonts w:hint="eastAsia" w:ascii="黑体" w:hAnsi="黑体" w:eastAsia="黑体"/>
          <w:b w:val="0"/>
        </w:rPr>
        <w:t>第一部分</w:t>
      </w:r>
      <w:r>
        <w:rPr>
          <w:rStyle w:val="25"/>
          <w:rFonts w:hint="eastAsia" w:ascii="黑体" w:hAnsi="黑体" w:eastAsia="黑体"/>
          <w:b w:val="0"/>
          <w:bCs w:val="0"/>
        </w:rPr>
        <w:t>部门概况</w:t>
      </w:r>
      <w:bookmarkEnd w:id="12"/>
      <w:bookmarkEnd w:id="13"/>
    </w:p>
    <w:p>
      <w:pPr>
        <w:pStyle w:val="4"/>
        <w:rPr>
          <w:rStyle w:val="26"/>
          <w:rFonts w:ascii="黑体" w:hAnsi="黑体" w:eastAsia="黑体"/>
          <w:b w:val="0"/>
          <w:bCs w:val="0"/>
        </w:rPr>
      </w:pPr>
      <w:bookmarkStart w:id="14" w:name="_Toc15396600"/>
      <w:bookmarkStart w:id="15" w:name="_Toc15377197"/>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bookmarkStart w:id="16" w:name="_Toc15377198"/>
      <w:bookmarkStart w:id="17" w:name="_Toc15378445"/>
    </w:p>
    <w:p>
      <w:pPr>
        <w:pStyle w:val="4"/>
        <w:rPr>
          <w:rFonts w:ascii="黑体" w:hAnsi="黑体" w:eastAsia="黑体"/>
          <w:b w:val="0"/>
          <w:bCs w:val="0"/>
        </w:rPr>
      </w:pPr>
      <w:r>
        <w:rPr>
          <w:rStyle w:val="26"/>
          <w:rFonts w:hint="eastAsia" w:ascii="黑体" w:hAnsi="黑体" w:eastAsia="黑体"/>
          <w:b w:val="0"/>
          <w:bCs w:val="0"/>
        </w:rPr>
        <w:t xml:space="preserve">   </w:t>
      </w:r>
      <w:r>
        <w:rPr>
          <w:rFonts w:hint="eastAsia" w:ascii="仿宋" w:hAnsi="仿宋" w:eastAsia="仿宋"/>
        </w:rPr>
        <w:t>（一）主要职能。</w:t>
      </w:r>
      <w:bookmarkEnd w:id="16"/>
      <w:bookmarkEnd w:id="17"/>
    </w:p>
    <w:p>
      <w:pPr>
        <w:ind w:firstLine="640" w:firstLineChars="200"/>
        <w:rPr>
          <w:rFonts w:ascii="仿宋" w:hAnsi="仿宋" w:eastAsia="仿宋"/>
          <w:sz w:val="32"/>
          <w:szCs w:val="32"/>
        </w:rPr>
      </w:pPr>
      <w:r>
        <w:rPr>
          <w:rFonts w:hint="eastAsia" w:ascii="仿宋" w:hAnsi="仿宋" w:eastAsia="仿宋"/>
          <w:sz w:val="32"/>
          <w:szCs w:val="32"/>
        </w:rPr>
        <w:t>1.贯彻执行国家、省、市、区有关内外贸易、对外经济合作的法律法规和方针政策，拟订并组织实施全区商务发展规划、计划和相关政策措施。</w:t>
      </w:r>
    </w:p>
    <w:p>
      <w:pPr>
        <w:ind w:firstLine="640" w:firstLineChars="200"/>
        <w:rPr>
          <w:rFonts w:ascii="仿宋" w:hAnsi="仿宋" w:eastAsia="仿宋"/>
          <w:sz w:val="32"/>
          <w:szCs w:val="32"/>
        </w:rPr>
      </w:pPr>
      <w:r>
        <w:rPr>
          <w:rFonts w:hint="eastAsia" w:ascii="仿宋" w:hAnsi="仿宋" w:eastAsia="仿宋"/>
          <w:sz w:val="32"/>
          <w:szCs w:val="32"/>
        </w:rPr>
        <w:t>2.承担指导和协调全区服务业发展的职责。推进流通产业结构调整，指导流通企业改革，加快商贸服务业、社区商业和第三方物流发展，推动流通标准化和连锁经营、商业特许经营、物流配送、电子商务等现代流通方式的发展。</w:t>
      </w:r>
    </w:p>
    <w:p>
      <w:pPr>
        <w:ind w:firstLine="640" w:firstLineChars="200"/>
        <w:rPr>
          <w:rFonts w:ascii="仿宋" w:hAnsi="仿宋" w:eastAsia="仿宋"/>
          <w:sz w:val="32"/>
          <w:szCs w:val="32"/>
        </w:rPr>
      </w:pPr>
      <w:r>
        <w:rPr>
          <w:rFonts w:hint="eastAsia" w:ascii="仿宋" w:hAnsi="仿宋" w:eastAsia="仿宋"/>
          <w:sz w:val="32"/>
          <w:szCs w:val="32"/>
        </w:rPr>
        <w:t>3.指导城市商业网点规划和商业体系建设工作，推进农村市场体系建设，组织实施农村现代流通网络工程，促进城乡市场一体化发展。</w:t>
      </w:r>
    </w:p>
    <w:p>
      <w:pPr>
        <w:ind w:firstLine="640" w:firstLineChars="200"/>
        <w:rPr>
          <w:rFonts w:ascii="仿宋" w:hAnsi="仿宋" w:eastAsia="仿宋"/>
          <w:sz w:val="32"/>
          <w:szCs w:val="32"/>
        </w:rPr>
      </w:pPr>
      <w:r>
        <w:rPr>
          <w:rFonts w:hint="eastAsia" w:ascii="仿宋" w:hAnsi="仿宋" w:eastAsia="仿宋"/>
          <w:sz w:val="32"/>
          <w:szCs w:val="32"/>
        </w:rPr>
        <w:t>4.组织开展商务领域行政综合执法，推动商务领域信用建设。按规定对拍卖、直销和旧货流通行业等进行监督管理。指导流通领域节能降耗和再生资源回收管理工作。</w:t>
      </w:r>
    </w:p>
    <w:p>
      <w:pPr>
        <w:ind w:firstLine="640" w:firstLineChars="200"/>
        <w:rPr>
          <w:rFonts w:ascii="仿宋" w:hAnsi="仿宋" w:eastAsia="仿宋"/>
          <w:sz w:val="32"/>
          <w:szCs w:val="32"/>
        </w:rPr>
      </w:pPr>
      <w:r>
        <w:rPr>
          <w:rFonts w:hint="eastAsia" w:ascii="仿宋" w:hAnsi="仿宋" w:eastAsia="仿宋"/>
          <w:sz w:val="32"/>
          <w:szCs w:val="32"/>
        </w:rPr>
        <w:t>5.负责重要消费品市场调控和重要商品流通管理，建立健全生活必需品市场供应应急管理机制，监测分析市场运行和商品供求状况，提出调控建议。调查分析商品价格信息，进行预测预警和信息引导。</w:t>
      </w:r>
    </w:p>
    <w:p>
      <w:pPr>
        <w:ind w:firstLine="640" w:firstLineChars="200"/>
        <w:rPr>
          <w:rFonts w:ascii="仿宋" w:hAnsi="仿宋" w:eastAsia="仿宋"/>
          <w:sz w:val="32"/>
          <w:szCs w:val="32"/>
        </w:rPr>
      </w:pPr>
      <w:r>
        <w:rPr>
          <w:rFonts w:hint="eastAsia" w:ascii="仿宋" w:hAnsi="仿宋" w:eastAsia="仿宋"/>
          <w:sz w:val="32"/>
          <w:szCs w:val="32"/>
        </w:rPr>
        <w:t>6.贯彻落实电子商务的法律法规和方针政策，推动全区电子商务服务体系建设。指导电子商务公共服务平台建设。推进电子商务与产业融合，支持中小电子商务企业发展。推进电子商务进农村、进企业、进社区；发展平台经济、共享经济等数字经济新业态新模式。</w:t>
      </w:r>
    </w:p>
    <w:p>
      <w:pPr>
        <w:ind w:firstLine="640" w:firstLineChars="200"/>
        <w:rPr>
          <w:rFonts w:ascii="仿宋" w:hAnsi="仿宋" w:eastAsia="仿宋"/>
          <w:sz w:val="32"/>
          <w:szCs w:val="32"/>
        </w:rPr>
      </w:pPr>
      <w:r>
        <w:rPr>
          <w:rFonts w:hint="eastAsia" w:ascii="仿宋" w:hAnsi="仿宋" w:eastAsia="仿宋"/>
          <w:sz w:val="32"/>
          <w:szCs w:val="32"/>
        </w:rPr>
        <w:t>7.贯彻执行国家对外贸易、服务贸易和对外经济合作方针政策。指导协调全区进出口、外商投资企业进出口工作，负责加工贸易管理和服务。指导全区国际服务贸易，促进服务贸易出口，管理技术贸易工作。组织企业开展境外贸易和国内涉外贸易促进活动。依法指导、管理和监督全区对外承包工程、对外劳务合作等对外经济合作业务。</w:t>
      </w:r>
    </w:p>
    <w:p>
      <w:pPr>
        <w:ind w:firstLine="640" w:firstLineChars="200"/>
        <w:rPr>
          <w:rFonts w:ascii="仿宋" w:hAnsi="仿宋" w:eastAsia="仿宋"/>
          <w:sz w:val="32"/>
          <w:szCs w:val="32"/>
        </w:rPr>
      </w:pPr>
      <w:r>
        <w:rPr>
          <w:rFonts w:hint="eastAsia" w:ascii="仿宋" w:hAnsi="仿宋" w:eastAsia="仿宋"/>
          <w:sz w:val="32"/>
          <w:szCs w:val="32"/>
        </w:rPr>
        <w:t>8.负责区委、区政府交办的区内外会展活动的组织协调，指导和监督在西区辖区内举办的各种商贸交易会、展览会、展销会等活动。</w:t>
      </w:r>
    </w:p>
    <w:p>
      <w:pPr>
        <w:ind w:firstLine="640" w:firstLineChars="200"/>
        <w:rPr>
          <w:rFonts w:ascii="仿宋" w:hAnsi="仿宋" w:eastAsia="仿宋"/>
          <w:sz w:val="32"/>
          <w:szCs w:val="32"/>
        </w:rPr>
      </w:pPr>
      <w:r>
        <w:rPr>
          <w:rFonts w:hint="eastAsia" w:ascii="仿宋" w:hAnsi="仿宋" w:eastAsia="仿宋"/>
          <w:sz w:val="32"/>
          <w:szCs w:val="32"/>
        </w:rPr>
        <w:t>9.组织实施对街道、镇、各有关部门商贸及服务业发展目标和项目年度考核。</w:t>
      </w:r>
    </w:p>
    <w:p>
      <w:pPr>
        <w:ind w:firstLine="640" w:firstLineChars="200"/>
        <w:rPr>
          <w:rFonts w:ascii="仿宋" w:hAnsi="仿宋" w:eastAsia="仿宋"/>
          <w:sz w:val="32"/>
          <w:szCs w:val="32"/>
        </w:rPr>
      </w:pPr>
      <w:r>
        <w:rPr>
          <w:rFonts w:hint="eastAsia" w:ascii="仿宋" w:hAnsi="仿宋" w:eastAsia="仿宋"/>
          <w:sz w:val="32"/>
          <w:szCs w:val="32"/>
        </w:rPr>
        <w:t>10.负责职责范围内的安全生产和职业健康、生态环境保护、审批服务便民化等工作。</w:t>
      </w:r>
    </w:p>
    <w:p>
      <w:pPr>
        <w:pStyle w:val="2"/>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sz w:val="32"/>
          <w:szCs w:val="32"/>
        </w:rPr>
        <w:t>11.完成区委和区政府交办的其他任务。</w:t>
      </w:r>
    </w:p>
    <w:p>
      <w:pPr>
        <w:pStyle w:val="2"/>
        <w:adjustRightInd w:val="0"/>
        <w:snapToGrid w:val="0"/>
        <w:spacing w:before="93" w:line="600" w:lineRule="exact"/>
        <w:ind w:firstLine="675" w:firstLineChars="210"/>
        <w:outlineLvl w:val="2"/>
        <w:rPr>
          <w:rFonts w:ascii="仿宋" w:hAnsi="仿宋" w:eastAsia="仿宋"/>
          <w:b/>
          <w:bCs/>
          <w:sz w:val="32"/>
          <w:szCs w:val="32"/>
        </w:rPr>
      </w:pPr>
      <w:bookmarkStart w:id="18" w:name="_Toc15377199"/>
      <w:bookmarkStart w:id="19" w:name="_Toc15378446"/>
      <w:r>
        <w:rPr>
          <w:rFonts w:hint="eastAsia" w:ascii="仿宋" w:hAnsi="仿宋" w:eastAsia="仿宋"/>
          <w:b/>
          <w:bCs/>
          <w:sz w:val="32"/>
          <w:szCs w:val="32"/>
        </w:rPr>
        <w:t>（二）</w:t>
      </w:r>
      <w:r>
        <w:rPr>
          <w:rFonts w:ascii="仿宋" w:hAnsi="仿宋" w:eastAsia="仿宋"/>
          <w:b/>
          <w:bCs/>
          <w:sz w:val="32"/>
          <w:szCs w:val="32"/>
        </w:rPr>
        <w:t>20</w:t>
      </w:r>
      <w:r>
        <w:rPr>
          <w:rFonts w:hint="eastAsia" w:ascii="仿宋" w:hAnsi="仿宋" w:eastAsia="仿宋"/>
          <w:b/>
          <w:bCs/>
          <w:sz w:val="32"/>
          <w:szCs w:val="32"/>
        </w:rPr>
        <w:t>21年重点工作完成情况。</w:t>
      </w:r>
      <w:bookmarkEnd w:id="18"/>
      <w:bookmarkEnd w:id="19"/>
    </w:p>
    <w:p>
      <w:pPr>
        <w:ind w:firstLine="640" w:firstLineChars="200"/>
        <w:rPr>
          <w:rFonts w:ascii="仿宋" w:hAnsi="仿宋" w:eastAsia="仿宋"/>
          <w:spacing w:val="-4"/>
          <w:sz w:val="32"/>
          <w:szCs w:val="32"/>
        </w:rPr>
      </w:pPr>
      <w:r>
        <w:rPr>
          <w:rFonts w:hint="eastAsia" w:ascii="仿宋" w:hAnsi="仿宋" w:eastAsia="仿宋"/>
          <w:sz w:val="32"/>
          <w:szCs w:val="32"/>
        </w:rPr>
        <w:t>2021</w:t>
      </w:r>
      <w:r>
        <w:rPr>
          <w:rFonts w:ascii="仿宋" w:hAnsi="仿宋" w:eastAsia="仿宋"/>
          <w:spacing w:val="-4"/>
          <w:sz w:val="32"/>
          <w:szCs w:val="32"/>
        </w:rPr>
        <w:t>年，在区委、区政府坚强领导下，紧紧围绕商务领域目标任务，主动担当、积极作为，全力推动商务工作取得新成效，有关情况如下。</w:t>
      </w:r>
    </w:p>
    <w:p>
      <w:pPr>
        <w:ind w:firstLine="627" w:firstLineChars="200"/>
        <w:rPr>
          <w:rFonts w:ascii="仿宋" w:hAnsi="仿宋" w:eastAsia="仿宋"/>
          <w:color w:val="000000" w:themeColor="text1"/>
          <w:spacing w:val="-4"/>
          <w:sz w:val="32"/>
          <w:szCs w:val="32"/>
        </w:rPr>
      </w:pPr>
      <w:r>
        <w:rPr>
          <w:rFonts w:hint="eastAsia" w:ascii="仿宋" w:hAnsi="仿宋" w:eastAsia="仿宋"/>
          <w:b/>
          <w:spacing w:val="-4"/>
          <w:sz w:val="32"/>
          <w:szCs w:val="32"/>
        </w:rPr>
        <w:t>1.</w:t>
      </w:r>
      <w:r>
        <w:rPr>
          <w:rFonts w:ascii="仿宋" w:hAnsi="仿宋" w:eastAsia="仿宋"/>
          <w:b/>
          <w:spacing w:val="-4"/>
          <w:sz w:val="32"/>
          <w:szCs w:val="32"/>
        </w:rPr>
        <w:t>抓经济指标稳中有进</w:t>
      </w:r>
      <w:r>
        <w:rPr>
          <w:rFonts w:ascii="仿宋" w:hAnsi="仿宋" w:eastAsia="仿宋"/>
          <w:b/>
          <w:color w:val="000000" w:themeColor="text1"/>
          <w:spacing w:val="-4"/>
          <w:sz w:val="32"/>
          <w:szCs w:val="32"/>
        </w:rPr>
        <w:t>。</w:t>
      </w:r>
      <w:r>
        <w:rPr>
          <w:rFonts w:hint="eastAsia" w:ascii="仿宋" w:hAnsi="仿宋" w:eastAsia="仿宋"/>
          <w:color w:val="000000" w:themeColor="text1"/>
          <w:spacing w:val="-4"/>
          <w:sz w:val="32"/>
          <w:szCs w:val="32"/>
        </w:rPr>
        <w:t>全年全区社消零完成23.35亿元，累比增速18.4%左右；完成服务业增加值21.6亿元，增速9.6%左右；完成外贸进出口总额3235万元。</w:t>
      </w:r>
    </w:p>
    <w:p>
      <w:pPr>
        <w:ind w:firstLine="627" w:firstLineChars="200"/>
        <w:rPr>
          <w:rFonts w:ascii="仿宋" w:hAnsi="仿宋" w:eastAsia="仿宋"/>
          <w:color w:val="FF0000"/>
          <w:spacing w:val="-4"/>
          <w:sz w:val="32"/>
          <w:szCs w:val="32"/>
        </w:rPr>
      </w:pPr>
      <w:r>
        <w:rPr>
          <w:rFonts w:hint="eastAsia" w:ascii="仿宋" w:hAnsi="仿宋" w:eastAsia="仿宋"/>
          <w:b/>
          <w:spacing w:val="-4"/>
          <w:sz w:val="32"/>
          <w:szCs w:val="32"/>
        </w:rPr>
        <w:t>2.</w:t>
      </w:r>
      <w:r>
        <w:rPr>
          <w:rFonts w:ascii="仿宋" w:hAnsi="仿宋" w:eastAsia="仿宋"/>
          <w:b/>
          <w:spacing w:val="-4"/>
          <w:sz w:val="32"/>
          <w:szCs w:val="32"/>
        </w:rPr>
        <w:t>抓升规入库持续用力。</w:t>
      </w:r>
      <w:r>
        <w:rPr>
          <w:rFonts w:hint="eastAsia" w:ascii="仿宋" w:hAnsi="仿宋" w:eastAsia="仿宋"/>
          <w:spacing w:val="-4"/>
          <w:sz w:val="32"/>
          <w:szCs w:val="32"/>
        </w:rPr>
        <w:t>全面实施服务业重点企业培育计划，按照条块结合、纵横协作原则，持续推进“主辅分、个转企、企升规、规入库、库进统”等基础性工作。2021年全年，靶向瞄准具有升规入库潜力的企业及个体。成功培育入库15家“四上”企业（个体），其中12家“四上”企业及3家个体经营户，超额完成高级下达目标任务120%。</w:t>
      </w:r>
    </w:p>
    <w:p>
      <w:pPr>
        <w:ind w:firstLine="627" w:firstLineChars="200"/>
        <w:rPr>
          <w:rFonts w:ascii="仿宋" w:hAnsi="仿宋" w:eastAsia="仿宋"/>
          <w:spacing w:val="-4"/>
          <w:sz w:val="32"/>
          <w:szCs w:val="32"/>
        </w:rPr>
      </w:pPr>
      <w:r>
        <w:rPr>
          <w:rFonts w:hint="eastAsia" w:ascii="仿宋" w:hAnsi="仿宋" w:eastAsia="仿宋"/>
          <w:b/>
          <w:spacing w:val="-4"/>
          <w:sz w:val="32"/>
          <w:szCs w:val="32"/>
        </w:rPr>
        <w:t>5.</w:t>
      </w:r>
      <w:r>
        <w:rPr>
          <w:rFonts w:ascii="仿宋" w:hAnsi="仿宋" w:eastAsia="仿宋"/>
          <w:b/>
          <w:spacing w:val="-4"/>
          <w:sz w:val="32"/>
          <w:szCs w:val="32"/>
        </w:rPr>
        <w:t>抓招商引资力度不减。</w:t>
      </w:r>
      <w:r>
        <w:rPr>
          <w:rFonts w:ascii="仿宋" w:hAnsi="仿宋" w:eastAsia="仿宋"/>
          <w:spacing w:val="-4"/>
          <w:sz w:val="32"/>
          <w:szCs w:val="32"/>
        </w:rPr>
        <w:t>紧紧把握市委“三个圈层”联动发展战略机遇，积极开展招商引资活动，构建多元化、多层次第三产业结构，分别到江西、重庆、成都、云南丽江、大理等地开展招商引资活动，成功引进希悦酒店、驻下酒店入驻西区，促进启能新能源汽车销售、废旧机动汽车回收拆解及汽车零部件再制造项目落户西区，成为商贸服务业发展的“新引擎”。</w:t>
      </w:r>
    </w:p>
    <w:p>
      <w:pPr>
        <w:ind w:firstLine="627" w:firstLineChars="200"/>
        <w:rPr>
          <w:rFonts w:ascii="仿宋" w:hAnsi="仿宋" w:eastAsia="仿宋"/>
          <w:spacing w:val="-4"/>
          <w:sz w:val="32"/>
          <w:szCs w:val="32"/>
        </w:rPr>
      </w:pPr>
      <w:r>
        <w:rPr>
          <w:rFonts w:hint="eastAsia" w:ascii="仿宋" w:hAnsi="仿宋" w:eastAsia="仿宋"/>
          <w:b/>
          <w:spacing w:val="-4"/>
          <w:sz w:val="32"/>
          <w:szCs w:val="32"/>
        </w:rPr>
        <w:t>6.</w:t>
      </w:r>
      <w:r>
        <w:rPr>
          <w:rFonts w:ascii="仿宋" w:hAnsi="仿宋" w:eastAsia="仿宋"/>
          <w:b/>
          <w:spacing w:val="-4"/>
          <w:sz w:val="32"/>
          <w:szCs w:val="32"/>
        </w:rPr>
        <w:t>抓消费升级成为常态。</w:t>
      </w:r>
      <w:r>
        <w:rPr>
          <w:rFonts w:ascii="仿宋" w:hAnsi="仿宋" w:eastAsia="仿宋"/>
          <w:spacing w:val="-4"/>
          <w:sz w:val="32"/>
          <w:szCs w:val="32"/>
        </w:rPr>
        <w:t>围绕“味美四川”“欢乐美食季”餐饮名菜评选，深入挖掘地方特色美食，提升西区美食的知名度和美誉度，牢牢把握群众消费心理，绘制“西区消费地图”，打造“小凤久”“巴尖鲍鱼串串”等一批网红打卡店。</w:t>
      </w:r>
      <w:r>
        <w:rPr>
          <w:rFonts w:hint="eastAsia" w:ascii="仿宋" w:hAnsi="仿宋" w:eastAsia="仿宋"/>
          <w:spacing w:val="-4"/>
          <w:sz w:val="32"/>
          <w:szCs w:val="32"/>
        </w:rPr>
        <w:t>以</w:t>
      </w:r>
      <w:r>
        <w:rPr>
          <w:rFonts w:ascii="仿宋" w:hAnsi="仿宋" w:eastAsia="仿宋"/>
          <w:spacing w:val="-4"/>
          <w:sz w:val="32"/>
          <w:szCs w:val="32"/>
        </w:rPr>
        <w:t>假日经济、夜间经济</w:t>
      </w:r>
      <w:r>
        <w:rPr>
          <w:rFonts w:hint="eastAsia" w:ascii="仿宋" w:hAnsi="仿宋" w:eastAsia="仿宋"/>
          <w:spacing w:val="-4"/>
          <w:sz w:val="32"/>
          <w:szCs w:val="32"/>
        </w:rPr>
        <w:t>齐抓手</w:t>
      </w:r>
      <w:r>
        <w:rPr>
          <w:rFonts w:ascii="仿宋" w:hAnsi="仿宋" w:eastAsia="仿宋"/>
          <w:spacing w:val="-4"/>
          <w:sz w:val="32"/>
          <w:szCs w:val="32"/>
        </w:rPr>
        <w:t>，相继推出“汇聚阳光</w:t>
      </w:r>
      <w:r>
        <w:rPr>
          <w:rFonts w:eastAsia="仿宋"/>
          <w:spacing w:val="-4"/>
          <w:sz w:val="32"/>
          <w:szCs w:val="32"/>
        </w:rPr>
        <w:t>•</w:t>
      </w:r>
      <w:r>
        <w:rPr>
          <w:rFonts w:ascii="仿宋" w:hAnsi="仿宋" w:eastAsia="仿宋"/>
          <w:spacing w:val="-4"/>
          <w:sz w:val="32"/>
          <w:szCs w:val="32"/>
        </w:rPr>
        <w:t>悦享花城”“月满中秋</w:t>
      </w:r>
      <w:r>
        <w:rPr>
          <w:rFonts w:eastAsia="仿宋"/>
          <w:spacing w:val="-4"/>
          <w:sz w:val="32"/>
          <w:szCs w:val="32"/>
        </w:rPr>
        <w:t>•</w:t>
      </w:r>
      <w:r>
        <w:rPr>
          <w:rFonts w:ascii="仿宋" w:hAnsi="仿宋" w:eastAsia="仿宋"/>
          <w:spacing w:val="-4"/>
          <w:sz w:val="32"/>
          <w:szCs w:val="32"/>
        </w:rPr>
        <w:t>阖家团圆”等惠民促销活动，保障消费市场持续活跃。促进线上线下经济融合发展，组织优秀芒果经销商参加“攀枝花市第二届电商芒果节”，通过直播带货等方式进一步拓宽本地特色农副产品的销售渠道，提升知名度及影响力。</w:t>
      </w:r>
    </w:p>
    <w:p>
      <w:pPr>
        <w:ind w:firstLine="627" w:firstLineChars="200"/>
        <w:rPr>
          <w:rFonts w:ascii="仿宋" w:hAnsi="仿宋" w:eastAsia="仿宋"/>
          <w:spacing w:val="-4"/>
          <w:sz w:val="32"/>
          <w:szCs w:val="32"/>
        </w:rPr>
      </w:pPr>
      <w:r>
        <w:rPr>
          <w:rFonts w:hint="eastAsia" w:ascii="仿宋" w:hAnsi="仿宋" w:eastAsia="仿宋"/>
          <w:b/>
          <w:spacing w:val="-4"/>
          <w:sz w:val="32"/>
          <w:szCs w:val="32"/>
        </w:rPr>
        <w:t>7.</w:t>
      </w:r>
      <w:r>
        <w:rPr>
          <w:rFonts w:ascii="仿宋" w:hAnsi="仿宋" w:eastAsia="仿宋"/>
          <w:b/>
          <w:spacing w:val="-4"/>
          <w:sz w:val="32"/>
          <w:szCs w:val="32"/>
        </w:rPr>
        <w:t>抓安全环保持续发力。</w:t>
      </w:r>
      <w:r>
        <w:rPr>
          <w:rFonts w:ascii="仿宋" w:hAnsi="仿宋" w:eastAsia="仿宋"/>
          <w:spacing w:val="-4"/>
          <w:sz w:val="32"/>
          <w:szCs w:val="32"/>
        </w:rPr>
        <w:t>全面落实安全生产“党政同责、一岗双责”的要求，持续推进安全生产清单制管理，落实行业监管责任，深化商贸流通领域安全隐患排查治理工作，对大型商超、商务宾馆、再生资源回收市场等重点商贸流通企业检查共计200余次，所有隐患均按闭环管理要求及时督促企业完成整改。紧盯大型物流、再生资源回收市场，完成废气废水排放、扬尘等生态环境突出点位整改51处，全面完成中央、省两级环保督</w:t>
      </w:r>
      <w:r>
        <w:rPr>
          <w:rFonts w:hint="eastAsia" w:ascii="仿宋" w:hAnsi="仿宋" w:eastAsia="仿宋"/>
          <w:spacing w:val="-4"/>
          <w:sz w:val="32"/>
          <w:szCs w:val="32"/>
          <w:lang w:eastAsia="zh-CN"/>
        </w:rPr>
        <w:t>察</w:t>
      </w:r>
      <w:bookmarkStart w:id="77" w:name="_GoBack"/>
      <w:bookmarkEnd w:id="77"/>
      <w:r>
        <w:rPr>
          <w:rFonts w:ascii="仿宋" w:hAnsi="仿宋" w:eastAsia="仿宋"/>
          <w:spacing w:val="-4"/>
          <w:sz w:val="32"/>
          <w:szCs w:val="32"/>
        </w:rPr>
        <w:t>回头看重点工作任务。</w:t>
      </w:r>
    </w:p>
    <w:p>
      <w:pPr>
        <w:ind w:firstLine="627" w:firstLineChars="200"/>
        <w:rPr>
          <w:rFonts w:ascii="仿宋" w:hAnsi="仿宋" w:eastAsia="仿宋"/>
          <w:b/>
          <w:spacing w:val="-4"/>
          <w:sz w:val="32"/>
          <w:szCs w:val="32"/>
        </w:rPr>
      </w:pPr>
      <w:r>
        <w:rPr>
          <w:rFonts w:hint="eastAsia" w:ascii="仿宋" w:hAnsi="仿宋" w:eastAsia="仿宋"/>
          <w:b/>
          <w:spacing w:val="-4"/>
          <w:sz w:val="32"/>
          <w:szCs w:val="32"/>
        </w:rPr>
        <w:t>8.</w:t>
      </w:r>
      <w:r>
        <w:rPr>
          <w:rFonts w:ascii="仿宋" w:hAnsi="仿宋" w:eastAsia="仿宋"/>
          <w:b/>
          <w:spacing w:val="-4"/>
          <w:sz w:val="32"/>
          <w:szCs w:val="32"/>
        </w:rPr>
        <w:t>抓疫情防控常态管理。</w:t>
      </w:r>
      <w:r>
        <w:rPr>
          <w:rFonts w:ascii="仿宋" w:hAnsi="仿宋" w:eastAsia="仿宋"/>
          <w:spacing w:val="-4"/>
          <w:sz w:val="32"/>
          <w:szCs w:val="32"/>
        </w:rPr>
        <w:t>进一步深化疫情防控在经济社会发展全局重要性的认识，压紧压实行业管理责任，确保各项防控措施在商贸流通领域落地落实。以强抓宾馆等行业“外防输入”及人员密集场所落实防控措施为重点，加强日常巡查监管，确保不失管、不漏管。推动疫苗接种宣传、政策解读、接种适龄人群摸排登记等工作，及时组织、督促从业人员开展疫苗接种，辖区超市、宾馆等直接面向群众服务的从业人员接种率达99.86%，全面完成目标任务。</w:t>
      </w:r>
    </w:p>
    <w:p>
      <w:pPr>
        <w:pStyle w:val="4"/>
        <w:numPr>
          <w:ilvl w:val="0"/>
          <w:numId w:val="2"/>
        </w:numPr>
        <w:rPr>
          <w:rStyle w:val="26"/>
          <w:b w:val="0"/>
          <w:bCs w:val="0"/>
        </w:rPr>
      </w:pPr>
      <w:bookmarkStart w:id="20" w:name="_Toc15377200"/>
      <w:bookmarkStart w:id="21" w:name="_Toc15396601"/>
      <w:r>
        <w:rPr>
          <w:rFonts w:hint="eastAsia" w:ascii="黑体" w:hAnsi="黑体" w:eastAsia="黑体"/>
          <w:b w:val="0"/>
        </w:rPr>
        <w:t>机</w:t>
      </w:r>
      <w:r>
        <w:rPr>
          <w:rStyle w:val="26"/>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bookmarkStart w:id="22" w:name="_Toc15306275"/>
      <w:bookmarkStart w:id="23" w:name="_Toc15377201"/>
      <w:bookmarkStart w:id="24" w:name="_Toc15377432"/>
      <w:bookmarkStart w:id="25" w:name="_Toc15378448"/>
      <w:r>
        <w:rPr>
          <w:rFonts w:hint="eastAsia" w:ascii="仿宋" w:hAnsi="仿宋" w:eastAsia="仿宋"/>
          <w:sz w:val="32"/>
          <w:szCs w:val="32"/>
        </w:rPr>
        <w:t>（一）攀枝花市西区商务局下属二级单位2个，其中行政单位0个，参照公务员法管理的事业单位1个</w:t>
      </w:r>
      <w:r>
        <w:rPr>
          <w:rFonts w:hint="eastAsia" w:ascii="仿宋_GB2312" w:eastAsia="仿宋_GB2312"/>
          <w:sz w:val="32"/>
          <w:szCs w:val="32"/>
        </w:rPr>
        <w:t>（西区商贸执法队）</w:t>
      </w:r>
      <w:r>
        <w:rPr>
          <w:rFonts w:hint="eastAsia" w:ascii="仿宋" w:hAnsi="仿宋" w:eastAsia="仿宋"/>
          <w:sz w:val="32"/>
          <w:szCs w:val="32"/>
        </w:rPr>
        <w:t>，其他事业单位1个（西区现代服务业发展促进中心）。</w:t>
      </w:r>
    </w:p>
    <w:p>
      <w:pPr>
        <w:ind w:firstLine="640" w:firstLineChars="200"/>
        <w:rPr>
          <w:rFonts w:ascii="仿宋" w:hAnsi="仿宋" w:eastAsia="仿宋"/>
          <w:sz w:val="32"/>
          <w:szCs w:val="32"/>
        </w:rPr>
      </w:pPr>
      <w:r>
        <w:rPr>
          <w:rFonts w:hint="eastAsia" w:ascii="仿宋" w:hAnsi="仿宋" w:eastAsia="仿宋"/>
          <w:sz w:val="32"/>
          <w:szCs w:val="32"/>
        </w:rPr>
        <w:t>（二）纳入攀枝花市西区商务局2021年度部门决算编制范围的二级预算单位0个。</w:t>
      </w:r>
    </w:p>
    <w:bookmarkEnd w:id="22"/>
    <w:bookmarkEnd w:id="23"/>
    <w:bookmarkEnd w:id="24"/>
    <w:bookmarkEnd w:id="25"/>
    <w:p>
      <w:pPr>
        <w:pStyle w:val="3"/>
        <w:ind w:right="440"/>
        <w:jc w:val="center"/>
        <w:rPr>
          <w:rStyle w:val="25"/>
          <w:rFonts w:ascii="黑体" w:hAnsi="黑体" w:eastAsia="黑体"/>
          <w:b w:val="0"/>
          <w:bCs/>
        </w:rPr>
      </w:pPr>
      <w:bookmarkStart w:id="26" w:name="_Toc15377204"/>
      <w:bookmarkStart w:id="27" w:name="_Toc15396602"/>
      <w:r>
        <w:rPr>
          <w:rFonts w:hint="eastAsia" w:ascii="黑体" w:hAnsi="黑体" w:eastAsia="黑体"/>
          <w:b w:val="0"/>
        </w:rPr>
        <w:t>第二部分2021年度</w:t>
      </w:r>
      <w:r>
        <w:rPr>
          <w:rStyle w:val="25"/>
          <w:rFonts w:hint="eastAsia" w:ascii="黑体" w:hAnsi="黑体" w:eastAsia="黑体"/>
          <w:b w:val="0"/>
          <w:bCs/>
        </w:rPr>
        <w:t>部门决算情况说明</w:t>
      </w:r>
      <w:bookmarkEnd w:id="26"/>
      <w:bookmarkEnd w:id="27"/>
    </w:p>
    <w:p/>
    <w:p>
      <w:pPr>
        <w:pStyle w:val="24"/>
        <w:numPr>
          <w:ilvl w:val="0"/>
          <w:numId w:val="3"/>
        </w:numPr>
        <w:spacing w:line="600" w:lineRule="exact"/>
        <w:ind w:firstLineChars="0"/>
        <w:outlineLvl w:val="1"/>
        <w:rPr>
          <w:rStyle w:val="26"/>
          <w:rFonts w:ascii="黑体" w:hAnsi="黑体" w:eastAsia="黑体"/>
          <w:b w:val="0"/>
        </w:rPr>
      </w:pPr>
      <w:bookmarkStart w:id="28" w:name="_Toc15377205"/>
      <w:bookmarkStart w:id="2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8"/>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1年度收入总计312.63万元、支出总计462.69万元。与</w:t>
      </w:r>
      <w:r>
        <w:rPr>
          <w:rFonts w:ascii="仿宋" w:hAnsi="仿宋" w:eastAsia="仿宋"/>
          <w:sz w:val="32"/>
          <w:szCs w:val="32"/>
        </w:rPr>
        <w:t>20</w:t>
      </w:r>
      <w:r>
        <w:rPr>
          <w:rFonts w:hint="eastAsia" w:ascii="仿宋" w:hAnsi="仿宋" w:eastAsia="仿宋"/>
          <w:sz w:val="32"/>
          <w:szCs w:val="32"/>
        </w:rPr>
        <w:t>20年相比，收入减少总计37.55万元，下降10.72</w:t>
      </w:r>
      <w:r>
        <w:rPr>
          <w:rFonts w:ascii="仿宋" w:hAnsi="仿宋" w:eastAsia="仿宋"/>
          <w:sz w:val="32"/>
          <w:szCs w:val="32"/>
        </w:rPr>
        <w:t>%</w:t>
      </w:r>
      <w:r>
        <w:rPr>
          <w:rFonts w:hint="eastAsia" w:ascii="仿宋" w:hAnsi="仿宋" w:eastAsia="仿宋"/>
          <w:sz w:val="32"/>
          <w:szCs w:val="32"/>
        </w:rPr>
        <w:t>；支出总计增加68.19万元，增加17.29</w:t>
      </w:r>
      <w:r>
        <w:rPr>
          <w:rFonts w:ascii="仿宋" w:hAnsi="仿宋" w:eastAsia="仿宋"/>
          <w:sz w:val="32"/>
          <w:szCs w:val="32"/>
        </w:rPr>
        <w:t>%</w:t>
      </w:r>
      <w:r>
        <w:rPr>
          <w:rFonts w:hint="eastAsia" w:ascii="仿宋" w:hAnsi="仿宋" w:eastAsia="仿宋"/>
          <w:sz w:val="32"/>
          <w:szCs w:val="32"/>
        </w:rPr>
        <w:t>。主要变动原因是项目收入财政拨款减少，项目建设支出增加。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4744085" cy="2545715"/>
            <wp:effectExtent l="19050" t="0" r="17909" b="6617"/>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3"/>
        </w:numPr>
        <w:spacing w:line="600" w:lineRule="exact"/>
        <w:ind w:firstLineChars="0"/>
        <w:outlineLvl w:val="1"/>
        <w:rPr>
          <w:rStyle w:val="26"/>
          <w:rFonts w:ascii="黑体" w:hAnsi="黑体" w:eastAsia="黑体"/>
          <w:b w:val="0"/>
        </w:rPr>
      </w:pPr>
      <w:bookmarkStart w:id="30" w:name="_Toc15377206"/>
      <w:bookmarkStart w:id="31" w:name="_Toc15396604"/>
      <w:r>
        <w:rPr>
          <w:rFonts w:hint="eastAsia" w:ascii="黑体" w:hAnsi="黑体" w:eastAsia="黑体"/>
          <w:sz w:val="32"/>
          <w:szCs w:val="32"/>
        </w:rPr>
        <w:t>收</w:t>
      </w:r>
      <w:r>
        <w:rPr>
          <w:rStyle w:val="26"/>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21年本年收入合计312.63万元，其中：一般公共预算财政拨款收入260.44万元，占83.31</w:t>
      </w:r>
      <w:r>
        <w:rPr>
          <w:rFonts w:ascii="仿宋" w:hAnsi="仿宋" w:eastAsia="仿宋"/>
          <w:sz w:val="32"/>
          <w:szCs w:val="32"/>
        </w:rPr>
        <w:t>%</w:t>
      </w:r>
      <w:r>
        <w:rPr>
          <w:rFonts w:hint="eastAsia" w:ascii="仿宋" w:hAnsi="仿宋" w:eastAsia="仿宋"/>
          <w:sz w:val="32"/>
          <w:szCs w:val="32"/>
        </w:rPr>
        <w:t>；政府性基金预算财政拨款收入52.19万元，占16.69</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drawing>
          <wp:inline distT="0" distB="0" distL="0" distR="0">
            <wp:extent cx="4662170" cy="2814320"/>
            <wp:effectExtent l="19050" t="0" r="23841" b="5019"/>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3"/>
        </w:numPr>
        <w:spacing w:line="600" w:lineRule="exact"/>
        <w:ind w:firstLineChars="0"/>
        <w:outlineLvl w:val="1"/>
        <w:rPr>
          <w:rStyle w:val="26"/>
          <w:rFonts w:ascii="黑体" w:hAnsi="黑体" w:eastAsia="黑体"/>
          <w:b w:val="0"/>
        </w:rPr>
      </w:pPr>
      <w:bookmarkStart w:id="32" w:name="_Toc15377207"/>
      <w:bookmarkStart w:id="33" w:name="_Toc15396605"/>
      <w:r>
        <w:rPr>
          <w:rFonts w:hint="eastAsia" w:ascii="黑体" w:hAnsi="黑体" w:eastAsia="黑体"/>
          <w:sz w:val="32"/>
          <w:szCs w:val="32"/>
        </w:rPr>
        <w:t>支</w:t>
      </w:r>
      <w:r>
        <w:rPr>
          <w:rStyle w:val="26"/>
          <w:rFonts w:hint="eastAsia" w:ascii="黑体" w:hAnsi="黑体" w:eastAsia="黑体"/>
          <w:b w:val="0"/>
        </w:rPr>
        <w:t>出决算情况说明</w:t>
      </w:r>
      <w:bookmarkEnd w:id="32"/>
      <w:bookmarkEnd w:id="3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21年本年支出合计462.69万元，其中：基本支出257.06万元，占55.56</w:t>
      </w:r>
      <w:r>
        <w:rPr>
          <w:rFonts w:ascii="仿宋" w:hAnsi="仿宋" w:eastAsia="仿宋"/>
          <w:sz w:val="32"/>
          <w:szCs w:val="32"/>
        </w:rPr>
        <w:t>%</w:t>
      </w:r>
      <w:r>
        <w:rPr>
          <w:rFonts w:hint="eastAsia" w:ascii="仿宋" w:hAnsi="仿宋" w:eastAsia="仿宋"/>
          <w:sz w:val="32"/>
          <w:szCs w:val="32"/>
        </w:rPr>
        <w:t>；项目支出205.63万元，占44.44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drawing>
          <wp:inline distT="0" distB="0" distL="0" distR="0">
            <wp:extent cx="3625850" cy="1606550"/>
            <wp:effectExtent l="19050" t="0" r="1270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34" w:name="_Toc15396606"/>
      <w:bookmarkStart w:id="3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4"/>
      <w:bookmarkEnd w:id="3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21年财政拨款收入总计312.63万元、支出总计462.69万元。与</w:t>
      </w:r>
      <w:r>
        <w:rPr>
          <w:rFonts w:ascii="仿宋" w:hAnsi="仿宋" w:eastAsia="仿宋"/>
          <w:sz w:val="32"/>
          <w:szCs w:val="32"/>
        </w:rPr>
        <w:t>20</w:t>
      </w:r>
      <w:r>
        <w:rPr>
          <w:rFonts w:hint="eastAsia" w:ascii="仿宋" w:hAnsi="仿宋" w:eastAsia="仿宋"/>
          <w:sz w:val="32"/>
          <w:szCs w:val="32"/>
        </w:rPr>
        <w:t>20年相比，财政拨款收入减少总计36.3万元，下降10.40</w:t>
      </w:r>
      <w:r>
        <w:rPr>
          <w:rFonts w:ascii="仿宋" w:hAnsi="仿宋" w:eastAsia="仿宋"/>
          <w:sz w:val="32"/>
          <w:szCs w:val="32"/>
        </w:rPr>
        <w:t>%</w:t>
      </w:r>
      <w:r>
        <w:rPr>
          <w:rFonts w:hint="eastAsia" w:ascii="仿宋" w:hAnsi="仿宋" w:eastAsia="仿宋"/>
          <w:sz w:val="32"/>
          <w:szCs w:val="32"/>
        </w:rPr>
        <w:t>；支出总计增加69.38万元，增加17.64</w:t>
      </w:r>
      <w:r>
        <w:rPr>
          <w:rFonts w:ascii="仿宋" w:hAnsi="仿宋" w:eastAsia="仿宋"/>
          <w:sz w:val="32"/>
          <w:szCs w:val="32"/>
        </w:rPr>
        <w:t>%</w:t>
      </w:r>
      <w:r>
        <w:rPr>
          <w:rFonts w:hint="eastAsia" w:ascii="仿宋" w:hAnsi="仿宋" w:eastAsia="仿宋"/>
          <w:sz w:val="32"/>
          <w:szCs w:val="32"/>
        </w:rPr>
        <w:t>。主要变动原因是项目收入减少，支出增加。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drawing>
          <wp:inline distT="0" distB="0" distL="0" distR="0">
            <wp:extent cx="5445125" cy="2961640"/>
            <wp:effectExtent l="19050" t="0" r="21902"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bookmarkStart w:id="36" w:name="_Toc15377209"/>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21年一般公共预算财政拨款支出408.44万元，占本年支出合计的88.28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20年相比，一般公共预算财政拨款支出增加140.32万元，增长52.33</w:t>
      </w:r>
      <w:r>
        <w:rPr>
          <w:rFonts w:ascii="仿宋" w:hAnsi="仿宋" w:eastAsia="仿宋"/>
          <w:sz w:val="32"/>
          <w:szCs w:val="32"/>
        </w:rPr>
        <w:t>%</w:t>
      </w:r>
      <w:r>
        <w:rPr>
          <w:rFonts w:hint="eastAsia" w:ascii="仿宋" w:hAnsi="仿宋" w:eastAsia="仿宋"/>
          <w:sz w:val="32"/>
          <w:szCs w:val="32"/>
        </w:rPr>
        <w:t>。主要变动原因是人员增加导致人员经费增加，项目建设支出增加。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pPr>
        <w:widowControl/>
        <w:spacing w:line="600" w:lineRule="atLeast"/>
        <w:ind w:firstLine="640"/>
        <w:jc w:val="left"/>
        <w:rPr>
          <w:rFonts w:ascii="仿宋" w:hAnsi="仿宋" w:eastAsia="仿宋" w:cs="宋体"/>
          <w:kern w:val="0"/>
          <w:sz w:val="24"/>
        </w:rPr>
      </w:pPr>
      <w:r>
        <w:rPr>
          <w:rFonts w:ascii="仿宋" w:hAnsi="仿宋" w:eastAsia="仿宋"/>
          <w:sz w:val="32"/>
          <w:szCs w:val="32"/>
        </w:rPr>
        <w:t>20</w:t>
      </w:r>
      <w:r>
        <w:rPr>
          <w:rFonts w:hint="eastAsia" w:ascii="仿宋" w:hAnsi="仿宋" w:eastAsia="仿宋"/>
          <w:sz w:val="32"/>
          <w:szCs w:val="32"/>
        </w:rPr>
        <w:t>21年</w:t>
      </w:r>
      <w:r>
        <w:rPr>
          <w:rFonts w:hint="eastAsia" w:ascii="仿宋" w:hAnsi="仿宋" w:eastAsia="仿宋"/>
          <w:color w:val="000000"/>
          <w:kern w:val="0"/>
          <w:sz w:val="32"/>
          <w:szCs w:val="32"/>
        </w:rPr>
        <w:t>一般公共预算财政拨款支出408.44万元，主要用于以下方面</w:t>
      </w:r>
      <w:r>
        <w:rPr>
          <w:rFonts w:ascii="仿宋" w:hAnsi="仿宋" w:eastAsia="仿宋"/>
          <w:color w:val="000000"/>
          <w:kern w:val="0"/>
          <w:sz w:val="32"/>
          <w:szCs w:val="32"/>
        </w:rPr>
        <w:t>:</w:t>
      </w:r>
      <w:r>
        <w:rPr>
          <w:rFonts w:hint="eastAsia" w:ascii="仿宋" w:hAnsi="仿宋" w:eastAsia="仿宋"/>
          <w:bCs/>
          <w:color w:val="000000"/>
          <w:kern w:val="0"/>
          <w:sz w:val="32"/>
        </w:rPr>
        <w:t>一般公共服务（类）</w:t>
      </w:r>
      <w:r>
        <w:rPr>
          <w:rFonts w:hint="eastAsia" w:ascii="仿宋" w:hAnsi="仿宋" w:eastAsia="仿宋"/>
          <w:color w:val="000000"/>
          <w:kern w:val="0"/>
          <w:sz w:val="32"/>
          <w:szCs w:val="32"/>
        </w:rPr>
        <w:t>支出203.70万元，占49.87</w:t>
      </w:r>
      <w:r>
        <w:rPr>
          <w:rFonts w:ascii="仿宋" w:hAnsi="仿宋" w:eastAsia="仿宋"/>
          <w:color w:val="000000"/>
          <w:kern w:val="0"/>
          <w:sz w:val="32"/>
          <w:szCs w:val="32"/>
        </w:rPr>
        <w:t>%</w:t>
      </w:r>
      <w:r>
        <w:rPr>
          <w:rFonts w:hint="eastAsia" w:ascii="仿宋" w:hAnsi="仿宋" w:eastAsia="仿宋"/>
          <w:color w:val="000000"/>
          <w:kern w:val="0"/>
          <w:sz w:val="32"/>
          <w:szCs w:val="32"/>
        </w:rPr>
        <w:t>；</w:t>
      </w:r>
      <w:r>
        <w:rPr>
          <w:rFonts w:hint="eastAsia" w:ascii="仿宋" w:hAnsi="仿宋" w:eastAsia="仿宋"/>
          <w:bCs/>
          <w:color w:val="000000"/>
          <w:kern w:val="0"/>
          <w:sz w:val="32"/>
        </w:rPr>
        <w:t>社会保障和就业（类）</w:t>
      </w:r>
      <w:r>
        <w:rPr>
          <w:rFonts w:hint="eastAsia" w:ascii="仿宋" w:hAnsi="仿宋" w:eastAsia="仿宋"/>
          <w:color w:val="000000"/>
          <w:kern w:val="0"/>
          <w:sz w:val="32"/>
          <w:szCs w:val="32"/>
        </w:rPr>
        <w:t>支出17.39万元，占4.26</w:t>
      </w:r>
      <w:r>
        <w:rPr>
          <w:rFonts w:ascii="仿宋" w:hAnsi="仿宋" w:eastAsia="仿宋"/>
          <w:color w:val="000000"/>
          <w:kern w:val="0"/>
          <w:sz w:val="32"/>
          <w:szCs w:val="32"/>
        </w:rPr>
        <w:t>%</w:t>
      </w:r>
      <w:r>
        <w:rPr>
          <w:rFonts w:hint="eastAsia" w:ascii="仿宋" w:hAnsi="仿宋" w:eastAsia="仿宋"/>
          <w:color w:val="000000"/>
          <w:kern w:val="0"/>
          <w:sz w:val="32"/>
          <w:szCs w:val="32"/>
        </w:rPr>
        <w:t>；</w:t>
      </w:r>
      <w:r>
        <w:rPr>
          <w:rFonts w:hint="eastAsia" w:ascii="仿宋" w:hAnsi="仿宋" w:eastAsia="仿宋"/>
          <w:bCs/>
          <w:color w:val="000000"/>
          <w:kern w:val="0"/>
          <w:sz w:val="32"/>
        </w:rPr>
        <w:t>卫生健康（类）</w:t>
      </w:r>
      <w:r>
        <w:rPr>
          <w:rFonts w:hint="eastAsia" w:ascii="仿宋" w:hAnsi="仿宋" w:eastAsia="仿宋"/>
          <w:color w:val="000000"/>
          <w:kern w:val="0"/>
          <w:sz w:val="32"/>
          <w:szCs w:val="32"/>
        </w:rPr>
        <w:t>支出14.97万元，占3.66</w:t>
      </w:r>
      <w:r>
        <w:rPr>
          <w:rFonts w:ascii="仿宋" w:hAnsi="仿宋" w:eastAsia="仿宋"/>
          <w:color w:val="000000"/>
          <w:kern w:val="0"/>
          <w:sz w:val="32"/>
          <w:szCs w:val="32"/>
        </w:rPr>
        <w:t>%</w:t>
      </w:r>
      <w:r>
        <w:rPr>
          <w:rFonts w:hint="eastAsia" w:ascii="仿宋" w:hAnsi="仿宋" w:eastAsia="仿宋"/>
          <w:color w:val="000000"/>
          <w:kern w:val="0"/>
          <w:sz w:val="32"/>
          <w:szCs w:val="32"/>
        </w:rPr>
        <w:t>；</w:t>
      </w:r>
      <w:r>
        <w:rPr>
          <w:rFonts w:hint="eastAsia" w:ascii="仿宋" w:hAnsi="仿宋" w:eastAsia="仿宋"/>
          <w:bCs/>
          <w:color w:val="000000"/>
          <w:kern w:val="0"/>
          <w:sz w:val="32"/>
        </w:rPr>
        <w:t>商业服务业等（类）</w:t>
      </w:r>
      <w:r>
        <w:rPr>
          <w:rFonts w:hint="eastAsia" w:ascii="仿宋" w:hAnsi="仿宋" w:eastAsia="仿宋"/>
          <w:color w:val="000000"/>
          <w:kern w:val="0"/>
          <w:sz w:val="32"/>
          <w:szCs w:val="32"/>
        </w:rPr>
        <w:t>支出150.7万元，占36.90</w:t>
      </w:r>
      <w:r>
        <w:rPr>
          <w:rFonts w:ascii="仿宋" w:hAnsi="仿宋" w:eastAsia="仿宋"/>
          <w:color w:val="000000"/>
          <w:kern w:val="0"/>
          <w:sz w:val="32"/>
          <w:szCs w:val="32"/>
        </w:rPr>
        <w:t>%</w:t>
      </w:r>
      <w:r>
        <w:rPr>
          <w:rFonts w:hint="eastAsia" w:ascii="仿宋" w:hAnsi="仿宋" w:eastAsia="仿宋"/>
          <w:color w:val="000000"/>
          <w:kern w:val="0"/>
          <w:sz w:val="32"/>
          <w:szCs w:val="32"/>
        </w:rPr>
        <w:t>；</w:t>
      </w:r>
      <w:r>
        <w:rPr>
          <w:rFonts w:hint="eastAsia" w:ascii="仿宋" w:hAnsi="仿宋" w:eastAsia="仿宋"/>
          <w:bCs/>
          <w:color w:val="000000"/>
          <w:kern w:val="0"/>
          <w:sz w:val="32"/>
        </w:rPr>
        <w:t>住房保障（类）</w:t>
      </w:r>
      <w:r>
        <w:rPr>
          <w:rFonts w:hint="eastAsia" w:ascii="仿宋" w:hAnsi="仿宋" w:eastAsia="仿宋"/>
          <w:color w:val="000000"/>
          <w:kern w:val="0"/>
          <w:sz w:val="32"/>
          <w:szCs w:val="32"/>
        </w:rPr>
        <w:t>支出21.68万元，占5.31</w:t>
      </w:r>
      <w:r>
        <w:rPr>
          <w:rFonts w:ascii="仿宋" w:hAnsi="仿宋" w:eastAsia="仿宋"/>
          <w:color w:val="000000"/>
          <w:kern w:val="0"/>
          <w:sz w:val="32"/>
          <w:szCs w:val="32"/>
        </w:rPr>
        <w:t>%</w:t>
      </w:r>
      <w:r>
        <w:rPr>
          <w:rFonts w:hint="eastAsia" w:ascii="仿宋" w:hAnsi="仿宋" w:eastAsia="仿宋"/>
          <w:color w:val="000000"/>
          <w:kern w:val="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pPr>
      <w:r>
        <w:drawing>
          <wp:inline distT="0" distB="0" distL="0" distR="0">
            <wp:extent cx="4927600" cy="2946400"/>
            <wp:effectExtent l="19050" t="0" r="2540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40" w:name="_Toc15377212"/>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40"/>
    </w:p>
    <w:p>
      <w:pPr>
        <w:spacing w:line="600" w:lineRule="exact"/>
        <w:ind w:firstLine="643" w:firstLineChars="200"/>
        <w:outlineLvl w:val="2"/>
        <w:rPr>
          <w:rFonts w:ascii="仿宋" w:hAnsi="仿宋" w:eastAsia="仿宋"/>
          <w:sz w:val="32"/>
          <w:szCs w:val="32"/>
        </w:rPr>
      </w:pPr>
      <w:bookmarkStart w:id="41" w:name="_Toc15377213"/>
      <w:bookmarkStart w:id="42" w:name="_Toc15378460"/>
      <w:bookmarkStart w:id="43" w:name="_Toc15377444"/>
      <w:r>
        <w:rPr>
          <w:rFonts w:hint="eastAsia" w:ascii="仿宋" w:hAnsi="仿宋" w:eastAsia="仿宋"/>
          <w:b/>
          <w:sz w:val="32"/>
          <w:szCs w:val="32"/>
        </w:rPr>
        <w:t>2021年一般公共预算支出决算数为408.44</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41"/>
      <w:bookmarkEnd w:id="42"/>
      <w:bookmarkEnd w:id="43"/>
    </w:p>
    <w:p>
      <w:pPr>
        <w:spacing w:line="600" w:lineRule="exact"/>
        <w:ind w:firstLine="643" w:firstLineChars="200"/>
        <w:rPr>
          <w:rStyle w:val="15"/>
          <w:rFonts w:ascii="仿宋" w:hAnsi="仿宋" w:eastAsia="仿宋"/>
          <w:b w:val="0"/>
          <w:bCs/>
          <w:sz w:val="32"/>
          <w:szCs w:val="32"/>
        </w:rPr>
      </w:pPr>
      <w:r>
        <w:rPr>
          <w:rStyle w:val="15"/>
          <w:rFonts w:ascii="仿宋" w:hAnsi="仿宋" w:eastAsia="仿宋"/>
          <w:bCs/>
          <w:sz w:val="32"/>
          <w:szCs w:val="32"/>
        </w:rPr>
        <w:t>1.</w:t>
      </w:r>
      <w:r>
        <w:rPr>
          <w:rFonts w:hint="eastAsia" w:ascii="仿宋" w:hAnsi="仿宋" w:eastAsia="仿宋"/>
          <w:b/>
          <w:bCs/>
          <w:sz w:val="32"/>
          <w:szCs w:val="32"/>
        </w:rPr>
        <w:t>一般公共服务（类）商贸事务（款）行政运行（项）</w:t>
      </w:r>
      <w:r>
        <w:rPr>
          <w:rStyle w:val="15"/>
          <w:rFonts w:ascii="仿宋" w:hAnsi="仿宋" w:eastAsia="仿宋"/>
          <w:bCs/>
          <w:sz w:val="32"/>
          <w:szCs w:val="32"/>
        </w:rPr>
        <w:t>:</w:t>
      </w:r>
      <w:r>
        <w:rPr>
          <w:rStyle w:val="15"/>
          <w:rFonts w:hint="eastAsia" w:ascii="仿宋" w:hAnsi="仿宋" w:eastAsia="仿宋"/>
          <w:b w:val="0"/>
          <w:bCs/>
          <w:sz w:val="32"/>
          <w:szCs w:val="32"/>
        </w:rPr>
        <w:t>支出决算为109.53万元，完成预算100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Fonts w:hint="eastAsia" w:ascii="仿宋" w:hAnsi="仿宋" w:eastAsia="仿宋"/>
          <w:b/>
          <w:bCs/>
          <w:sz w:val="32"/>
          <w:szCs w:val="32"/>
        </w:rPr>
        <w:t>一般公共服务（类）商贸事务（款）事业运行（项）</w:t>
      </w:r>
      <w:r>
        <w:rPr>
          <w:rStyle w:val="15"/>
          <w:rFonts w:ascii="仿宋" w:hAnsi="仿宋" w:eastAsia="仿宋"/>
          <w:bCs/>
          <w:sz w:val="32"/>
          <w:szCs w:val="32"/>
        </w:rPr>
        <w:t>:</w:t>
      </w:r>
      <w:r>
        <w:rPr>
          <w:rStyle w:val="15"/>
          <w:rFonts w:hint="eastAsia" w:ascii="仿宋" w:hAnsi="仿宋" w:eastAsia="仿宋"/>
          <w:b w:val="0"/>
          <w:bCs/>
          <w:sz w:val="32"/>
          <w:szCs w:val="32"/>
        </w:rPr>
        <w:t>支出决算为93.5万元，完成预算100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Fonts w:hint="eastAsia" w:ascii="仿宋" w:hAnsi="仿宋" w:eastAsia="仿宋"/>
          <w:b/>
          <w:bCs/>
          <w:sz w:val="32"/>
          <w:szCs w:val="32"/>
        </w:rPr>
        <w:t>一般公共服务（类）商贸事务（款）其他商贸事务支出（项）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支出决算为0.68万元，完成预算100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widowControl/>
        <w:spacing w:line="221" w:lineRule="atLeast"/>
        <w:ind w:firstLine="643"/>
        <w:jc w:val="left"/>
        <w:rPr>
          <w:rFonts w:ascii="仿宋" w:hAnsi="仿宋" w:eastAsia="仿宋" w:cs="宋体"/>
          <w:kern w:val="0"/>
          <w:sz w:val="24"/>
        </w:rPr>
      </w:pPr>
      <w:r>
        <w:rPr>
          <w:rFonts w:hint="eastAsia" w:ascii="仿宋" w:hAnsi="仿宋" w:eastAsia="仿宋" w:cs="宋体"/>
          <w:b/>
          <w:bCs/>
          <w:color w:val="000000"/>
          <w:kern w:val="0"/>
          <w:sz w:val="32"/>
        </w:rPr>
        <w:t>4.社会保障和就业支出（类）行政事业单位离退休（款）机关事业单位基本养老保险缴费支出（项）</w:t>
      </w:r>
      <w:r>
        <w:rPr>
          <w:rFonts w:ascii="Calibri" w:hAnsi="Calibri" w:cs="宋体"/>
          <w:b/>
          <w:bCs/>
          <w:color w:val="000000"/>
          <w:kern w:val="0"/>
          <w:sz w:val="32"/>
        </w:rPr>
        <w:t>:</w:t>
      </w:r>
      <w:r>
        <w:rPr>
          <w:rFonts w:hint="eastAsia" w:ascii="仿宋" w:hAnsi="仿宋" w:eastAsia="仿宋" w:cs="宋体"/>
          <w:color w:val="000000"/>
          <w:kern w:val="0"/>
          <w:sz w:val="32"/>
          <w:szCs w:val="32"/>
        </w:rPr>
        <w:t>支出决算</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7.39万元，完成预算</w:t>
      </w:r>
      <w:r>
        <w:rPr>
          <w:rFonts w:ascii="仿宋" w:hAnsi="仿宋" w:eastAsia="仿宋" w:cs="宋体"/>
          <w:color w:val="000000"/>
          <w:kern w:val="0"/>
          <w:sz w:val="32"/>
          <w:szCs w:val="32"/>
        </w:rPr>
        <w:t>100%</w:t>
      </w:r>
      <w:r>
        <w:rPr>
          <w:rFonts w:hint="eastAsia" w:ascii="仿宋" w:hAnsi="仿宋" w:eastAsia="仿宋" w:cs="宋体"/>
          <w:kern w:val="0"/>
          <w:sz w:val="32"/>
          <w:szCs w:val="32"/>
        </w:rPr>
        <w:t>，决算数等于预算数</w:t>
      </w:r>
      <w:r>
        <w:rPr>
          <w:rFonts w:hint="eastAsia" w:ascii="仿宋" w:hAnsi="仿宋" w:eastAsia="仿宋" w:cs="宋体"/>
          <w:color w:val="000000"/>
          <w:kern w:val="0"/>
          <w:sz w:val="32"/>
          <w:szCs w:val="32"/>
        </w:rPr>
        <w:t>。</w:t>
      </w:r>
    </w:p>
    <w:p>
      <w:pPr>
        <w:spacing w:line="600" w:lineRule="exact"/>
        <w:ind w:firstLine="643" w:firstLineChars="200"/>
        <w:rPr>
          <w:rFonts w:ascii="仿宋" w:hAnsi="仿宋" w:eastAsia="仿宋"/>
          <w:sz w:val="32"/>
          <w:szCs w:val="32"/>
        </w:rPr>
      </w:pPr>
      <w:r>
        <w:rPr>
          <w:rStyle w:val="15"/>
          <w:rFonts w:hint="eastAsia" w:ascii="仿宋" w:hAnsi="仿宋" w:eastAsia="仿宋"/>
          <w:bCs/>
          <w:sz w:val="32"/>
          <w:szCs w:val="32"/>
        </w:rPr>
        <w:t>5</w:t>
      </w:r>
      <w:r>
        <w:rPr>
          <w:rStyle w:val="15"/>
          <w:rFonts w:ascii="仿宋" w:hAnsi="仿宋" w:eastAsia="仿宋"/>
          <w:bCs/>
          <w:sz w:val="32"/>
          <w:szCs w:val="32"/>
        </w:rPr>
        <w:t>.</w:t>
      </w:r>
      <w:r>
        <w:rPr>
          <w:rFonts w:hint="eastAsia" w:ascii="仿宋" w:hAnsi="仿宋" w:eastAsia="仿宋"/>
          <w:b/>
          <w:bCs/>
          <w:sz w:val="32"/>
          <w:szCs w:val="32"/>
        </w:rPr>
        <w:t>卫生健康支出（类）行政事业单位医疗（款）行政单位医疗（项）</w:t>
      </w:r>
      <w:r>
        <w:rPr>
          <w:rFonts w:ascii="仿宋" w:hAnsi="仿宋" w:eastAsia="仿宋"/>
          <w:b/>
          <w:bCs/>
          <w:sz w:val="32"/>
          <w:szCs w:val="32"/>
        </w:rPr>
        <w:t>:</w:t>
      </w:r>
      <w:r>
        <w:rPr>
          <w:rFonts w:hint="eastAsia" w:ascii="仿宋" w:hAnsi="仿宋" w:eastAsia="仿宋"/>
          <w:bCs/>
          <w:sz w:val="32"/>
          <w:szCs w:val="32"/>
        </w:rPr>
        <w:t>支出决算为6.22万元，完成预算</w:t>
      </w:r>
      <w:r>
        <w:rPr>
          <w:rFonts w:ascii="仿宋" w:hAnsi="仿宋" w:eastAsia="仿宋"/>
          <w:bCs/>
          <w:sz w:val="32"/>
          <w:szCs w:val="32"/>
        </w:rPr>
        <w:t>100%</w:t>
      </w:r>
      <w:r>
        <w:rPr>
          <w:rFonts w:hint="eastAsia" w:ascii="仿宋" w:hAnsi="仿宋" w:eastAsia="仿宋"/>
          <w:bCs/>
          <w:sz w:val="32"/>
          <w:szCs w:val="32"/>
        </w:rPr>
        <w:t>，决算数等于预算数。</w:t>
      </w:r>
    </w:p>
    <w:p>
      <w:pPr>
        <w:spacing w:line="600" w:lineRule="exact"/>
        <w:ind w:firstLine="643" w:firstLineChars="200"/>
        <w:rPr>
          <w:rFonts w:ascii="仿宋" w:hAnsi="仿宋" w:eastAsia="仿宋"/>
          <w:b/>
          <w:bCs/>
          <w:sz w:val="32"/>
          <w:szCs w:val="32"/>
        </w:rPr>
      </w:pPr>
      <w:r>
        <w:rPr>
          <w:rStyle w:val="15"/>
          <w:rFonts w:hint="eastAsia" w:ascii="仿宋" w:hAnsi="仿宋" w:eastAsia="仿宋"/>
          <w:bCs/>
          <w:sz w:val="32"/>
          <w:szCs w:val="32"/>
        </w:rPr>
        <w:t>6</w:t>
      </w:r>
      <w:r>
        <w:rPr>
          <w:rStyle w:val="15"/>
          <w:rFonts w:ascii="仿宋" w:hAnsi="仿宋" w:eastAsia="仿宋"/>
          <w:bCs/>
          <w:sz w:val="32"/>
          <w:szCs w:val="32"/>
        </w:rPr>
        <w:t>.</w:t>
      </w:r>
      <w:r>
        <w:rPr>
          <w:rFonts w:hint="eastAsia" w:ascii="仿宋" w:hAnsi="仿宋" w:eastAsia="仿宋"/>
          <w:b/>
          <w:bCs/>
          <w:sz w:val="32"/>
          <w:szCs w:val="32"/>
        </w:rPr>
        <w:t>卫生健康支出（类）行政事业单位医疗（款）事业单位医疗（项）</w:t>
      </w:r>
      <w:r>
        <w:rPr>
          <w:rFonts w:ascii="仿宋" w:hAnsi="仿宋" w:eastAsia="仿宋"/>
          <w:b/>
          <w:bCs/>
          <w:sz w:val="32"/>
          <w:szCs w:val="32"/>
        </w:rPr>
        <w:t>:</w:t>
      </w:r>
      <w:r>
        <w:rPr>
          <w:rFonts w:hint="eastAsia" w:ascii="仿宋" w:hAnsi="仿宋" w:eastAsia="仿宋"/>
          <w:bCs/>
          <w:sz w:val="32"/>
          <w:szCs w:val="32"/>
        </w:rPr>
        <w:t>支出决算为7.53万元，完成预算</w:t>
      </w:r>
      <w:r>
        <w:rPr>
          <w:rFonts w:ascii="仿宋" w:hAnsi="仿宋" w:eastAsia="仿宋"/>
          <w:bCs/>
          <w:sz w:val="32"/>
          <w:szCs w:val="32"/>
        </w:rPr>
        <w:t>100%</w:t>
      </w:r>
      <w:r>
        <w:rPr>
          <w:rFonts w:hint="eastAsia" w:ascii="仿宋" w:hAnsi="仿宋" w:eastAsia="仿宋"/>
          <w:bCs/>
          <w:sz w:val="32"/>
          <w:szCs w:val="32"/>
        </w:rPr>
        <w:t>，决算数等于预算数。</w:t>
      </w:r>
    </w:p>
    <w:p>
      <w:pPr>
        <w:widowControl/>
        <w:spacing w:line="221" w:lineRule="atLeast"/>
        <w:ind w:firstLine="643"/>
        <w:jc w:val="left"/>
        <w:rPr>
          <w:rFonts w:ascii="仿宋" w:hAnsi="仿宋" w:eastAsia="仿宋" w:cs="宋体"/>
          <w:kern w:val="0"/>
          <w:sz w:val="24"/>
        </w:rPr>
      </w:pPr>
      <w:r>
        <w:rPr>
          <w:rStyle w:val="15"/>
          <w:rFonts w:hint="eastAsia" w:ascii="仿宋" w:hAnsi="仿宋" w:eastAsia="仿宋"/>
          <w:bCs/>
          <w:sz w:val="32"/>
          <w:szCs w:val="32"/>
        </w:rPr>
        <w:t>7</w:t>
      </w:r>
      <w:r>
        <w:rPr>
          <w:rStyle w:val="15"/>
          <w:rFonts w:ascii="仿宋" w:hAnsi="仿宋" w:eastAsia="仿宋"/>
          <w:bCs/>
          <w:sz w:val="32"/>
          <w:szCs w:val="32"/>
        </w:rPr>
        <w:t>.</w:t>
      </w:r>
      <w:r>
        <w:rPr>
          <w:rFonts w:hint="eastAsia" w:ascii="仿宋" w:hAnsi="仿宋" w:eastAsia="仿宋" w:cs="宋体"/>
          <w:b/>
          <w:bCs/>
          <w:color w:val="000000"/>
          <w:kern w:val="0"/>
          <w:sz w:val="32"/>
        </w:rPr>
        <w:t xml:space="preserve"> 卫生健康支出（类）行政事业单位医疗（款）公务员医疗补助（项）</w:t>
      </w:r>
      <w:r>
        <w:rPr>
          <w:rFonts w:ascii="Calibri" w:hAnsi="Calibri" w:cs="宋体"/>
          <w:b/>
          <w:bCs/>
          <w:color w:val="000000"/>
          <w:kern w:val="0"/>
          <w:sz w:val="32"/>
        </w:rPr>
        <w:t>:</w:t>
      </w:r>
      <w:r>
        <w:rPr>
          <w:rFonts w:hint="eastAsia" w:ascii="仿宋" w:hAnsi="仿宋" w:eastAsia="仿宋" w:cs="宋体"/>
          <w:color w:val="000000"/>
          <w:kern w:val="0"/>
          <w:sz w:val="32"/>
          <w:szCs w:val="32"/>
        </w:rPr>
        <w:t>支出决算为</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22万元，完成预算</w:t>
      </w:r>
      <w:r>
        <w:rPr>
          <w:rFonts w:ascii="仿宋" w:hAnsi="仿宋" w:eastAsia="仿宋" w:cs="宋体"/>
          <w:color w:val="000000"/>
          <w:kern w:val="0"/>
          <w:sz w:val="32"/>
          <w:szCs w:val="32"/>
        </w:rPr>
        <w:t>100%</w:t>
      </w:r>
      <w:r>
        <w:rPr>
          <w:rFonts w:hint="eastAsia" w:ascii="仿宋" w:hAnsi="仿宋" w:eastAsia="仿宋" w:cs="宋体"/>
          <w:kern w:val="0"/>
          <w:sz w:val="32"/>
          <w:szCs w:val="32"/>
        </w:rPr>
        <w:t>，决算数等于预算数</w:t>
      </w:r>
      <w:r>
        <w:rPr>
          <w:rFonts w:hint="eastAsia" w:ascii="仿宋" w:hAnsi="仿宋" w:eastAsia="仿宋" w:cs="宋体"/>
          <w:color w:val="000000"/>
          <w:kern w:val="0"/>
          <w:sz w:val="32"/>
          <w:szCs w:val="32"/>
        </w:rPr>
        <w:t>。</w:t>
      </w:r>
    </w:p>
    <w:p>
      <w:pPr>
        <w:widowControl/>
        <w:spacing w:line="221" w:lineRule="atLeast"/>
        <w:ind w:firstLine="643"/>
        <w:jc w:val="left"/>
        <w:rPr>
          <w:rFonts w:ascii="仿宋" w:hAnsi="仿宋" w:eastAsia="仿宋" w:cs="宋体"/>
          <w:kern w:val="0"/>
          <w:sz w:val="24"/>
        </w:rPr>
      </w:pPr>
      <w:r>
        <w:rPr>
          <w:rFonts w:ascii="仿宋" w:hAnsi="仿宋" w:eastAsia="仿宋" w:cs="宋体"/>
          <w:b/>
          <w:bCs/>
          <w:color w:val="000000"/>
          <w:kern w:val="0"/>
          <w:sz w:val="32"/>
        </w:rPr>
        <w:t>8.</w:t>
      </w:r>
      <w:r>
        <w:rPr>
          <w:rFonts w:hint="eastAsia" w:ascii="仿宋" w:hAnsi="仿宋" w:eastAsia="仿宋" w:cs="宋体"/>
          <w:b/>
          <w:bCs/>
          <w:color w:val="000000"/>
          <w:kern w:val="0"/>
          <w:sz w:val="32"/>
        </w:rPr>
        <w:t>商业服务业等支出（类）商业流通事务（款）其他商业流通事务支出（项）</w:t>
      </w:r>
      <w:r>
        <w:rPr>
          <w:rFonts w:ascii="Calibri" w:hAnsi="Calibri" w:cs="宋体"/>
          <w:b/>
          <w:bCs/>
          <w:color w:val="000000"/>
          <w:kern w:val="0"/>
          <w:sz w:val="32"/>
        </w:rPr>
        <w:t>:</w:t>
      </w:r>
      <w:r>
        <w:rPr>
          <w:rFonts w:hint="eastAsia" w:ascii="仿宋" w:hAnsi="仿宋" w:eastAsia="仿宋" w:cs="宋体"/>
          <w:color w:val="000000"/>
          <w:kern w:val="0"/>
          <w:sz w:val="32"/>
          <w:szCs w:val="32"/>
        </w:rPr>
        <w:t>支出决算为148万元，完成预算</w:t>
      </w:r>
      <w:r>
        <w:rPr>
          <w:rFonts w:ascii="仿宋" w:hAnsi="仿宋" w:eastAsia="仿宋" w:cs="宋体"/>
          <w:color w:val="000000"/>
          <w:kern w:val="0"/>
          <w:sz w:val="32"/>
          <w:szCs w:val="32"/>
        </w:rPr>
        <w:t>100%</w:t>
      </w:r>
      <w:r>
        <w:rPr>
          <w:rFonts w:hint="eastAsia" w:ascii="仿宋" w:hAnsi="仿宋" w:eastAsia="仿宋" w:cs="宋体"/>
          <w:kern w:val="0"/>
          <w:sz w:val="32"/>
          <w:szCs w:val="32"/>
        </w:rPr>
        <w:t>，决算数等于预算数</w:t>
      </w:r>
      <w:r>
        <w:rPr>
          <w:rFonts w:hint="eastAsia" w:ascii="仿宋" w:hAnsi="仿宋" w:eastAsia="仿宋" w:cs="宋体"/>
          <w:color w:val="000000"/>
          <w:kern w:val="0"/>
          <w:sz w:val="32"/>
          <w:szCs w:val="32"/>
        </w:rPr>
        <w:t>。</w:t>
      </w:r>
    </w:p>
    <w:p>
      <w:pPr>
        <w:widowControl/>
        <w:spacing w:line="221" w:lineRule="atLeast"/>
        <w:ind w:firstLine="643"/>
        <w:jc w:val="left"/>
        <w:rPr>
          <w:rFonts w:ascii="仿宋" w:hAnsi="仿宋" w:eastAsia="仿宋" w:cs="宋体"/>
          <w:kern w:val="0"/>
          <w:sz w:val="24"/>
        </w:rPr>
      </w:pPr>
      <w:r>
        <w:rPr>
          <w:rFonts w:hint="eastAsia" w:ascii="仿宋" w:hAnsi="仿宋" w:eastAsia="仿宋" w:cs="宋体"/>
          <w:b/>
          <w:bCs/>
          <w:color w:val="000000"/>
          <w:kern w:val="0"/>
          <w:sz w:val="32"/>
        </w:rPr>
        <w:t>9</w:t>
      </w:r>
      <w:r>
        <w:rPr>
          <w:rFonts w:ascii="仿宋" w:hAnsi="仿宋" w:eastAsia="仿宋" w:cs="宋体"/>
          <w:b/>
          <w:bCs/>
          <w:color w:val="000000"/>
          <w:kern w:val="0"/>
          <w:sz w:val="32"/>
        </w:rPr>
        <w:t>.</w:t>
      </w:r>
      <w:r>
        <w:rPr>
          <w:rFonts w:hint="eastAsia" w:ascii="仿宋" w:hAnsi="仿宋" w:eastAsia="仿宋" w:cs="宋体"/>
          <w:b/>
          <w:bCs/>
          <w:color w:val="000000"/>
          <w:kern w:val="0"/>
          <w:sz w:val="32"/>
        </w:rPr>
        <w:t>商业服务业等支出（类）其他商业服务业等支出（款）其他商业服务业等支出（项）</w:t>
      </w:r>
      <w:r>
        <w:rPr>
          <w:rFonts w:ascii="Calibri" w:hAnsi="Calibri" w:cs="宋体"/>
          <w:b/>
          <w:bCs/>
          <w:color w:val="000000"/>
          <w:kern w:val="0"/>
          <w:sz w:val="32"/>
        </w:rPr>
        <w:t>:</w:t>
      </w:r>
      <w:r>
        <w:rPr>
          <w:rFonts w:hint="eastAsia" w:ascii="仿宋" w:hAnsi="仿宋" w:eastAsia="仿宋" w:cs="宋体"/>
          <w:color w:val="000000"/>
          <w:kern w:val="0"/>
          <w:sz w:val="32"/>
          <w:szCs w:val="32"/>
        </w:rPr>
        <w:t>支出决算为2.7万元，完成预算</w:t>
      </w:r>
      <w:r>
        <w:rPr>
          <w:rFonts w:ascii="仿宋" w:hAnsi="仿宋" w:eastAsia="仿宋" w:cs="宋体"/>
          <w:color w:val="000000"/>
          <w:kern w:val="0"/>
          <w:sz w:val="32"/>
          <w:szCs w:val="32"/>
        </w:rPr>
        <w:t>100%</w:t>
      </w:r>
      <w:r>
        <w:rPr>
          <w:rFonts w:hint="eastAsia" w:ascii="仿宋" w:hAnsi="仿宋" w:eastAsia="仿宋" w:cs="宋体"/>
          <w:kern w:val="0"/>
          <w:sz w:val="32"/>
          <w:szCs w:val="32"/>
        </w:rPr>
        <w:t>，决算数等于预算数</w:t>
      </w:r>
      <w:r>
        <w:rPr>
          <w:rFonts w:hint="eastAsia" w:ascii="仿宋" w:hAnsi="仿宋" w:eastAsia="仿宋" w:cs="宋体"/>
          <w:color w:val="000000"/>
          <w:kern w:val="0"/>
          <w:sz w:val="32"/>
          <w:szCs w:val="32"/>
        </w:rPr>
        <w:t>。</w:t>
      </w:r>
    </w:p>
    <w:p>
      <w:pPr>
        <w:widowControl/>
        <w:spacing w:line="221" w:lineRule="atLeast"/>
        <w:ind w:firstLine="643"/>
        <w:jc w:val="left"/>
        <w:rPr>
          <w:rFonts w:ascii="宋体" w:hAnsi="宋体" w:cs="宋体"/>
          <w:kern w:val="0"/>
          <w:sz w:val="24"/>
        </w:rPr>
      </w:pPr>
      <w:r>
        <w:rPr>
          <w:rFonts w:hint="eastAsia" w:ascii="仿宋" w:hAnsi="仿宋" w:eastAsia="仿宋" w:cs="宋体"/>
          <w:b/>
          <w:bCs/>
          <w:color w:val="000000"/>
          <w:kern w:val="0"/>
          <w:sz w:val="32"/>
        </w:rPr>
        <w:t>10</w:t>
      </w:r>
      <w:r>
        <w:rPr>
          <w:rFonts w:ascii="仿宋" w:hAnsi="仿宋" w:eastAsia="仿宋" w:cs="宋体"/>
          <w:b/>
          <w:bCs/>
          <w:color w:val="000000"/>
          <w:kern w:val="0"/>
          <w:sz w:val="32"/>
        </w:rPr>
        <w:t>.</w:t>
      </w:r>
      <w:r>
        <w:rPr>
          <w:rFonts w:hint="eastAsia" w:ascii="仿宋" w:hAnsi="仿宋" w:eastAsia="仿宋"/>
          <w:b/>
          <w:bCs/>
          <w:color w:val="000000"/>
          <w:kern w:val="0"/>
          <w:sz w:val="32"/>
        </w:rPr>
        <w:t>住房保障支出</w:t>
      </w:r>
      <w:r>
        <w:rPr>
          <w:rFonts w:hint="eastAsia" w:ascii="仿宋" w:hAnsi="仿宋" w:eastAsia="仿宋" w:cs="宋体"/>
          <w:b/>
          <w:bCs/>
          <w:color w:val="000000"/>
          <w:kern w:val="0"/>
          <w:sz w:val="32"/>
        </w:rPr>
        <w:t>（类）住房改革支出（款）住房公积金（项）</w:t>
      </w:r>
      <w:r>
        <w:rPr>
          <w:rFonts w:ascii="Calibri" w:hAnsi="Calibri" w:cs="宋体"/>
          <w:b/>
          <w:bCs/>
          <w:color w:val="000000"/>
          <w:kern w:val="0"/>
          <w:sz w:val="32"/>
        </w:rPr>
        <w:t>:</w:t>
      </w:r>
      <w:r>
        <w:rPr>
          <w:rFonts w:hint="eastAsia" w:ascii="仿宋" w:hAnsi="仿宋" w:eastAsia="仿宋" w:cs="宋体"/>
          <w:color w:val="000000"/>
          <w:kern w:val="0"/>
          <w:sz w:val="32"/>
          <w:szCs w:val="32"/>
        </w:rPr>
        <w:t>支出决算为21.68万元，完成预算</w:t>
      </w:r>
      <w:r>
        <w:rPr>
          <w:rFonts w:ascii="仿宋" w:hAnsi="仿宋" w:eastAsia="仿宋" w:cs="宋体"/>
          <w:color w:val="000000"/>
          <w:kern w:val="0"/>
          <w:sz w:val="32"/>
          <w:szCs w:val="32"/>
        </w:rPr>
        <w:t>100%</w:t>
      </w:r>
      <w:r>
        <w:rPr>
          <w:rFonts w:hint="eastAsia" w:ascii="仿宋" w:hAnsi="仿宋" w:eastAsia="仿宋" w:cs="宋体"/>
          <w:kern w:val="0"/>
          <w:sz w:val="32"/>
          <w:szCs w:val="32"/>
        </w:rPr>
        <w:t>，决算数等于预算数</w:t>
      </w:r>
      <w:r>
        <w:rPr>
          <w:rFonts w:hint="eastAsia" w:ascii="仿宋" w:hAnsi="仿宋" w:eastAsia="仿宋" w:cs="宋体"/>
          <w:color w:val="000000"/>
          <w:kern w:val="0"/>
          <w:sz w:val="32"/>
          <w:szCs w:val="32"/>
        </w:rPr>
        <w:t>。</w:t>
      </w:r>
    </w:p>
    <w:p>
      <w:pPr>
        <w:tabs>
          <w:tab w:val="right" w:pos="8306"/>
        </w:tabs>
        <w:spacing w:line="600" w:lineRule="exact"/>
        <w:ind w:firstLine="627" w:firstLineChars="196"/>
        <w:outlineLvl w:val="1"/>
        <w:rPr>
          <w:rStyle w:val="26"/>
        </w:rPr>
      </w:pPr>
      <w:bookmarkStart w:id="44" w:name="_Toc1539660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4"/>
      <w:bookmarkEnd w:id="4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21年一般公共预算财政拨款基本支出257.06万元，其中：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241.91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15.15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6"/>
          <w:rFonts w:ascii="黑体" w:hAnsi="黑体" w:eastAsia="黑体"/>
          <w:b w:val="0"/>
        </w:rPr>
      </w:pPr>
      <w:bookmarkStart w:id="46" w:name="_Toc15377215"/>
      <w:bookmarkStart w:id="4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w:t>
      </w:r>
    </w:p>
    <w:p>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。与去年相比持平，具体情况如下：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50" w:name="_Toc15396610"/>
      <w:bookmarkStart w:id="51"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21年政府性基金预算财政拨款支出54.25万元。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6"/>
          <w:rFonts w:ascii="黑体" w:hAnsi="黑体" w:eastAsia="黑体"/>
          <w:b w:val="0"/>
        </w:rPr>
      </w:pPr>
      <w:bookmarkStart w:id="52" w:name="_Toc15377219"/>
      <w:bookmarkStart w:id="53" w:name="_Toc15396611"/>
      <w:r>
        <w:rPr>
          <w:rStyle w:val="26"/>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6"/>
          <w:rFonts w:ascii="黑体" w:hAnsi="黑体" w:eastAsia="黑体"/>
          <w:b w:val="0"/>
        </w:rPr>
      </w:pPr>
      <w:bookmarkStart w:id="54" w:name="_Toc15377221"/>
      <w:bookmarkStart w:id="55" w:name="_Toc15396612"/>
      <w:r>
        <w:rPr>
          <w:rStyle w:val="26"/>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21年，攀枝花市西区商务局机关运行经费支出15.15万元，比</w:t>
      </w:r>
      <w:r>
        <w:rPr>
          <w:rFonts w:ascii="仿宋_GB2312" w:eastAsia="仿宋_GB2312"/>
          <w:sz w:val="32"/>
          <w:szCs w:val="32"/>
        </w:rPr>
        <w:t>20</w:t>
      </w:r>
      <w:r>
        <w:rPr>
          <w:rFonts w:hint="eastAsia" w:ascii="仿宋_GB2312" w:eastAsia="仿宋_GB2312"/>
          <w:sz w:val="32"/>
          <w:szCs w:val="32"/>
        </w:rPr>
        <w:t>20年减少3.17万元，下降17.30</w:t>
      </w:r>
      <w:r>
        <w:rPr>
          <w:rFonts w:ascii="仿宋_GB2312" w:eastAsia="仿宋_GB2312"/>
          <w:sz w:val="32"/>
          <w:szCs w:val="32"/>
        </w:rPr>
        <w:t>%</w:t>
      </w:r>
      <w:r>
        <w:rPr>
          <w:rFonts w:hint="eastAsia" w:ascii="仿宋_GB2312" w:eastAsia="仿宋_GB2312"/>
          <w:sz w:val="32"/>
          <w:szCs w:val="32"/>
        </w:rPr>
        <w:t>。主要原因是2020年以公用经费采购办公家具等。</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西区商务局政府采购支出总额0.80万元，与2020年相比减少48.75%，其中：政府采购货物支出0.80万元、政府采购工程支出0万元、政府采购服务支出0万元。主要用于日常办公使用。授予中小企业合同金额0.80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，其中：授予小微企业合同金额0.80万元，占政府采购支出总额的100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日，攀枝花市西区商务局共有车辆0辆。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_GB2312" w:hAnsi="宋体" w:eastAsia="仿宋_GB2312" w:cs="Arial"/>
          <w:color w:val="000000"/>
          <w:kern w:val="0"/>
          <w:sz w:val="32"/>
          <w:szCs w:val="32"/>
        </w:rPr>
        <w:t>会展服务业发展项目经费、项目协调经费、重点服务业及商贸企业升规入库培训经费、执法办案经费、</w:t>
      </w:r>
      <w:r>
        <w:rPr>
          <w:rFonts w:hint="eastAsia" w:ascii="仿宋_GB2312" w:hAnsi="Arial" w:eastAsia="仿宋_GB2312" w:cs="Arial"/>
          <w:color w:val="000000"/>
          <w:kern w:val="0"/>
          <w:sz w:val="32"/>
          <w:szCs w:val="32"/>
        </w:rPr>
        <w:t>2021</w:t>
      </w:r>
      <w:r>
        <w:rPr>
          <w:rFonts w:hint="eastAsia" w:ascii="仿宋_GB2312" w:hAnsi="宋体" w:eastAsia="仿宋_GB2312" w:cs="Arial"/>
          <w:color w:val="000000"/>
          <w:kern w:val="0"/>
          <w:sz w:val="32"/>
          <w:szCs w:val="32"/>
        </w:rPr>
        <w:t>年区级拨付平安建设项目经费、</w:t>
      </w:r>
      <w:r>
        <w:rPr>
          <w:rFonts w:hint="eastAsia" w:ascii="仿宋_GB2312" w:hAnsi="Arial" w:eastAsia="仿宋_GB2312" w:cs="Arial"/>
          <w:color w:val="000000"/>
          <w:kern w:val="0"/>
          <w:sz w:val="32"/>
          <w:szCs w:val="32"/>
        </w:rPr>
        <w:t>2021</w:t>
      </w:r>
      <w:r>
        <w:rPr>
          <w:rFonts w:hint="eastAsia" w:ascii="仿宋_GB2312" w:hAnsi="宋体" w:eastAsia="仿宋_GB2312" w:cs="Arial"/>
          <w:color w:val="000000"/>
          <w:kern w:val="0"/>
          <w:sz w:val="32"/>
          <w:szCs w:val="32"/>
        </w:rPr>
        <w:t>年区级拨付市商务局工作经费、</w:t>
      </w:r>
      <w:r>
        <w:rPr>
          <w:rFonts w:hint="eastAsia" w:ascii="仿宋_GB2312" w:hAnsi="Arial" w:eastAsia="仿宋_GB2312" w:cs="Arial"/>
          <w:color w:val="000000"/>
          <w:kern w:val="0"/>
          <w:sz w:val="32"/>
          <w:szCs w:val="32"/>
        </w:rPr>
        <w:t>2021</w:t>
      </w:r>
      <w:r>
        <w:rPr>
          <w:rFonts w:hint="eastAsia" w:ascii="仿宋_GB2312" w:hAnsi="宋体" w:eastAsia="仿宋_GB2312" w:cs="Arial"/>
          <w:color w:val="000000"/>
          <w:kern w:val="0"/>
          <w:sz w:val="32"/>
          <w:szCs w:val="32"/>
        </w:rPr>
        <w:t>年区级拨付金沙水电站项目工作经费、</w:t>
      </w:r>
      <w:r>
        <w:rPr>
          <w:rFonts w:hint="eastAsia" w:ascii="仿宋_GB2312" w:hAnsi="Arial" w:eastAsia="仿宋_GB2312" w:cs="Arial"/>
          <w:color w:val="000000"/>
          <w:kern w:val="0"/>
          <w:sz w:val="32"/>
          <w:szCs w:val="32"/>
        </w:rPr>
        <w:t>2021</w:t>
      </w:r>
      <w:r>
        <w:rPr>
          <w:rFonts w:hint="eastAsia" w:ascii="仿宋_GB2312" w:hAnsi="宋体" w:eastAsia="仿宋_GB2312" w:cs="Arial"/>
          <w:color w:val="000000"/>
          <w:kern w:val="0"/>
          <w:sz w:val="32"/>
          <w:szCs w:val="32"/>
        </w:rPr>
        <w:t>年星瑞时代广场步行街改造提升项目资金、商贸流通资金、</w:t>
      </w:r>
      <w:r>
        <w:rPr>
          <w:rFonts w:hint="eastAsia" w:ascii="仿宋_GB2312" w:hAnsi="Arial" w:eastAsia="仿宋_GB2312" w:cs="Arial"/>
          <w:color w:val="000000"/>
          <w:kern w:val="0"/>
          <w:sz w:val="32"/>
          <w:szCs w:val="32"/>
        </w:rPr>
        <w:t>2021</w:t>
      </w:r>
      <w:r>
        <w:rPr>
          <w:rFonts w:hint="eastAsia" w:ascii="仿宋_GB2312" w:hAnsi="宋体" w:eastAsia="仿宋_GB2312" w:cs="Arial"/>
          <w:color w:val="000000"/>
          <w:kern w:val="0"/>
          <w:sz w:val="32"/>
          <w:szCs w:val="32"/>
        </w:rPr>
        <w:t>年第一批服务业引导资金支持项目</w:t>
      </w:r>
      <w:r>
        <w:rPr>
          <w:rFonts w:hint="eastAsia" w:ascii="仿宋_GB2312" w:hAnsi="仿宋_GB2312" w:eastAsia="仿宋_GB2312" w:cs="仿宋_GB2312"/>
          <w:sz w:val="32"/>
          <w:szCs w:val="32"/>
        </w:rPr>
        <w:t>等10个项目开展了预算事前绩效评估，对10个项目编制了绩效目标，预算执行过程中，选取5个项目开展绩效监控，年终执行完毕后，对5个项目开展了绩效自评。同时，本部门对2021年部门整体开展绩效自评，《2021年攀枝花市西区商务局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59" w:name="_Toc15377225"/>
      <w:bookmarkStart w:id="60" w:name="_Toc15396613"/>
      <w:r>
        <w:rPr>
          <w:rFonts w:hint="eastAsia" w:ascii="黑体" w:hAnsi="黑体" w:eastAsia="黑体"/>
          <w:sz w:val="44"/>
          <w:szCs w:val="44"/>
        </w:rPr>
        <w:t>名</w:t>
      </w:r>
      <w:r>
        <w:rPr>
          <w:rStyle w:val="25"/>
          <w:rFonts w:hint="eastAsia" w:ascii="黑体" w:hAnsi="黑体" w:eastAsia="黑体"/>
          <w:b w:val="0"/>
        </w:rPr>
        <w:t>词解释</w:t>
      </w:r>
      <w:bookmarkEnd w:id="59"/>
      <w:bookmarkEnd w:id="60"/>
    </w:p>
    <w:p>
      <w:pPr>
        <w:spacing w:line="600" w:lineRule="exact"/>
        <w:jc w:val="left"/>
        <w:rPr>
          <w:rFonts w:ascii="宋体"/>
          <w:b/>
          <w:sz w:val="44"/>
          <w:szCs w:val="44"/>
        </w:rPr>
      </w:pPr>
    </w:p>
    <w:p>
      <w:pPr>
        <w:widowControl/>
        <w:spacing w:before="240" w:after="240" w:line="560" w:lineRule="atLeast"/>
        <w:ind w:firstLine="640"/>
        <w:jc w:val="left"/>
        <w:rPr>
          <w:rFonts w:ascii="宋体" w:hAnsi="宋体" w:cs="宋体"/>
          <w:kern w:val="0"/>
          <w:sz w:val="24"/>
        </w:rPr>
      </w:pPr>
      <w:r>
        <w:rPr>
          <w:color w:val="000000"/>
          <w:kern w:val="0"/>
          <w:sz w:val="32"/>
          <w:szCs w:val="32"/>
        </w:rPr>
        <w:t>1.</w:t>
      </w:r>
      <w:r>
        <w:rPr>
          <w:rFonts w:hint="eastAsia" w:ascii="仿宋_GB2312" w:eastAsia="仿宋_GB2312"/>
          <w:color w:val="000000"/>
          <w:kern w:val="0"/>
          <w:sz w:val="32"/>
          <w:szCs w:val="32"/>
        </w:rPr>
        <w:t>财政拨款收入：指单位从同级财政部门取得的财政预算资金。</w:t>
      </w:r>
    </w:p>
    <w:p>
      <w:pPr>
        <w:widowControl/>
        <w:spacing w:before="240" w:after="240" w:line="560" w:lineRule="atLeast"/>
        <w:ind w:firstLine="640"/>
        <w:jc w:val="left"/>
        <w:rPr>
          <w:rFonts w:ascii="宋体" w:hAnsi="宋体" w:cs="宋体"/>
          <w:kern w:val="0"/>
          <w:sz w:val="24"/>
        </w:rPr>
      </w:pPr>
      <w:r>
        <w:rPr>
          <w:rFonts w:hint="eastAsia"/>
          <w:color w:val="000000"/>
          <w:kern w:val="0"/>
          <w:sz w:val="32"/>
          <w:szCs w:val="32"/>
        </w:rPr>
        <w:t>2</w:t>
      </w:r>
      <w:r>
        <w:rPr>
          <w:color w:val="000000"/>
          <w:kern w:val="0"/>
          <w:sz w:val="32"/>
          <w:szCs w:val="32"/>
        </w:rPr>
        <w:t>.</w:t>
      </w:r>
      <w:r>
        <w:rPr>
          <w:rFonts w:hint="eastAsia" w:ascii="仿宋_GB2312" w:eastAsia="仿宋_GB2312"/>
          <w:color w:val="000000"/>
          <w:kern w:val="0"/>
          <w:sz w:val="32"/>
          <w:szCs w:val="32"/>
        </w:rPr>
        <w:t>年初结转和结余：指以前年度尚未完成、结转到本年按有关规定继续使用的资金。</w:t>
      </w:r>
    </w:p>
    <w:p>
      <w:pPr>
        <w:widowControl/>
        <w:spacing w:before="240" w:after="240" w:line="560" w:lineRule="atLeast"/>
        <w:ind w:firstLine="640"/>
        <w:jc w:val="left"/>
        <w:rPr>
          <w:rFonts w:ascii="宋体" w:hAnsi="宋体" w:cs="宋体"/>
          <w:kern w:val="0"/>
          <w:sz w:val="24"/>
        </w:rPr>
      </w:pPr>
      <w:r>
        <w:rPr>
          <w:rFonts w:hint="eastAsia"/>
          <w:color w:val="000000"/>
          <w:kern w:val="0"/>
          <w:sz w:val="32"/>
          <w:szCs w:val="32"/>
        </w:rPr>
        <w:t>3</w:t>
      </w:r>
      <w:r>
        <w:rPr>
          <w:color w:val="000000"/>
          <w:kern w:val="0"/>
          <w:sz w:val="32"/>
          <w:szCs w:val="32"/>
        </w:rPr>
        <w:t>.</w:t>
      </w:r>
      <w:r>
        <w:rPr>
          <w:rFonts w:hint="eastAsia" w:ascii="仿宋_GB2312" w:eastAsia="仿宋_GB2312"/>
          <w:color w:val="000000"/>
          <w:kern w:val="0"/>
          <w:sz w:val="32"/>
          <w:szCs w:val="32"/>
        </w:rPr>
        <w:t>结余分配：指事业单位按照事业单位会计制度的规定从非财政补助结余中分配的事业基金和职工福利基金等。</w:t>
      </w:r>
    </w:p>
    <w:p>
      <w:pPr>
        <w:widowControl/>
        <w:spacing w:before="240" w:after="240" w:line="560" w:lineRule="atLeast"/>
        <w:ind w:firstLine="640"/>
        <w:jc w:val="left"/>
        <w:rPr>
          <w:rFonts w:ascii="宋体" w:hAnsi="宋体" w:cs="宋体"/>
          <w:kern w:val="0"/>
          <w:sz w:val="24"/>
        </w:rPr>
      </w:pPr>
      <w:r>
        <w:rPr>
          <w:rFonts w:hint="eastAsia"/>
          <w:color w:val="000000"/>
          <w:kern w:val="0"/>
          <w:sz w:val="32"/>
          <w:szCs w:val="32"/>
        </w:rPr>
        <w:t>4</w:t>
      </w:r>
      <w:r>
        <w:rPr>
          <w:rFonts w:hint="eastAsia" w:ascii="仿宋_GB2312" w:eastAsia="仿宋_GB2312"/>
          <w:color w:val="000000"/>
          <w:kern w:val="0"/>
          <w:sz w:val="32"/>
          <w:szCs w:val="32"/>
        </w:rPr>
        <w:t>、年末结转和结余：指单位按有关规定结转到下年或以后年度继续使用的资金。</w:t>
      </w:r>
    </w:p>
    <w:p>
      <w:pPr>
        <w:widowControl/>
        <w:spacing w:before="240" w:after="240" w:line="560" w:lineRule="atLeast"/>
        <w:ind w:firstLine="640"/>
        <w:jc w:val="left"/>
        <w:rPr>
          <w:rFonts w:ascii="宋体" w:hAnsi="宋体" w:cs="宋体"/>
          <w:kern w:val="0"/>
          <w:sz w:val="24"/>
        </w:rPr>
      </w:pPr>
      <w:r>
        <w:rPr>
          <w:rFonts w:hint="eastAsia"/>
          <w:color w:val="000000"/>
          <w:kern w:val="0"/>
          <w:sz w:val="32"/>
          <w:szCs w:val="32"/>
        </w:rPr>
        <w:t>5</w:t>
      </w:r>
      <w:r>
        <w:rPr>
          <w:color w:val="000000"/>
          <w:kern w:val="0"/>
          <w:sz w:val="32"/>
          <w:szCs w:val="32"/>
        </w:rPr>
        <w:t>.</w:t>
      </w:r>
      <w:r>
        <w:rPr>
          <w:rFonts w:hint="eastAsia" w:ascii="仿宋_GB2312" w:eastAsia="仿宋_GB2312"/>
          <w:color w:val="000000"/>
          <w:kern w:val="0"/>
          <w:sz w:val="32"/>
          <w:szCs w:val="32"/>
        </w:rPr>
        <w:t>一般公共服务：行政运行（</w:t>
      </w:r>
      <w:r>
        <w:rPr>
          <w:rFonts w:eastAsia="仿宋_GB2312"/>
          <w:color w:val="000000"/>
          <w:kern w:val="0"/>
          <w:sz w:val="32"/>
          <w:szCs w:val="32"/>
        </w:rPr>
        <w:t>2011301</w:t>
      </w:r>
      <w:r>
        <w:rPr>
          <w:rFonts w:hint="eastAsia" w:ascii="仿宋_GB2312" w:eastAsia="仿宋_GB2312"/>
          <w:color w:val="000000"/>
          <w:kern w:val="0"/>
          <w:sz w:val="32"/>
          <w:szCs w:val="32"/>
        </w:rPr>
        <w:t>）：指反映行政单位（包括实行公务员管理的事业单位）的基本支出；一般行政管理事务（</w:t>
      </w:r>
      <w:r>
        <w:rPr>
          <w:rFonts w:eastAsia="仿宋_GB2312"/>
          <w:color w:val="000000"/>
          <w:kern w:val="0"/>
          <w:sz w:val="32"/>
          <w:szCs w:val="32"/>
        </w:rPr>
        <w:t>2011302</w:t>
      </w:r>
      <w:r>
        <w:rPr>
          <w:rFonts w:hint="eastAsia" w:ascii="仿宋_GB2312" w:eastAsia="仿宋_GB2312"/>
          <w:color w:val="000000"/>
          <w:kern w:val="0"/>
          <w:sz w:val="32"/>
          <w:szCs w:val="32"/>
        </w:rPr>
        <w:t>）：指反映行政单位（包括实行公务员管理的事业单位）未单独设置项级科目的其他项目支出；招商引资（</w:t>
      </w:r>
      <w:r>
        <w:rPr>
          <w:rFonts w:eastAsia="仿宋_GB2312"/>
          <w:color w:val="000000"/>
          <w:kern w:val="0"/>
          <w:sz w:val="32"/>
          <w:szCs w:val="32"/>
        </w:rPr>
        <w:t>2011308</w:t>
      </w:r>
      <w:r>
        <w:rPr>
          <w:rFonts w:hint="eastAsia" w:ascii="仿宋_GB2312" w:eastAsia="仿宋_GB2312"/>
          <w:color w:val="000000"/>
          <w:kern w:val="0"/>
          <w:sz w:val="32"/>
          <w:szCs w:val="32"/>
        </w:rPr>
        <w:t>）：指反映用于招商引资、优化经济环境等方面的支出；事业运行（</w:t>
      </w:r>
      <w:r>
        <w:rPr>
          <w:rFonts w:eastAsia="仿宋_GB2312"/>
          <w:color w:val="000000"/>
          <w:kern w:val="0"/>
          <w:sz w:val="32"/>
          <w:szCs w:val="32"/>
        </w:rPr>
        <w:t>2011350</w:t>
      </w:r>
      <w:r>
        <w:rPr>
          <w:rFonts w:hint="eastAsia" w:ascii="仿宋_GB2312" w:eastAsia="仿宋_GB2312"/>
          <w:color w:val="000000"/>
          <w:kern w:val="0"/>
          <w:sz w:val="32"/>
          <w:szCs w:val="32"/>
        </w:rPr>
        <w:t>）：指反映事业单位的基本支出，不包括行政单位（包括实行公务员管理的事业单位）后勤服务中心、医务室等附属事业单位；其他商贸事务支出（</w:t>
      </w:r>
      <w:r>
        <w:rPr>
          <w:rFonts w:eastAsia="仿宋_GB2312"/>
          <w:color w:val="000000"/>
          <w:kern w:val="0"/>
          <w:sz w:val="32"/>
          <w:szCs w:val="32"/>
        </w:rPr>
        <w:t>2011399</w:t>
      </w:r>
      <w:r>
        <w:rPr>
          <w:rFonts w:hint="eastAsia" w:ascii="仿宋_GB2312" w:eastAsia="仿宋_GB2312"/>
          <w:color w:val="000000"/>
          <w:kern w:val="0"/>
          <w:sz w:val="32"/>
          <w:szCs w:val="32"/>
        </w:rPr>
        <w:t>）：反映除上述项目以外其他用于商贸事务方面的支出。</w:t>
      </w:r>
    </w:p>
    <w:p>
      <w:pPr>
        <w:widowControl/>
        <w:spacing w:before="240" w:after="240" w:line="560" w:lineRule="atLeast"/>
        <w:ind w:firstLine="640"/>
        <w:jc w:val="left"/>
        <w:rPr>
          <w:rFonts w:ascii="宋体" w:hAnsi="宋体" w:cs="宋体"/>
          <w:kern w:val="0"/>
          <w:sz w:val="24"/>
        </w:rPr>
      </w:pPr>
      <w:r>
        <w:rPr>
          <w:rFonts w:hint="eastAsia"/>
          <w:color w:val="000000"/>
          <w:kern w:val="0"/>
          <w:sz w:val="32"/>
          <w:szCs w:val="32"/>
        </w:rPr>
        <w:t>6</w:t>
      </w:r>
      <w:r>
        <w:rPr>
          <w:color w:val="000000"/>
          <w:kern w:val="0"/>
          <w:sz w:val="32"/>
          <w:szCs w:val="32"/>
        </w:rPr>
        <w:t>.</w:t>
      </w:r>
      <w:r>
        <w:rPr>
          <w:rFonts w:hint="eastAsia" w:ascii="仿宋_GB2312" w:eastAsia="仿宋_GB2312"/>
          <w:color w:val="000000"/>
          <w:kern w:val="0"/>
          <w:sz w:val="32"/>
          <w:szCs w:val="32"/>
        </w:rPr>
        <w:t>社会保障和就业：机关事业单位基本养老保险缴费支出（</w:t>
      </w:r>
      <w:r>
        <w:rPr>
          <w:rFonts w:eastAsia="仿宋_GB2312"/>
          <w:color w:val="000000"/>
          <w:kern w:val="0"/>
          <w:sz w:val="32"/>
          <w:szCs w:val="32"/>
        </w:rPr>
        <w:t>2080505</w:t>
      </w:r>
      <w:r>
        <w:rPr>
          <w:rFonts w:hint="eastAsia" w:ascii="仿宋_GB2312" w:eastAsia="仿宋_GB2312"/>
          <w:color w:val="000000"/>
          <w:kern w:val="0"/>
          <w:sz w:val="32"/>
          <w:szCs w:val="32"/>
        </w:rPr>
        <w:t>）：指反映机关事业单位实施养老保险制度由单位缴纳的基本养老保险费支出。</w:t>
      </w:r>
    </w:p>
    <w:p>
      <w:pPr>
        <w:widowControl/>
        <w:spacing w:before="240" w:after="240" w:line="560" w:lineRule="atLeast"/>
        <w:ind w:firstLine="640"/>
        <w:jc w:val="left"/>
        <w:rPr>
          <w:rFonts w:ascii="宋体" w:hAnsi="宋体" w:cs="宋体"/>
          <w:kern w:val="0"/>
          <w:sz w:val="24"/>
        </w:rPr>
      </w:pPr>
      <w:r>
        <w:rPr>
          <w:rFonts w:hint="eastAsia"/>
          <w:color w:val="000000"/>
          <w:kern w:val="0"/>
          <w:sz w:val="32"/>
          <w:szCs w:val="32"/>
        </w:rPr>
        <w:t>7</w:t>
      </w:r>
      <w:r>
        <w:rPr>
          <w:color w:val="000000"/>
          <w:kern w:val="0"/>
          <w:sz w:val="32"/>
          <w:szCs w:val="32"/>
        </w:rPr>
        <w:t>.</w:t>
      </w:r>
      <w:r>
        <w:rPr>
          <w:rFonts w:hint="eastAsia" w:ascii="仿宋_GB2312" w:eastAsia="仿宋_GB2312"/>
          <w:color w:val="000000"/>
          <w:kern w:val="0"/>
          <w:sz w:val="32"/>
          <w:szCs w:val="32"/>
        </w:rPr>
        <w:t>商业服务业等：其他商业流通事务支出（</w:t>
      </w:r>
      <w:r>
        <w:rPr>
          <w:rFonts w:eastAsia="仿宋_GB2312"/>
          <w:color w:val="000000"/>
          <w:kern w:val="0"/>
          <w:sz w:val="32"/>
          <w:szCs w:val="32"/>
        </w:rPr>
        <w:t>2160299</w:t>
      </w:r>
      <w:r>
        <w:rPr>
          <w:rFonts w:hint="eastAsia" w:ascii="仿宋_GB2312" w:eastAsia="仿宋_GB2312"/>
          <w:color w:val="000000"/>
          <w:kern w:val="0"/>
          <w:sz w:val="32"/>
          <w:szCs w:val="32"/>
        </w:rPr>
        <w:t>）：指反映除上述项目以外其他用于商业流通事务方面的支出；其他商业服务业等支出（</w:t>
      </w:r>
      <w:r>
        <w:rPr>
          <w:rFonts w:eastAsia="仿宋_GB2312"/>
          <w:color w:val="000000"/>
          <w:kern w:val="0"/>
          <w:sz w:val="32"/>
          <w:szCs w:val="32"/>
        </w:rPr>
        <w:t>2169999</w:t>
      </w:r>
      <w:r>
        <w:rPr>
          <w:rFonts w:hint="eastAsia" w:ascii="仿宋_GB2312" w:eastAsia="仿宋_GB2312"/>
          <w:color w:val="000000"/>
          <w:kern w:val="0"/>
          <w:sz w:val="32"/>
          <w:szCs w:val="32"/>
        </w:rPr>
        <w:t>）：指反映其他商业服务业等支出中除上述项目以外的其他支出。</w:t>
      </w:r>
    </w:p>
    <w:p>
      <w:pPr>
        <w:widowControl/>
        <w:spacing w:before="240" w:after="240" w:line="560" w:lineRule="atLeast"/>
        <w:ind w:firstLine="640"/>
        <w:jc w:val="left"/>
        <w:rPr>
          <w:rFonts w:ascii="宋体" w:hAnsi="宋体" w:cs="宋体"/>
          <w:kern w:val="0"/>
          <w:sz w:val="24"/>
        </w:rPr>
      </w:pPr>
      <w:r>
        <w:rPr>
          <w:rFonts w:hint="eastAsia"/>
          <w:color w:val="000000"/>
          <w:kern w:val="0"/>
          <w:sz w:val="32"/>
          <w:szCs w:val="32"/>
        </w:rPr>
        <w:t>8</w:t>
      </w:r>
      <w:r>
        <w:rPr>
          <w:color w:val="000000"/>
          <w:kern w:val="0"/>
          <w:sz w:val="32"/>
          <w:szCs w:val="32"/>
        </w:rPr>
        <w:t>.</w:t>
      </w:r>
      <w:r>
        <w:rPr>
          <w:rFonts w:hint="eastAsia" w:ascii="仿宋_GB2312" w:eastAsia="仿宋_GB2312"/>
          <w:color w:val="000000"/>
          <w:kern w:val="0"/>
          <w:sz w:val="32"/>
          <w:szCs w:val="32"/>
        </w:rPr>
        <w:t>住房保障：住房公积金（</w:t>
      </w:r>
      <w:r>
        <w:rPr>
          <w:rFonts w:eastAsia="仿宋_GB2312"/>
          <w:color w:val="000000"/>
          <w:kern w:val="0"/>
          <w:sz w:val="32"/>
          <w:szCs w:val="32"/>
        </w:rPr>
        <w:t>2210201</w:t>
      </w:r>
      <w:r>
        <w:rPr>
          <w:rFonts w:hint="eastAsia" w:ascii="仿宋_GB2312" w:eastAsia="仿宋_GB2312"/>
          <w:color w:val="000000"/>
          <w:kern w:val="0"/>
          <w:sz w:val="32"/>
          <w:szCs w:val="32"/>
        </w:rPr>
        <w:t>）：指反映行政事业单位按人力资源和社会保障部、财政部规定的基本工资和津贴补贴以及规定比例为职工缴纳的住房公积金。</w:t>
      </w:r>
    </w:p>
    <w:p>
      <w:pPr>
        <w:widowControl/>
        <w:spacing w:before="240" w:after="240" w:line="560" w:lineRule="atLeast"/>
        <w:ind w:firstLine="640"/>
        <w:jc w:val="left"/>
        <w:rPr>
          <w:rFonts w:ascii="宋体" w:hAnsi="宋体" w:cs="宋体"/>
          <w:kern w:val="0"/>
          <w:sz w:val="24"/>
        </w:rPr>
      </w:pPr>
      <w:r>
        <w:rPr>
          <w:rFonts w:hint="eastAsia"/>
          <w:color w:val="000000"/>
          <w:kern w:val="0"/>
          <w:sz w:val="32"/>
          <w:szCs w:val="32"/>
        </w:rPr>
        <w:t>9</w:t>
      </w:r>
      <w:r>
        <w:rPr>
          <w:color w:val="000000"/>
          <w:kern w:val="0"/>
          <w:sz w:val="32"/>
          <w:szCs w:val="32"/>
        </w:rPr>
        <w:t>.</w:t>
      </w:r>
      <w:r>
        <w:rPr>
          <w:rFonts w:hint="eastAsia" w:ascii="仿宋_GB2312" w:eastAsia="仿宋_GB2312"/>
          <w:color w:val="000000"/>
          <w:kern w:val="0"/>
          <w:sz w:val="32"/>
          <w:szCs w:val="32"/>
        </w:rPr>
        <w:t>基本支出：指为保障机构正常运转、完成日常工作任务而发生的人员支出和公用支出。</w:t>
      </w:r>
    </w:p>
    <w:p>
      <w:pPr>
        <w:widowControl/>
        <w:spacing w:before="240" w:after="240" w:line="560" w:lineRule="atLeast"/>
        <w:ind w:firstLine="640"/>
        <w:jc w:val="left"/>
        <w:rPr>
          <w:rFonts w:ascii="宋体" w:hAnsi="宋体" w:cs="宋体"/>
          <w:kern w:val="0"/>
          <w:sz w:val="24"/>
        </w:rPr>
      </w:pPr>
      <w:r>
        <w:rPr>
          <w:color w:val="000000"/>
          <w:kern w:val="0"/>
          <w:sz w:val="32"/>
          <w:szCs w:val="32"/>
        </w:rPr>
        <w:t>1</w:t>
      </w:r>
      <w:r>
        <w:rPr>
          <w:rFonts w:hint="eastAsia"/>
          <w:color w:val="000000"/>
          <w:kern w:val="0"/>
          <w:sz w:val="32"/>
          <w:szCs w:val="32"/>
        </w:rPr>
        <w:t>0</w:t>
      </w:r>
      <w:r>
        <w:rPr>
          <w:color w:val="000000"/>
          <w:kern w:val="0"/>
          <w:sz w:val="32"/>
          <w:szCs w:val="32"/>
        </w:rPr>
        <w:t>.</w:t>
      </w:r>
      <w:r>
        <w:rPr>
          <w:rFonts w:hint="eastAsia" w:ascii="仿宋_GB2312" w:eastAsia="仿宋_GB2312"/>
          <w:color w:val="000000"/>
          <w:kern w:val="0"/>
          <w:sz w:val="32"/>
          <w:szCs w:val="32"/>
        </w:rPr>
        <w:t>项目支出：指在基本支出之外为完成特定行政任务和事业发展目标所发生的支出。 </w:t>
      </w:r>
    </w:p>
    <w:p>
      <w:pPr>
        <w:widowControl/>
        <w:spacing w:before="240" w:after="240" w:line="560" w:lineRule="atLeast"/>
        <w:ind w:firstLine="640"/>
        <w:jc w:val="left"/>
        <w:rPr>
          <w:rFonts w:ascii="宋体" w:hAnsi="宋体" w:cs="宋体"/>
          <w:kern w:val="0"/>
          <w:sz w:val="24"/>
        </w:rPr>
      </w:pPr>
      <w:r>
        <w:rPr>
          <w:color w:val="000000"/>
          <w:kern w:val="0"/>
          <w:sz w:val="32"/>
          <w:szCs w:val="32"/>
        </w:rPr>
        <w:t>1</w:t>
      </w:r>
      <w:r>
        <w:rPr>
          <w:rFonts w:hint="eastAsia"/>
          <w:color w:val="000000"/>
          <w:kern w:val="0"/>
          <w:sz w:val="32"/>
          <w:szCs w:val="32"/>
        </w:rPr>
        <w:t>1</w:t>
      </w:r>
      <w:r>
        <w:rPr>
          <w:color w:val="000000"/>
          <w:kern w:val="0"/>
          <w:sz w:val="32"/>
          <w:szCs w:val="32"/>
        </w:rPr>
        <w:t>.“</w:t>
      </w:r>
      <w:r>
        <w:rPr>
          <w:rFonts w:hint="eastAsia" w:ascii="仿宋_GB2312" w:eastAsia="仿宋_GB2312"/>
          <w:color w:val="000000"/>
          <w:kern w:val="0"/>
          <w:sz w:val="32"/>
          <w:szCs w:val="32"/>
        </w:rPr>
        <w:t>三公</w:t>
      </w:r>
      <w:r>
        <w:rPr>
          <w:rFonts w:eastAsia="仿宋_GB2312"/>
          <w:color w:val="000000"/>
          <w:kern w:val="0"/>
          <w:sz w:val="32"/>
          <w:szCs w:val="32"/>
        </w:rPr>
        <w:t>”</w:t>
      </w:r>
      <w:r>
        <w:rPr>
          <w:rFonts w:hint="eastAsia" w:ascii="仿宋_GB2312" w:eastAsia="仿宋_GB2312"/>
          <w:color w:val="000000"/>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before="240" w:after="240" w:line="560" w:lineRule="atLeast"/>
        <w:ind w:firstLine="640"/>
        <w:jc w:val="left"/>
        <w:rPr>
          <w:rFonts w:ascii="宋体" w:hAnsi="宋体" w:cs="宋体"/>
          <w:kern w:val="0"/>
          <w:sz w:val="24"/>
        </w:rPr>
      </w:pPr>
      <w:r>
        <w:rPr>
          <w:color w:val="000000"/>
          <w:kern w:val="0"/>
          <w:sz w:val="32"/>
          <w:szCs w:val="32"/>
        </w:rPr>
        <w:t> 1</w:t>
      </w:r>
      <w:r>
        <w:rPr>
          <w:rFonts w:hint="eastAsia"/>
          <w:color w:val="000000"/>
          <w:kern w:val="0"/>
          <w:sz w:val="32"/>
          <w:szCs w:val="32"/>
        </w:rPr>
        <w:t>2</w:t>
      </w:r>
      <w:r>
        <w:rPr>
          <w:color w:val="000000"/>
          <w:kern w:val="0"/>
          <w:sz w:val="32"/>
          <w:szCs w:val="32"/>
        </w:rPr>
        <w:t>.</w:t>
      </w:r>
      <w:r>
        <w:rPr>
          <w:rFonts w:hint="eastAsia" w:ascii="仿宋_GB2312" w:eastAsia="仿宋_GB2312"/>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300" w:lineRule="atLeast"/>
        <w:ind w:firstLine="640"/>
        <w:jc w:val="left"/>
        <w:rPr>
          <w:rFonts w:ascii="宋体" w:hAnsi="宋体" w:cs="宋体"/>
          <w:kern w:val="0"/>
          <w:sz w:val="24"/>
        </w:rPr>
      </w:pPr>
      <w:r>
        <w:rPr>
          <w:color w:val="000000"/>
          <w:kern w:val="0"/>
          <w:sz w:val="32"/>
          <w:szCs w:val="32"/>
        </w:rPr>
        <w:t>1</w:t>
      </w:r>
      <w:r>
        <w:rPr>
          <w:rFonts w:hint="eastAsia"/>
          <w:color w:val="000000"/>
          <w:kern w:val="0"/>
          <w:sz w:val="32"/>
          <w:szCs w:val="32"/>
        </w:rPr>
        <w:t>3</w:t>
      </w:r>
      <w:r>
        <w:rPr>
          <w:color w:val="000000"/>
          <w:kern w:val="0"/>
          <w:sz w:val="32"/>
          <w:szCs w:val="32"/>
        </w:rPr>
        <w:t>.</w:t>
      </w:r>
      <w:r>
        <w:rPr>
          <w:rFonts w:hint="eastAsia" w:ascii="仿宋_GB2312" w:eastAsia="仿宋_GB2312"/>
          <w:color w:val="000000"/>
          <w:kern w:val="0"/>
          <w:sz w:val="32"/>
          <w:szCs w:val="32"/>
        </w:rPr>
        <w:t>基本支出：指为保障机构正常运转、完成日常工作任务而发生的人员支出和公用支出。</w:t>
      </w:r>
    </w:p>
    <w:p>
      <w:pPr>
        <w:widowControl/>
        <w:spacing w:line="300" w:lineRule="atLeast"/>
        <w:ind w:firstLine="640"/>
        <w:jc w:val="left"/>
        <w:rPr>
          <w:rFonts w:ascii="宋体" w:hAnsi="宋体" w:cs="宋体"/>
          <w:kern w:val="0"/>
          <w:sz w:val="24"/>
        </w:rPr>
      </w:pPr>
      <w:r>
        <w:rPr>
          <w:color w:val="000000"/>
          <w:kern w:val="0"/>
          <w:sz w:val="32"/>
          <w:szCs w:val="32"/>
        </w:rPr>
        <w:t>1</w:t>
      </w:r>
      <w:r>
        <w:rPr>
          <w:rFonts w:hint="eastAsia"/>
          <w:color w:val="000000"/>
          <w:kern w:val="0"/>
          <w:sz w:val="32"/>
          <w:szCs w:val="32"/>
        </w:rPr>
        <w:t>4</w:t>
      </w:r>
      <w:r>
        <w:rPr>
          <w:color w:val="000000"/>
          <w:kern w:val="0"/>
          <w:sz w:val="32"/>
          <w:szCs w:val="32"/>
        </w:rPr>
        <w:t>.</w:t>
      </w:r>
      <w:r>
        <w:rPr>
          <w:rFonts w:hint="eastAsia" w:ascii="仿宋_GB2312" w:eastAsia="仿宋_GB2312"/>
          <w:color w:val="000000"/>
          <w:kern w:val="0"/>
          <w:sz w:val="32"/>
          <w:szCs w:val="32"/>
        </w:rPr>
        <w:t>项目支出：指在基本支出之外为完成特定行政任务和事业发展目标所发生的支出。</w:t>
      </w:r>
    </w:p>
    <w:p>
      <w:pPr>
        <w:spacing w:line="600" w:lineRule="exact"/>
        <w:jc w:val="center"/>
        <w:outlineLvl w:val="0"/>
        <w:rPr>
          <w:rStyle w:val="25"/>
          <w:rFonts w:ascii="黑体" w:hAnsi="黑体" w:eastAsia="黑体"/>
          <w:b w:val="0"/>
        </w:rPr>
      </w:pPr>
      <w:bookmarkStart w:id="61" w:name="_Toc15377226"/>
      <w:r>
        <w:rPr>
          <w:rFonts w:ascii="宋体"/>
          <w:b/>
          <w:sz w:val="44"/>
          <w:szCs w:val="44"/>
        </w:rPr>
        <w:br w:type="page"/>
      </w:r>
      <w:bookmarkStart w:id="62" w:name="_Toc15396614"/>
      <w:r>
        <w:rPr>
          <w:rFonts w:hint="eastAsia" w:ascii="黑体" w:hAnsi="黑体" w:eastAsia="黑体"/>
          <w:sz w:val="44"/>
          <w:szCs w:val="44"/>
        </w:rPr>
        <w:t>第</w:t>
      </w:r>
      <w:r>
        <w:rPr>
          <w:rStyle w:val="25"/>
          <w:rFonts w:hint="eastAsia" w:ascii="黑体" w:hAnsi="黑体" w:eastAsia="黑体"/>
          <w:b w:val="0"/>
        </w:rPr>
        <w:t>四部分附件</w:t>
      </w:r>
      <w:bookmarkEnd w:id="62"/>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2021年攀枝花市西区商务局</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部门整体绩效评价报告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2"/>
        <w:spacing w:before="93"/>
        <w:ind w:firstLine="640" w:firstLineChars="200"/>
        <w:rPr>
          <w:sz w:val="32"/>
          <w:szCs w:val="32"/>
          <w:lang w:val="zh-CN"/>
        </w:rPr>
      </w:pPr>
      <w:r>
        <w:rPr>
          <w:rFonts w:hint="eastAsia"/>
          <w:sz w:val="32"/>
          <w:szCs w:val="32"/>
        </w:rPr>
        <w:t>攀枝花市西区商务局内设机构3个，下属二级单位2个，其中：参照公务员法管理的事业单位1个（西区商贸执法队），其他事业单位1个（西区现代服务业发展促进中心）。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攀枝花市</w:t>
      </w:r>
      <w:r>
        <w:rPr>
          <w:rFonts w:hint="eastAsia" w:ascii="仿宋_GB2312" w:eastAsia="仿宋_GB2312"/>
          <w:kern w:val="0"/>
          <w:sz w:val="32"/>
          <w:szCs w:val="32"/>
        </w:rPr>
        <w:t>西区商务局作为全区商贸服务业经济运行监管的行业主管部门，主要承担指导、引导全区商贸服务业经济发展、行业管理、安全环保及全区重大商贸服务业项目的推进工作;负责商贸流通、市场体系建设、电子商务、现代物流、内外贸易及指导和协调全区服务业发展等职责。</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widowControl/>
        <w:spacing w:line="221" w:lineRule="atLeast"/>
        <w:ind w:firstLine="640" w:firstLineChars="200"/>
        <w:jc w:val="left"/>
        <w:rPr>
          <w:rFonts w:ascii="仿宋_GB2312" w:hAnsi="仿宋" w:eastAsia="仿宋_GB2312" w:cs="宋体"/>
          <w:kern w:val="0"/>
          <w:sz w:val="32"/>
          <w:szCs w:val="32"/>
        </w:rPr>
      </w:pPr>
      <w:r>
        <w:rPr>
          <w:rFonts w:hint="eastAsia" w:ascii="仿宋_GB2312" w:hAnsi="宋体" w:eastAsia="仿宋_GB2312" w:cs="宋体"/>
          <w:kern w:val="0"/>
          <w:sz w:val="32"/>
          <w:szCs w:val="32"/>
          <w:shd w:val="clear" w:color="auto" w:fill="FFFFFF"/>
          <w:lang w:val="zh-CN"/>
        </w:rPr>
        <w:t>攀枝花市</w:t>
      </w:r>
      <w:r>
        <w:rPr>
          <w:rFonts w:hint="eastAsia" w:ascii="仿宋_GB2312" w:hAnsi="仿宋" w:eastAsia="仿宋_GB2312"/>
          <w:kern w:val="0"/>
          <w:sz w:val="32"/>
          <w:szCs w:val="32"/>
        </w:rPr>
        <w:t>西区商务局内设机构3个：办公室、商务管理股、综合股；所属2个事业单位：区商贸执法队（参公单位）、区现代服务业发展促进中心。2021年有正式编制19名，实有17名，空编2名。其中：行政编制4名，实有4名；参公编制5名，实有3名；事业编制10名，实有10名；临聘编制6名，实有3名。</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仿宋" w:eastAsia="仿宋_GB2312" w:cs="宋体"/>
          <w:kern w:val="0"/>
          <w:sz w:val="32"/>
          <w:szCs w:val="32"/>
          <w:shd w:val="clear" w:color="auto" w:fill="FFFFFF"/>
          <w:lang w:val="zh-CN"/>
        </w:rPr>
      </w:pPr>
      <w:r>
        <w:rPr>
          <w:rFonts w:hint="eastAsia" w:ascii="仿宋_GB2312" w:hAnsi="仿宋" w:eastAsia="仿宋_GB2312" w:cs="宋体"/>
          <w:kern w:val="0"/>
          <w:sz w:val="32"/>
          <w:szCs w:val="32"/>
          <w:shd w:val="clear" w:color="auto" w:fill="FFFFFF"/>
          <w:lang w:val="zh-CN"/>
        </w:rPr>
        <w:t>（一）部门财政资金收入情况。</w:t>
      </w:r>
    </w:p>
    <w:p>
      <w:pPr>
        <w:pStyle w:val="2"/>
        <w:spacing w:before="93"/>
        <w:rPr>
          <w:rFonts w:hAnsi="仿宋"/>
          <w:sz w:val="32"/>
          <w:szCs w:val="32"/>
          <w:lang w:val="zh-CN"/>
        </w:rPr>
      </w:pPr>
      <w:r>
        <w:rPr>
          <w:rFonts w:hint="eastAsia" w:hAnsi="仿宋"/>
          <w:sz w:val="32"/>
          <w:szCs w:val="32"/>
        </w:rPr>
        <w:t xml:space="preserve">    2021年预算安排</w:t>
      </w:r>
      <w:r>
        <w:rPr>
          <w:rFonts w:hint="eastAsia" w:hAnsi="仿宋" w:cs="宋体"/>
          <w:sz w:val="32"/>
          <w:szCs w:val="32"/>
          <w:shd w:val="clear" w:color="auto" w:fill="FFFFFF"/>
          <w:lang w:val="zh-CN"/>
        </w:rPr>
        <w:t>财政资金</w:t>
      </w:r>
      <w:r>
        <w:rPr>
          <w:rFonts w:hint="eastAsia" w:hAnsi="仿宋"/>
          <w:sz w:val="32"/>
          <w:szCs w:val="32"/>
        </w:rPr>
        <w:t>收入312.63万元。</w:t>
      </w:r>
    </w:p>
    <w:p>
      <w:pPr>
        <w:widowControl/>
        <w:adjustRightInd w:val="0"/>
        <w:snapToGrid w:val="0"/>
        <w:spacing w:line="572" w:lineRule="exact"/>
        <w:ind w:firstLine="640" w:firstLineChars="200"/>
        <w:contextualSpacing/>
        <w:jc w:val="left"/>
        <w:rPr>
          <w:rFonts w:ascii="仿宋_GB2312" w:hAnsi="仿宋" w:eastAsia="仿宋_GB2312" w:cs="宋体"/>
          <w:kern w:val="0"/>
          <w:sz w:val="32"/>
          <w:szCs w:val="32"/>
          <w:shd w:val="clear" w:color="auto" w:fill="FFFFFF"/>
          <w:lang w:val="zh-CN"/>
        </w:rPr>
      </w:pPr>
      <w:r>
        <w:rPr>
          <w:rFonts w:hint="eastAsia" w:ascii="仿宋_GB2312" w:hAnsi="仿宋" w:eastAsia="仿宋_GB2312" w:cs="宋体"/>
          <w:kern w:val="0"/>
          <w:sz w:val="32"/>
          <w:szCs w:val="32"/>
          <w:shd w:val="clear" w:color="auto" w:fill="FFFFFF"/>
          <w:lang w:val="zh-CN"/>
        </w:rPr>
        <w:t>（二）部门财政资金支出情况。</w:t>
      </w:r>
    </w:p>
    <w:p>
      <w:pPr>
        <w:pStyle w:val="2"/>
        <w:spacing w:before="93"/>
        <w:ind w:firstLine="640" w:firstLineChars="200"/>
        <w:rPr>
          <w:rFonts w:hAnsi="仿宋"/>
          <w:sz w:val="32"/>
          <w:szCs w:val="32"/>
          <w:lang w:val="zh-CN"/>
        </w:rPr>
      </w:pPr>
      <w:r>
        <w:rPr>
          <w:rFonts w:hint="eastAsia" w:hAnsi="仿宋"/>
          <w:sz w:val="32"/>
          <w:szCs w:val="32"/>
        </w:rPr>
        <w:t>2021年预算安排</w:t>
      </w:r>
      <w:r>
        <w:rPr>
          <w:rFonts w:hint="eastAsia" w:hAnsi="仿宋" w:cs="宋体"/>
          <w:sz w:val="32"/>
          <w:szCs w:val="32"/>
          <w:shd w:val="clear" w:color="auto" w:fill="FFFFFF"/>
          <w:lang w:val="zh-CN"/>
        </w:rPr>
        <w:t>财政资金支出462.69</w:t>
      </w:r>
      <w:r>
        <w:rPr>
          <w:rFonts w:hint="eastAsia" w:hAnsi="仿宋"/>
          <w:sz w:val="32"/>
          <w:szCs w:val="32"/>
        </w:rPr>
        <w:t>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2021年，西区商务局按照部门年初目标任务和资金预算，认真组织开展重点服务业及商贸企业升规入库培育经费、西区商贸服务业项目推进以及相关会展的筹备等工作。召开各类工作会议，安排布置商贸服务业相关工作，打印各类宣传资料，加大对西区的宣传力度。2021年西区商务局各项工作按年度计划全面完成。</w:t>
      </w:r>
      <w:r>
        <w:rPr>
          <w:rFonts w:hint="eastAsia" w:ascii="仿宋_GB2312" w:hAnsi="宋体" w:eastAsia="仿宋_GB2312" w:cs="宋体"/>
          <w:sz w:val="32"/>
          <w:szCs w:val="32"/>
          <w:shd w:val="clear" w:color="auto" w:fill="FFFFFF"/>
          <w:lang w:val="zh-CN"/>
        </w:rPr>
        <w:t>部门预算</w:t>
      </w:r>
      <w:r>
        <w:rPr>
          <w:rFonts w:hint="eastAsia" w:ascii="仿宋_GB2312" w:eastAsia="仿宋_GB2312"/>
          <w:sz w:val="32"/>
          <w:szCs w:val="32"/>
        </w:rPr>
        <w:t>基本经费支出257.06万元，项目经费安排预算</w:t>
      </w:r>
      <w:r>
        <w:rPr>
          <w:rFonts w:hint="eastAsia" w:ascii="仿宋_GB2312" w:hAnsi="仿宋_GB2312" w:eastAsia="仿宋_GB2312" w:cs="仿宋_GB2312"/>
          <w:sz w:val="32"/>
          <w:szCs w:val="32"/>
        </w:rPr>
        <w:t>10个项目</w:t>
      </w:r>
      <w:r>
        <w:rPr>
          <w:rFonts w:hint="eastAsia" w:ascii="仿宋_GB2312" w:eastAsia="仿宋_GB2312"/>
          <w:sz w:val="32"/>
          <w:szCs w:val="32"/>
        </w:rPr>
        <w:t>205.63万元，全年部门预算总体绩效执行462.69万元。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spacing w:line="221" w:lineRule="atLeast"/>
        <w:ind w:firstLine="640" w:firstLineChars="200"/>
        <w:jc w:val="left"/>
        <w:rPr>
          <w:rFonts w:ascii="宋体" w:hAnsi="宋体" w:cs="宋体"/>
          <w:kern w:val="0"/>
          <w:sz w:val="24"/>
        </w:rPr>
      </w:pPr>
      <w:r>
        <w:rPr>
          <w:rFonts w:hint="eastAsia"/>
          <w:kern w:val="0"/>
          <w:sz w:val="32"/>
          <w:szCs w:val="32"/>
        </w:rPr>
        <w:t>1.</w:t>
      </w:r>
      <w:r>
        <w:rPr>
          <w:rFonts w:hint="eastAsia" w:ascii="仿宋_GB2312" w:eastAsia="仿宋_GB2312"/>
          <w:kern w:val="0"/>
          <w:sz w:val="32"/>
          <w:szCs w:val="32"/>
        </w:rPr>
        <w:t>效益指标完成情况分析。</w:t>
      </w:r>
    </w:p>
    <w:p>
      <w:pPr>
        <w:widowControl/>
        <w:spacing w:line="221" w:lineRule="atLeast"/>
        <w:ind w:firstLine="640"/>
        <w:jc w:val="left"/>
        <w:rPr>
          <w:rFonts w:eastAsia="仿宋_GB2312"/>
          <w:spacing w:val="-4"/>
          <w:sz w:val="32"/>
          <w:szCs w:val="32"/>
        </w:rPr>
      </w:pPr>
      <w:r>
        <w:rPr>
          <w:rFonts w:hint="eastAsia" w:eastAsia="仿宋_GB2312"/>
          <w:spacing w:val="-4"/>
          <w:sz w:val="32"/>
          <w:szCs w:val="32"/>
        </w:rPr>
        <w:t>西区商务局</w:t>
      </w:r>
      <w:r>
        <w:rPr>
          <w:rFonts w:eastAsia="仿宋_GB2312"/>
          <w:spacing w:val="-4"/>
          <w:sz w:val="32"/>
          <w:szCs w:val="32"/>
        </w:rPr>
        <w:t>紧紧抓住项目建设这个“牛鼻子”，奋力推动“三个圈层”联动发展，分别到重庆、江西、云南丽江、大理、成都等地开展招商引资活动，引进希悦酒店、驻下酒店入驻西区；促进启能新能源汽车销售、废旧汽车拆旧回收及汽车零部件再制造项目落户西区。全面实施服务业重点企业培育计划，按照条块结合、纵横协作原则，持续推进“主辅分、个转企、企升规、规入库、库进统”等基础性工作。以假日经济为抓手，相继推出“汇聚阳光•悦享花城”“月满中秋•阖家团圆”等促销活动，实施多项“线上+线下”促消费举措，</w:t>
      </w:r>
      <w:r>
        <w:rPr>
          <w:rFonts w:hint="eastAsia" w:eastAsia="仿宋_GB2312"/>
          <w:spacing w:val="-4"/>
          <w:sz w:val="32"/>
          <w:szCs w:val="32"/>
        </w:rPr>
        <w:t>区域消费活力得到明显提升</w:t>
      </w:r>
      <w:r>
        <w:rPr>
          <w:rFonts w:eastAsia="仿宋_GB2312"/>
          <w:spacing w:val="-4"/>
          <w:sz w:val="32"/>
          <w:szCs w:val="32"/>
        </w:rPr>
        <w:t>。</w:t>
      </w:r>
    </w:p>
    <w:p>
      <w:pPr>
        <w:widowControl/>
        <w:spacing w:line="221" w:lineRule="atLeast"/>
        <w:ind w:firstLine="640"/>
        <w:jc w:val="left"/>
        <w:rPr>
          <w:rFonts w:ascii="宋体" w:hAnsi="宋体" w:cs="宋体"/>
          <w:kern w:val="0"/>
          <w:sz w:val="24"/>
        </w:rPr>
      </w:pPr>
      <w:r>
        <w:rPr>
          <w:kern w:val="0"/>
          <w:sz w:val="32"/>
          <w:szCs w:val="32"/>
        </w:rPr>
        <w:t>2.</w:t>
      </w:r>
      <w:r>
        <w:rPr>
          <w:rFonts w:hint="eastAsia" w:ascii="仿宋_GB2312" w:eastAsia="仿宋_GB2312"/>
          <w:kern w:val="0"/>
          <w:sz w:val="32"/>
          <w:szCs w:val="32"/>
        </w:rPr>
        <w:t>信息公开。</w:t>
      </w:r>
    </w:p>
    <w:p>
      <w:pPr>
        <w:widowControl/>
        <w:spacing w:line="221" w:lineRule="atLeast"/>
        <w:ind w:firstLine="640"/>
        <w:jc w:val="left"/>
        <w:rPr>
          <w:rFonts w:ascii="宋体" w:hAnsi="宋体" w:cs="宋体"/>
          <w:kern w:val="0"/>
          <w:sz w:val="24"/>
        </w:rPr>
      </w:pPr>
      <w:r>
        <w:rPr>
          <w:rFonts w:hint="eastAsia" w:ascii="仿宋_GB2312" w:eastAsia="仿宋_GB2312"/>
          <w:kern w:val="0"/>
          <w:sz w:val="32"/>
          <w:szCs w:val="32"/>
        </w:rPr>
        <w:t>严格按照《中华人民共和国预算法》《中华人民共和国政府信息公开条例》等相关文件要求，对本部门预算、决算及报表等文件，及时在攀枝花西区人民政府网站设立的预决算公开专栏进行集中公开，并公开预算编制目录，对公开内容进行分类、分级，方便公众查阅和监督。</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spacing w:line="221" w:lineRule="atLeast"/>
        <w:ind w:firstLine="640" w:firstLineChars="200"/>
        <w:jc w:val="left"/>
        <w:rPr>
          <w:rFonts w:ascii="宋体" w:hAnsi="宋体" w:cs="宋体"/>
          <w:kern w:val="0"/>
          <w:sz w:val="24"/>
        </w:rPr>
      </w:pPr>
      <w:r>
        <w:rPr>
          <w:rFonts w:hint="eastAsia" w:ascii="仿宋_GB2312" w:eastAsia="仿宋_GB2312"/>
          <w:kern w:val="0"/>
          <w:sz w:val="32"/>
          <w:szCs w:val="32"/>
        </w:rPr>
        <w:t>西区商务局对2021年预算按照每次执行均采取实时监控措施，并定期对绩效监控信息进行收集、审核、分析，并按时向财务负责人报告，做到绩效监控措施准确、有实效。</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eastAsia="仿宋_GB2312"/>
          <w:kern w:val="0"/>
          <w:sz w:val="32"/>
          <w:szCs w:val="32"/>
        </w:rPr>
        <w:t>区商务局贯彻落实党中央关于商务工作的方针、政策和省委、市委、区委的决策部署，围绕中心、服务大局、履职尽责、开拓创新，保障了各项工作有序推进，实现项目有落地、经济有增长等良好态势。</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spacing w:line="221" w:lineRule="atLeast"/>
        <w:ind w:firstLine="640"/>
        <w:jc w:val="left"/>
        <w:rPr>
          <w:rFonts w:ascii="宋体" w:hAnsi="宋体" w:eastAsia="仿宋_GB2312" w:cs="宋体"/>
          <w:kern w:val="0"/>
          <w:sz w:val="24"/>
        </w:rPr>
      </w:pPr>
      <w:r>
        <w:rPr>
          <w:rFonts w:hint="eastAsia" w:ascii="仿宋_GB2312" w:eastAsia="仿宋_GB2312"/>
          <w:kern w:val="0"/>
          <w:sz w:val="32"/>
          <w:szCs w:val="32"/>
          <w:lang w:val="zh-CN"/>
        </w:rPr>
        <w:t>一是</w:t>
      </w:r>
      <w:r>
        <w:rPr>
          <w:rFonts w:hint="eastAsia" w:ascii="仿宋_GB2312" w:eastAsia="仿宋_GB2312"/>
          <w:kern w:val="0"/>
          <w:sz w:val="32"/>
          <w:szCs w:val="32"/>
        </w:rPr>
        <w:t>部分项目支出未按预期目标实现资金支付工作。二是受到疫情等多方因素的影响，部分项目未按预定目标执行，项目最终未能达到年度总体目标任务。</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widowControl/>
        <w:spacing w:line="221" w:lineRule="atLeast"/>
        <w:ind w:firstLine="800" w:firstLineChars="250"/>
        <w:jc w:val="left"/>
        <w:rPr>
          <w:rFonts w:ascii="仿宋_GB2312" w:eastAsia="仿宋_GB2312"/>
          <w:kern w:val="0"/>
          <w:sz w:val="32"/>
          <w:szCs w:val="32"/>
        </w:rPr>
      </w:pPr>
      <w:r>
        <w:rPr>
          <w:rFonts w:hint="eastAsia" w:ascii="仿宋_GB2312" w:eastAsia="仿宋_GB2312"/>
          <w:kern w:val="0"/>
          <w:sz w:val="32"/>
          <w:szCs w:val="32"/>
        </w:rPr>
        <w:t>一是针对资金绩效运行状况，及时查找资金使用和管理过程中的薄弱环节，提出纠正措施；加快资金执行进度，确保后续绩效目标的有效实现。</w:t>
      </w:r>
    </w:p>
    <w:p>
      <w:pPr>
        <w:pStyle w:val="2"/>
        <w:spacing w:before="93"/>
        <w:ind w:firstLine="640" w:firstLineChars="200"/>
        <w:rPr>
          <w:rFonts w:hAnsi="宋体" w:cs="宋体"/>
          <w:sz w:val="32"/>
          <w:szCs w:val="32"/>
          <w:shd w:val="clear" w:color="auto" w:fill="FFFFFF"/>
          <w:lang w:val="zh-CN"/>
        </w:rPr>
      </w:pPr>
      <w:r>
        <w:rPr>
          <w:rFonts w:hint="eastAsia"/>
          <w:sz w:val="32"/>
          <w:szCs w:val="32"/>
        </w:rPr>
        <w:t>二是针对项目未按预定目标执行的问题，及时调整执行目标任务，确保完成项目绩效年度总体目标任务。</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2021年攀枝花市西区商务局</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项目协调经费专项预算项目支出绩效自评报告</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（主管部门自评）</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1．说明项目主管部门（单位）在该项目管理中的职能。</w:t>
      </w:r>
    </w:p>
    <w:p>
      <w:pPr>
        <w:pStyle w:val="2"/>
        <w:spacing w:before="93"/>
        <w:ind w:firstLine="640" w:firstLineChars="200"/>
        <w:rPr>
          <w:rFonts w:hAnsi="仿宋_GB2312" w:cs="仿宋_GB2312"/>
          <w:sz w:val="32"/>
          <w:szCs w:val="32"/>
        </w:rPr>
      </w:pPr>
      <w:r>
        <w:rPr>
          <w:rFonts w:hint="eastAsia" w:hAnsi="仿宋_GB2312" w:cs="仿宋_GB2312"/>
          <w:sz w:val="32"/>
          <w:szCs w:val="32"/>
        </w:rPr>
        <w:t>项目主管单位攀枝花市西区商务局在该项目管理中的职能是作为全区商贸服务业经济运行监管的行业主管部门，主要承担指导、引导全区商贸服务业经济发展、行业管理、安全环保及全区重大商贸服务业项目的推进工作;负责商贸流通、市场体系建设、电子商务、现代物流、内外贸易及指导和协调全区服务业发展等职责。</w:t>
      </w:r>
    </w:p>
    <w:p>
      <w:pPr>
        <w:pStyle w:val="2"/>
        <w:spacing w:before="93"/>
        <w:ind w:firstLine="640" w:firstLineChars="200"/>
        <w:rPr>
          <w:rFonts w:hAnsi="仿宋_GB2312" w:cs="仿宋_GB2312"/>
          <w:sz w:val="32"/>
          <w:szCs w:val="32"/>
          <w:lang w:val="zh-CN"/>
        </w:rPr>
      </w:pPr>
      <w:r>
        <w:rPr>
          <w:rFonts w:hint="eastAsia" w:hAnsi="仿宋_GB2312" w:cs="仿宋_GB2312"/>
          <w:sz w:val="32"/>
          <w:szCs w:val="32"/>
          <w:lang w:val="zh-CN"/>
        </w:rPr>
        <w:t>2．项目立项、资金申报的依据。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近年全区服务业持续健康发展对管理水平要求提高的需求。</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3．资金管理办法制定情况，资金支持具体项目的条件、范围与支持方式概况。</w:t>
      </w:r>
    </w:p>
    <w:p>
      <w:pPr>
        <w:pStyle w:val="2"/>
        <w:spacing w:before="93"/>
        <w:ind w:firstLine="640" w:firstLineChars="200"/>
        <w:rPr>
          <w:rFonts w:hAnsi="仿宋_GB2312" w:cs="仿宋_GB2312"/>
          <w:color w:val="000000" w:themeColor="text1"/>
          <w:sz w:val="32"/>
          <w:szCs w:val="32"/>
          <w:lang w:val="zh-CN"/>
        </w:rPr>
      </w:pPr>
      <w:r>
        <w:rPr>
          <w:rFonts w:hint="eastAsia" w:hAnsi="仿宋_GB2312" w:cs="仿宋_GB2312"/>
          <w:color w:val="000000" w:themeColor="text1"/>
          <w:sz w:val="32"/>
          <w:szCs w:val="32"/>
        </w:rPr>
        <w:t>根据《西区商务局</w:t>
      </w:r>
      <w:r>
        <w:rPr>
          <w:rFonts w:hint="eastAsia" w:hAnsi="仿宋_GB2312" w:cs="仿宋_GB2312"/>
          <w:bCs/>
          <w:color w:val="000000" w:themeColor="text1"/>
          <w:sz w:val="32"/>
          <w:szCs w:val="32"/>
        </w:rPr>
        <w:t>财务</w:t>
      </w:r>
      <w:r>
        <w:rPr>
          <w:rFonts w:hint="eastAsia" w:hAnsi="仿宋_GB2312" w:cs="仿宋_GB2312"/>
          <w:color w:val="000000" w:themeColor="text1"/>
          <w:sz w:val="32"/>
          <w:szCs w:val="32"/>
        </w:rPr>
        <w:t>管理制度》办理相关报帐手续，主要将此专项资金用于项目协调办公费、项目包装、外出引进、对接项目差旅费、印刷费等。</w:t>
      </w:r>
    </w:p>
    <w:p>
      <w:pPr>
        <w:adjustRightInd w:val="0"/>
        <w:snapToGrid w:val="0"/>
        <w:spacing w:line="60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4．资金分配的原则及考虑因素。</w:t>
      </w:r>
    </w:p>
    <w:p>
      <w:pPr>
        <w:pStyle w:val="2"/>
        <w:spacing w:before="93"/>
        <w:ind w:firstLine="640" w:firstLineChars="200"/>
        <w:rPr>
          <w:rFonts w:hAnsi="仿宋_GB2312" w:cs="仿宋_GB2312"/>
          <w:sz w:val="32"/>
          <w:szCs w:val="32"/>
          <w:lang w:val="zh-CN"/>
        </w:rPr>
      </w:pPr>
      <w:r>
        <w:rPr>
          <w:rFonts w:hint="eastAsia" w:hAnsi="仿宋_GB2312" w:cs="仿宋_GB2312"/>
          <w:sz w:val="32"/>
          <w:szCs w:val="32"/>
        </w:rPr>
        <w:t>根据局工作实际开展情况、工作量等因素进行资金安排。</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pStyle w:val="2"/>
        <w:spacing w:before="93"/>
        <w:ind w:firstLine="758" w:firstLineChars="237"/>
      </w:pPr>
      <w:r>
        <w:rPr>
          <w:rFonts w:hint="eastAsia" w:hAnsi="仿宋_GB2312" w:cs="仿宋_GB2312"/>
          <w:sz w:val="32"/>
          <w:szCs w:val="32"/>
        </w:rPr>
        <w:t>西区商务局承担指导和协调全区服务业发展的职责。牵头打造的</w:t>
      </w:r>
      <w:r>
        <w:rPr>
          <w:rFonts w:hint="eastAsia" w:hAnsi="仿宋_GB2312" w:cs="仿宋_GB2312"/>
          <w:color w:val="000000"/>
          <w:spacing w:val="-4"/>
          <w:sz w:val="32"/>
          <w:szCs w:val="32"/>
        </w:rPr>
        <w:t>中央商务区已经成为西区生活性服务业的中心，明显改善了西区居民的消费环境。优化完善“现代物流+电子商务”项目的包装工作，依托现代恒业、沃圃生、农易达等重点农业企业，打造区域电商品牌，拓宽黑鸡纵、苏铁山药、芒果、噹噹鸡等本地特色农副产品销售渠道，发掘和释放农村消费能力。加快攀青、鑫铁、新启等三大传统物流企业升级改造，格里坪工业物流园区成为攀枝花市生产服务型国家物流枢纽“一主两辅”重要支撑。以“康养+产业”为引领，着力打造“2221”工程，全城化布局、全龄化服务、全时段开放的大康养格局加速形成。2021年，全区完成社消零累计总额23.35亿元，累计增速18.4%；全区服务业增加值实现21.60亿元，增速为9.6%。</w:t>
      </w:r>
    </w:p>
    <w:p>
      <w:pPr>
        <w:pStyle w:val="2"/>
        <w:spacing w:before="93"/>
        <w:ind w:firstLine="600"/>
        <w:rPr>
          <w:rFonts w:hAnsi="宋体"/>
          <w:sz w:val="32"/>
          <w:szCs w:val="32"/>
          <w:lang w:val="zh-CN"/>
        </w:rPr>
      </w:pPr>
      <w:r>
        <w:rPr>
          <w:rFonts w:hint="eastAsia" w:hAnsi="宋体"/>
          <w:sz w:val="32"/>
          <w:szCs w:val="32"/>
          <w:lang w:val="zh-CN"/>
        </w:rPr>
        <w:t>2．项目应实现的具体绩效目标，包括目标的量化、细化情况以及项目实施进度计划等。</w:t>
      </w:r>
    </w:p>
    <w:p>
      <w:pPr>
        <w:ind w:firstLine="640" w:firstLineChars="200"/>
        <w:rPr>
          <w:rFonts w:ascii="仿宋_GB2312" w:hAnsi="仿宋" w:eastAsia="仿宋_GB2312"/>
          <w:sz w:val="32"/>
          <w:szCs w:val="32"/>
        </w:rPr>
      </w:pPr>
      <w:r>
        <w:rPr>
          <w:rFonts w:hint="eastAsia" w:ascii="仿宋_GB2312" w:hAnsi="仿宋" w:eastAsia="仿宋_GB2312"/>
          <w:sz w:val="32"/>
          <w:szCs w:val="32"/>
          <w:lang w:val="zh-CN"/>
        </w:rPr>
        <w:t>该绩效目标包括</w:t>
      </w:r>
      <w:r>
        <w:rPr>
          <w:rFonts w:hint="eastAsia" w:ascii="仿宋_GB2312" w:hAnsi="仿宋" w:eastAsia="仿宋_GB2312"/>
          <w:sz w:val="32"/>
          <w:szCs w:val="32"/>
        </w:rPr>
        <w:t>推动规模以上服务业企业17户、限上商贸企业30户、规模以上批发业17户商家的发展协调相关工作；牵头协调5个重点招商引资项目建设过程中存在的困难和问题。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ind w:firstLine="624" w:firstLineChars="200"/>
        <w:rPr>
          <w:rFonts w:eastAsia="仿宋_GB2312"/>
          <w:color w:val="000000"/>
          <w:spacing w:val="-4"/>
          <w:kern w:val="0"/>
          <w:sz w:val="32"/>
          <w:szCs w:val="32"/>
        </w:rPr>
      </w:pPr>
      <w:r>
        <w:rPr>
          <w:rFonts w:hint="eastAsia" w:eastAsia="仿宋_GB2312"/>
          <w:color w:val="000000"/>
          <w:spacing w:val="-4"/>
          <w:kern w:val="0"/>
          <w:sz w:val="32"/>
          <w:szCs w:val="32"/>
        </w:rPr>
        <w:t>项目主要内容是西区商务局职能职责的其中之一，与实际相符，申报目标合理可行。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spacing w:line="353"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按照科室职责分工，确定项目协调中心职能职责，应用财政资金投资情况进行评价。</w:t>
      </w:r>
    </w:p>
    <w:p>
      <w:pPr>
        <w:ind w:left="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实施方法：逐项分析填列。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该项目属区级预算项目经费，区级预算计划</w:t>
      </w:r>
      <w:r>
        <w:rPr>
          <w:rFonts w:hint="eastAsia" w:ascii="仿宋_GB2312" w:hAnsi="宋体" w:eastAsia="仿宋_GB2312"/>
          <w:sz w:val="32"/>
          <w:szCs w:val="32"/>
        </w:rPr>
        <w:t>7万</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资金实际下达7万元。</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3．资金使用。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单位根据项目预算情况列支费用支出4.5万元，主要包括支付办公相关费用1.6万元，外出引进、对接项目差旅费2万元、资料印刷制作支出0.9万元。</w:t>
      </w:r>
      <w:r>
        <w:rPr>
          <w:rFonts w:ascii="仿宋_GB2312" w:hAnsi="宋体" w:eastAsia="仿宋_GB2312"/>
          <w:sz w:val="32"/>
          <w:szCs w:val="32"/>
          <w:lang w:val="zh-CN"/>
        </w:rPr>
        <w:t>资金的支付范围、支付标准、支付依据等是合规合法、与预算相符</w:t>
      </w:r>
      <w:r>
        <w:rPr>
          <w:rFonts w:hint="eastAsia" w:ascii="仿宋_GB2312" w:hAnsi="宋体" w:eastAsia="仿宋_GB2312"/>
          <w:sz w:val="32"/>
          <w:szCs w:val="32"/>
          <w:lang w:val="zh-CN"/>
        </w:rPr>
        <w:t>。</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有健全的财务制度，项目预算、资金拨付严格按照财务管理制度进行管理。保证专款专用，资金</w:t>
      </w:r>
      <w:r>
        <w:rPr>
          <w:rFonts w:hint="eastAsia" w:ascii="仿宋_GB2312" w:hAnsi="宋体" w:eastAsia="仿宋_GB2312"/>
          <w:sz w:val="32"/>
          <w:szCs w:val="32"/>
          <w:lang w:val="zh-CN"/>
        </w:rPr>
        <w:t>支付</w:t>
      </w:r>
      <w:r>
        <w:rPr>
          <w:rFonts w:ascii="仿宋_GB2312" w:hAnsi="宋体" w:eastAsia="仿宋_GB2312"/>
          <w:sz w:val="32"/>
          <w:szCs w:val="32"/>
          <w:lang w:val="zh-CN"/>
        </w:rPr>
        <w:t>由财务人员严格按照财务制度</w:t>
      </w:r>
      <w:r>
        <w:rPr>
          <w:rFonts w:hint="eastAsia" w:ascii="仿宋_GB2312" w:hAnsi="宋体" w:eastAsia="仿宋_GB2312"/>
          <w:sz w:val="32"/>
          <w:szCs w:val="32"/>
          <w:lang w:val="zh-CN"/>
        </w:rPr>
        <w:t>相关规定</w:t>
      </w:r>
      <w:r>
        <w:rPr>
          <w:rFonts w:ascii="仿宋_GB2312" w:hAnsi="宋体" w:eastAsia="仿宋_GB2312"/>
          <w:sz w:val="32"/>
          <w:szCs w:val="32"/>
          <w:lang w:val="zh-CN"/>
        </w:rPr>
        <w:t>进行资金的审核、支付和核算，财务处理及时，核算规范</w:t>
      </w:r>
      <w:r>
        <w:rPr>
          <w:rFonts w:hint="eastAsia" w:ascii="仿宋_GB2312" w:hAnsi="宋体" w:eastAsia="仿宋_GB2312"/>
          <w:sz w:val="32"/>
          <w:szCs w:val="32"/>
          <w:lang w:val="zh-CN"/>
        </w:rPr>
        <w:t>。</w:t>
      </w:r>
    </w:p>
    <w:p>
      <w:pPr>
        <w:pStyle w:val="24"/>
        <w:numPr>
          <w:ilvl w:val="0"/>
          <w:numId w:val="7"/>
        </w:numPr>
        <w:adjustRightInd w:val="0"/>
        <w:snapToGrid w:val="0"/>
        <w:spacing w:line="600" w:lineRule="exact"/>
        <w:ind w:firstLineChars="0"/>
        <w:rPr>
          <w:rFonts w:ascii="黑体" w:hAnsi="宋体" w:eastAsia="黑体"/>
          <w:sz w:val="32"/>
          <w:szCs w:val="32"/>
        </w:rPr>
      </w:pPr>
      <w:r>
        <w:rPr>
          <w:rFonts w:hint="eastAsia" w:ascii="黑体" w:hAnsi="宋体" w:eastAsia="黑体"/>
          <w:sz w:val="32"/>
          <w:szCs w:val="32"/>
        </w:rPr>
        <w:t>项目实施及管理情况</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仿宋" w:eastAsia="仿宋_GB2312"/>
          <w:sz w:val="32"/>
          <w:szCs w:val="32"/>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1.西区财政局根据预算项目批复，下达项目经费，预算单位进行项目实施计划。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2.对项目实施前，报业务分管领导同意，重大支出还需报单位主要领导同意或经过局党组会议议定通过后实施。</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3.项目实施主要经办人填写报销凭证，交会计审核单据合理合法性及数据填写规范准确性，报财务分管领导审批后交财务办理款项支付。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根据实际情况建立健全了各项财务管理制度和约束机制，项目预算、资金拨付等严格执行财务管理制度，保证专款专用。财务人员按照相关规定进行了资金的审核、支付、核算，财务处理及时、规范。</w:t>
      </w:r>
    </w:p>
    <w:p>
      <w:pPr>
        <w:adjustRightInd w:val="0"/>
        <w:snapToGrid w:val="0"/>
        <w:spacing w:line="600" w:lineRule="exact"/>
        <w:ind w:firstLine="630" w:firstLineChars="196"/>
        <w:rPr>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1.数量指标：已按进度完成2021年促进企业积极持续健康发展、项目包装、资金争取等工作。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2.质量指标：有效促进经济发展、有效推进重点项目建设进度。</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3.时效指标：按时完成。</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4.成本指标：支付4.53万元，支付项目经费的64.71%。</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项目完成情况每年都要向上级财政部门报送相关的绩效分析评价，并上报相关对口管理部门检查。</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全年预算数7万元，受疫情等多种因素的影响，执行数为4.53万元，完成预算的64.71%。通过项目实施，保障对商贸流通领域项目的包装、招商引资工作，跟踪项目建设情况，协调项目建设过程中存在的困难和问题，促进项目顺利实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cs="宋体"/>
          <w:kern w:val="0"/>
          <w:sz w:val="32"/>
          <w:szCs w:val="32"/>
          <w:shd w:val="clear" w:color="auto" w:fill="FFFFFF"/>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ind w:firstLine="640" w:firstLineChars="200"/>
        <w:rPr>
          <w:rFonts w:hAnsi="宋体" w:cs="宋体"/>
          <w:sz w:val="32"/>
          <w:szCs w:val="32"/>
          <w:shd w:val="clear" w:color="auto" w:fill="FFFFFF"/>
        </w:rPr>
      </w:pPr>
      <w:r>
        <w:rPr>
          <w:rFonts w:hint="eastAsia" w:hAnsi="宋体" w:cs="宋体"/>
          <w:sz w:val="32"/>
          <w:szCs w:val="32"/>
          <w:shd w:val="clear" w:color="auto" w:fill="FFFFFF"/>
        </w:rPr>
        <w:t>严格控制各项支出，提高经费使用效率，保障业务目标的顺利完成，达到指导和协调全区服务业发展的工作目标。</w:t>
      </w:r>
    </w:p>
    <w:p>
      <w:pPr>
        <w:pStyle w:val="2"/>
        <w:spacing w:before="93"/>
        <w:rPr>
          <w:lang w:val="zh-CN"/>
        </w:rPr>
      </w:pPr>
    </w:p>
    <w:tbl>
      <w:tblPr>
        <w:tblStyle w:val="13"/>
        <w:tblW w:w="9081" w:type="dxa"/>
        <w:tblInd w:w="99" w:type="dxa"/>
        <w:tblLayout w:type="fixed"/>
        <w:tblCellMar>
          <w:top w:w="0" w:type="dxa"/>
          <w:left w:w="108" w:type="dxa"/>
          <w:bottom w:w="0" w:type="dxa"/>
          <w:right w:w="108" w:type="dxa"/>
        </w:tblCellMar>
      </w:tblPr>
      <w:tblGrid>
        <w:gridCol w:w="860"/>
        <w:gridCol w:w="992"/>
        <w:gridCol w:w="1868"/>
        <w:gridCol w:w="117"/>
        <w:gridCol w:w="1842"/>
        <w:gridCol w:w="1701"/>
        <w:gridCol w:w="142"/>
        <w:gridCol w:w="1559"/>
      </w:tblGrid>
      <w:tr>
        <w:tblPrEx>
          <w:tblCellMar>
            <w:top w:w="0" w:type="dxa"/>
            <w:left w:w="108" w:type="dxa"/>
            <w:bottom w:w="0" w:type="dxa"/>
            <w:right w:w="108" w:type="dxa"/>
          </w:tblCellMar>
        </w:tblPrEx>
        <w:trPr>
          <w:trHeight w:val="420" w:hRule="atLeast"/>
        </w:trPr>
        <w:tc>
          <w:tcPr>
            <w:tcW w:w="9081" w:type="dxa"/>
            <w:gridSpan w:val="8"/>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项目绩效目标完成情况表</w:t>
            </w:r>
          </w:p>
        </w:tc>
      </w:tr>
      <w:tr>
        <w:tblPrEx>
          <w:tblCellMar>
            <w:top w:w="0" w:type="dxa"/>
            <w:left w:w="108" w:type="dxa"/>
            <w:bottom w:w="0" w:type="dxa"/>
            <w:right w:w="108" w:type="dxa"/>
          </w:tblCellMar>
        </w:tblPrEx>
        <w:trPr>
          <w:trHeight w:val="360" w:hRule="atLeast"/>
        </w:trPr>
        <w:tc>
          <w:tcPr>
            <w:tcW w:w="9081" w:type="dxa"/>
            <w:gridSpan w:val="8"/>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（2021年）</w:t>
            </w:r>
          </w:p>
        </w:tc>
      </w:tr>
      <w:tr>
        <w:tblPrEx>
          <w:tblCellMar>
            <w:top w:w="0" w:type="dxa"/>
            <w:left w:w="108" w:type="dxa"/>
            <w:bottom w:w="0" w:type="dxa"/>
            <w:right w:w="108" w:type="dxa"/>
          </w:tblCellMar>
        </w:tblPrEx>
        <w:trPr>
          <w:trHeight w:val="280" w:hRule="atLeast"/>
        </w:trPr>
        <w:tc>
          <w:tcPr>
            <w:tcW w:w="3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536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项目协调经费</w:t>
            </w:r>
          </w:p>
        </w:tc>
      </w:tr>
      <w:tr>
        <w:tblPrEx>
          <w:tblCellMar>
            <w:top w:w="0" w:type="dxa"/>
            <w:left w:w="108" w:type="dxa"/>
            <w:bottom w:w="0" w:type="dxa"/>
            <w:right w:w="108" w:type="dxa"/>
          </w:tblCellMar>
        </w:tblPrEx>
        <w:trPr>
          <w:trHeight w:val="280" w:hRule="atLeast"/>
        </w:trPr>
        <w:tc>
          <w:tcPr>
            <w:tcW w:w="3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预算单位</w:t>
            </w:r>
          </w:p>
        </w:tc>
        <w:tc>
          <w:tcPr>
            <w:tcW w:w="536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攀枝花市西区商务局</w:t>
            </w:r>
          </w:p>
        </w:tc>
      </w:tr>
      <w:tr>
        <w:tblPrEx>
          <w:tblCellMar>
            <w:top w:w="0" w:type="dxa"/>
            <w:left w:w="108" w:type="dxa"/>
            <w:bottom w:w="0" w:type="dxa"/>
            <w:right w:w="108" w:type="dxa"/>
          </w:tblCellMar>
        </w:tblPrEx>
        <w:trPr>
          <w:trHeight w:val="280"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预算执行情况</w:t>
            </w:r>
            <w:r>
              <w:rPr>
                <w:color w:val="000000"/>
                <w:kern w:val="0"/>
                <w:sz w:val="20"/>
                <w:szCs w:val="20"/>
              </w:rPr>
              <w:t>(</w:t>
            </w:r>
            <w:r>
              <w:rPr>
                <w:rFonts w:hint="eastAsia" w:ascii="宋体" w:hAnsi="宋体" w:cs="宋体"/>
                <w:color w:val="000000"/>
                <w:kern w:val="0"/>
                <w:sz w:val="20"/>
                <w:szCs w:val="20"/>
              </w:rPr>
              <w:t>万元</w:t>
            </w:r>
            <w:r>
              <w:rPr>
                <w:color w:val="000000"/>
                <w:kern w:val="0"/>
                <w:sz w:val="20"/>
                <w:szCs w:val="20"/>
              </w:rPr>
              <w:t>)</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r>
              <w:rPr>
                <w:color w:val="000000"/>
                <w:kern w:val="0"/>
                <w:sz w:val="20"/>
                <w:szCs w:val="20"/>
              </w:rPr>
              <w:t>:</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执行数</w:t>
            </w:r>
            <w:r>
              <w:rPr>
                <w:color w:val="000000"/>
                <w:kern w:val="0"/>
                <w:sz w:val="20"/>
                <w:szCs w:val="20"/>
              </w:rPr>
              <w:t>:</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4.53</w:t>
            </w:r>
          </w:p>
        </w:tc>
      </w:tr>
      <w:tr>
        <w:tblPrEx>
          <w:tblCellMar>
            <w:top w:w="0" w:type="dxa"/>
            <w:left w:w="108" w:type="dxa"/>
            <w:bottom w:w="0" w:type="dxa"/>
            <w:right w:w="108" w:type="dxa"/>
          </w:tblCellMar>
        </w:tblPrEx>
        <w:trPr>
          <w:trHeight w:val="2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w:t>
            </w:r>
            <w:r>
              <w:rPr>
                <w:color w:val="000000"/>
                <w:kern w:val="0"/>
                <w:sz w:val="20"/>
                <w:szCs w:val="20"/>
              </w:rPr>
              <w:t>-</w:t>
            </w:r>
            <w:r>
              <w:rPr>
                <w:rFonts w:hint="eastAsia" w:ascii="宋体" w:hAnsi="宋体" w:cs="宋体"/>
                <w:color w:val="000000"/>
                <w:kern w:val="0"/>
                <w:sz w:val="20"/>
                <w:szCs w:val="20"/>
              </w:rPr>
              <w:t>财政拨款</w:t>
            </w:r>
            <w:r>
              <w:rPr>
                <w:color w:val="000000"/>
                <w:kern w:val="0"/>
                <w:sz w:val="20"/>
                <w:szCs w:val="20"/>
              </w:rPr>
              <w:t>:</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w:t>
            </w:r>
            <w:r>
              <w:rPr>
                <w:color w:val="000000"/>
                <w:kern w:val="0"/>
                <w:sz w:val="20"/>
                <w:szCs w:val="20"/>
              </w:rPr>
              <w:t>-</w:t>
            </w:r>
            <w:r>
              <w:rPr>
                <w:rFonts w:hint="eastAsia" w:ascii="宋体" w:hAnsi="宋体" w:cs="宋体"/>
                <w:color w:val="000000"/>
                <w:kern w:val="0"/>
                <w:sz w:val="20"/>
                <w:szCs w:val="20"/>
              </w:rPr>
              <w:t>财政拨款</w:t>
            </w:r>
            <w:r>
              <w:rPr>
                <w:color w:val="000000"/>
                <w:kern w:val="0"/>
                <w:sz w:val="20"/>
                <w:szCs w:val="20"/>
              </w:rPr>
              <w:t>:</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4.53</w:t>
            </w:r>
          </w:p>
        </w:tc>
      </w:tr>
      <w:tr>
        <w:tblPrEx>
          <w:tblCellMar>
            <w:top w:w="0" w:type="dxa"/>
            <w:left w:w="108" w:type="dxa"/>
            <w:bottom w:w="0" w:type="dxa"/>
            <w:right w:w="108" w:type="dxa"/>
          </w:tblCellMar>
        </w:tblPrEx>
        <w:trPr>
          <w:trHeight w:val="277"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其它资金</w:t>
            </w:r>
            <w:r>
              <w:rPr>
                <w:color w:val="000000"/>
                <w:kern w:val="0"/>
                <w:sz w:val="20"/>
                <w:szCs w:val="20"/>
              </w:rPr>
              <w:t>:</w:t>
            </w:r>
          </w:p>
        </w:tc>
        <w:tc>
          <w:tcPr>
            <w:tcW w:w="1959" w:type="dxa"/>
            <w:gridSpan w:val="2"/>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其它资金</w:t>
            </w:r>
            <w:r>
              <w:rPr>
                <w:color w:val="000000"/>
                <w:kern w:val="0"/>
                <w:sz w:val="20"/>
                <w:szCs w:val="20"/>
              </w:rPr>
              <w:t>:</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0</w:t>
            </w:r>
          </w:p>
        </w:tc>
      </w:tr>
      <w:tr>
        <w:tblPrEx>
          <w:tblCellMar>
            <w:top w:w="0" w:type="dxa"/>
            <w:left w:w="108" w:type="dxa"/>
            <w:bottom w:w="0" w:type="dxa"/>
            <w:right w:w="108" w:type="dxa"/>
          </w:tblCellMar>
        </w:tblPrEx>
        <w:trPr>
          <w:trHeight w:val="315"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年度目标完成情况</w:t>
            </w:r>
          </w:p>
        </w:tc>
        <w:tc>
          <w:tcPr>
            <w:tcW w:w="48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预期目标</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实际完成目标</w:t>
            </w:r>
          </w:p>
        </w:tc>
      </w:tr>
      <w:tr>
        <w:tblPrEx>
          <w:tblCellMar>
            <w:top w:w="0" w:type="dxa"/>
            <w:left w:w="108" w:type="dxa"/>
            <w:bottom w:w="0" w:type="dxa"/>
            <w:right w:w="108" w:type="dxa"/>
          </w:tblCellMar>
        </w:tblPrEx>
        <w:trPr>
          <w:trHeight w:val="160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819"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西区商务局承担指导和协调全区服务业发展的职责。2021年将牵头推动攀枝花达海现代物流园、电子商务进农村综合示范点等项目建设，以及维护现有的56户限上商贸服务业企业跟踪项目建设情况，协调项目建设过程中存在的困难和问题，促进项目顺利实施。促进企业积极持续健康发展、项目包装、资金争取等工作。</w:t>
            </w:r>
          </w:p>
        </w:tc>
        <w:tc>
          <w:tcPr>
            <w:tcW w:w="340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完成64.71%</w:t>
            </w:r>
          </w:p>
        </w:tc>
      </w:tr>
      <w:tr>
        <w:tblPrEx>
          <w:tblCellMar>
            <w:top w:w="0" w:type="dxa"/>
            <w:left w:w="108" w:type="dxa"/>
            <w:bottom w:w="0" w:type="dxa"/>
            <w:right w:w="108" w:type="dxa"/>
          </w:tblCellMar>
        </w:tblPrEx>
        <w:trPr>
          <w:trHeight w:val="540"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绩效指标完成情况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预期指标值</w:t>
            </w:r>
            <w:r>
              <w:rPr>
                <w:color w:val="000000"/>
                <w:kern w:val="0"/>
                <w:sz w:val="16"/>
                <w:szCs w:val="16"/>
              </w:rPr>
              <w:t>(</w:t>
            </w:r>
            <w:r>
              <w:rPr>
                <w:rFonts w:hint="eastAsia" w:ascii="宋体" w:hAnsi="宋体" w:cs="宋体"/>
                <w:color w:val="000000"/>
                <w:kern w:val="0"/>
                <w:sz w:val="16"/>
                <w:szCs w:val="16"/>
              </w:rPr>
              <w:t>包含数字及文字描述</w:t>
            </w:r>
            <w:r>
              <w:rPr>
                <w:color w:val="000000"/>
                <w:kern w:val="0"/>
                <w:sz w:val="16"/>
                <w:szCs w:val="16"/>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实际完成指标值</w:t>
            </w:r>
            <w:r>
              <w:rPr>
                <w:color w:val="000000"/>
                <w:kern w:val="0"/>
                <w:sz w:val="16"/>
                <w:szCs w:val="16"/>
              </w:rPr>
              <w:t>(</w:t>
            </w:r>
            <w:r>
              <w:rPr>
                <w:rFonts w:hint="eastAsia" w:ascii="宋体" w:hAnsi="宋体" w:cs="宋体"/>
                <w:color w:val="000000"/>
                <w:kern w:val="0"/>
                <w:sz w:val="16"/>
                <w:szCs w:val="16"/>
              </w:rPr>
              <w:t>包含数字及文字描述</w:t>
            </w:r>
            <w:r>
              <w:rPr>
                <w:color w:val="000000"/>
                <w:kern w:val="0"/>
                <w:sz w:val="16"/>
                <w:szCs w:val="16"/>
              </w:rPr>
              <w:t>)</w:t>
            </w:r>
          </w:p>
        </w:tc>
      </w:tr>
      <w:tr>
        <w:tblPrEx>
          <w:tblCellMar>
            <w:top w:w="0" w:type="dxa"/>
            <w:left w:w="108" w:type="dxa"/>
            <w:bottom w:w="0" w:type="dxa"/>
            <w:right w:w="108" w:type="dxa"/>
          </w:tblCellMar>
        </w:tblPrEx>
        <w:trPr>
          <w:trHeight w:val="4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项目完成指标</w:t>
            </w:r>
          </w:p>
        </w:tc>
        <w:tc>
          <w:tcPr>
            <w:tcW w:w="19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规模以上服务业企业</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17户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17户</w:t>
            </w:r>
          </w:p>
        </w:tc>
      </w:tr>
      <w:tr>
        <w:tblPrEx>
          <w:tblCellMar>
            <w:top w:w="0" w:type="dxa"/>
            <w:left w:w="108" w:type="dxa"/>
            <w:bottom w:w="0" w:type="dxa"/>
            <w:right w:w="108" w:type="dxa"/>
          </w:tblCellMar>
        </w:tblPrEx>
        <w:trPr>
          <w:trHeight w:val="2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限上商贸企业</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30户</w:t>
            </w:r>
          </w:p>
        </w:tc>
      </w:tr>
      <w:tr>
        <w:tblPrEx>
          <w:tblCellMar>
            <w:top w:w="0" w:type="dxa"/>
            <w:left w:w="108" w:type="dxa"/>
            <w:bottom w:w="0" w:type="dxa"/>
            <w:right w:w="108" w:type="dxa"/>
          </w:tblCellMar>
        </w:tblPrEx>
        <w:trPr>
          <w:trHeight w:val="2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项目包装</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3个</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3个</w:t>
            </w:r>
          </w:p>
        </w:tc>
      </w:tr>
      <w:tr>
        <w:tblPrEx>
          <w:tblCellMar>
            <w:top w:w="0" w:type="dxa"/>
            <w:left w:w="108" w:type="dxa"/>
            <w:bottom w:w="0" w:type="dxa"/>
            <w:right w:w="108" w:type="dxa"/>
          </w:tblCellMar>
        </w:tblPrEx>
        <w:trPr>
          <w:trHeight w:val="4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牵头重点招商引资项目</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5个</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5个</w:t>
            </w:r>
          </w:p>
        </w:tc>
      </w:tr>
      <w:tr>
        <w:tblPrEx>
          <w:tblCellMar>
            <w:top w:w="0" w:type="dxa"/>
            <w:left w:w="108" w:type="dxa"/>
            <w:bottom w:w="0" w:type="dxa"/>
            <w:right w:w="108" w:type="dxa"/>
          </w:tblCellMar>
        </w:tblPrEx>
        <w:trPr>
          <w:trHeight w:val="2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规模以上批发业</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17户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17户</w:t>
            </w:r>
          </w:p>
        </w:tc>
      </w:tr>
      <w:tr>
        <w:tblPrEx>
          <w:tblCellMar>
            <w:top w:w="0" w:type="dxa"/>
            <w:left w:w="108" w:type="dxa"/>
            <w:bottom w:w="0" w:type="dxa"/>
            <w:right w:w="108" w:type="dxa"/>
          </w:tblCellMar>
        </w:tblPrEx>
        <w:trPr>
          <w:trHeight w:val="53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项目完成指标</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color w:val="000000"/>
                <w:kern w:val="0"/>
                <w:sz w:val="20"/>
                <w:szCs w:val="20"/>
              </w:rPr>
              <w:t>1</w:t>
            </w:r>
            <w:r>
              <w:rPr>
                <w:rFonts w:hint="eastAsia" w:ascii="宋体" w:hAnsi="宋体" w:cs="宋体"/>
                <w:color w:val="000000"/>
                <w:kern w:val="0"/>
                <w:sz w:val="20"/>
                <w:szCs w:val="20"/>
              </w:rPr>
              <w:t>：协调推进项目进展</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有效促进经济发展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推动企业更好发展</w:t>
            </w:r>
          </w:p>
        </w:tc>
      </w:tr>
      <w:tr>
        <w:tblPrEx>
          <w:tblCellMar>
            <w:top w:w="0" w:type="dxa"/>
            <w:left w:w="108" w:type="dxa"/>
            <w:bottom w:w="0" w:type="dxa"/>
            <w:right w:w="108" w:type="dxa"/>
          </w:tblCellMar>
        </w:tblPrEx>
        <w:trPr>
          <w:trHeight w:val="53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项目完成指标</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color w:val="000000"/>
                <w:kern w:val="0"/>
                <w:sz w:val="20"/>
                <w:szCs w:val="20"/>
              </w:rPr>
              <w:t>1</w:t>
            </w:r>
            <w:r>
              <w:rPr>
                <w:rFonts w:hint="eastAsia" w:ascii="宋体" w:hAnsi="宋体" w:cs="宋体"/>
                <w:color w:val="000000"/>
                <w:kern w:val="0"/>
                <w:sz w:val="20"/>
                <w:szCs w:val="20"/>
              </w:rPr>
              <w:t>：按工作计划推进</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有效推进重点项目建设进度。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推动全年工作开展。</w:t>
            </w:r>
          </w:p>
        </w:tc>
      </w:tr>
      <w:tr>
        <w:tblPrEx>
          <w:tblCellMar>
            <w:top w:w="0" w:type="dxa"/>
            <w:left w:w="108" w:type="dxa"/>
            <w:bottom w:w="0" w:type="dxa"/>
            <w:right w:w="108" w:type="dxa"/>
          </w:tblCellMar>
        </w:tblPrEx>
        <w:trPr>
          <w:trHeight w:val="2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项目完成指标</w:t>
            </w:r>
          </w:p>
        </w:tc>
        <w:tc>
          <w:tcPr>
            <w:tcW w:w="19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项目协调办公费</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2万元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1.6万元</w:t>
            </w:r>
          </w:p>
        </w:tc>
      </w:tr>
      <w:tr>
        <w:tblPrEx>
          <w:tblCellMar>
            <w:top w:w="0" w:type="dxa"/>
            <w:left w:w="108" w:type="dxa"/>
            <w:bottom w:w="0" w:type="dxa"/>
            <w:right w:w="108" w:type="dxa"/>
          </w:tblCellMar>
        </w:tblPrEx>
        <w:trPr>
          <w:trHeight w:val="2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项目包装</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2万元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0万元</w:t>
            </w:r>
          </w:p>
        </w:tc>
      </w:tr>
      <w:tr>
        <w:tblPrEx>
          <w:tblCellMar>
            <w:top w:w="0" w:type="dxa"/>
            <w:left w:w="108" w:type="dxa"/>
            <w:bottom w:w="0" w:type="dxa"/>
            <w:right w:w="108" w:type="dxa"/>
          </w:tblCellMar>
        </w:tblPrEx>
        <w:trPr>
          <w:trHeight w:val="561"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外出引进、对接项目差旅费</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4人/次*0.5万元/次=2万元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2万元</w:t>
            </w:r>
          </w:p>
        </w:tc>
      </w:tr>
      <w:tr>
        <w:tblPrEx>
          <w:tblCellMar>
            <w:top w:w="0" w:type="dxa"/>
            <w:left w:w="108" w:type="dxa"/>
            <w:bottom w:w="0" w:type="dxa"/>
            <w:right w:w="108" w:type="dxa"/>
          </w:tblCellMar>
        </w:tblPrEx>
        <w:trPr>
          <w:trHeight w:val="2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印刷费</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1万元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0.9万元</w:t>
            </w:r>
          </w:p>
        </w:tc>
      </w:tr>
      <w:tr>
        <w:tblPrEx>
          <w:tblCellMar>
            <w:top w:w="0" w:type="dxa"/>
            <w:left w:w="108" w:type="dxa"/>
            <w:bottom w:w="0" w:type="dxa"/>
            <w:right w:w="108" w:type="dxa"/>
          </w:tblCellMar>
        </w:tblPrEx>
        <w:trPr>
          <w:trHeight w:val="75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9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指标</w:t>
            </w:r>
            <w:r>
              <w:rPr>
                <w:color w:val="000000"/>
                <w:kern w:val="0"/>
                <w:sz w:val="16"/>
                <w:szCs w:val="16"/>
              </w:rPr>
              <w:t>1</w:t>
            </w:r>
            <w:r>
              <w:rPr>
                <w:rFonts w:hint="eastAsia" w:ascii="宋体" w:hAnsi="宋体" w:cs="宋体"/>
                <w:color w:val="000000"/>
                <w:kern w:val="0"/>
                <w:sz w:val="16"/>
                <w:szCs w:val="16"/>
              </w:rPr>
              <w:t>：完成市政府下达的各项经济指标</w:t>
            </w: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推进辖区第三产业经济发展</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完成市级目标任务</w:t>
            </w:r>
          </w:p>
        </w:tc>
      </w:tr>
      <w:tr>
        <w:tblPrEx>
          <w:tblCellMar>
            <w:top w:w="0" w:type="dxa"/>
            <w:left w:w="108" w:type="dxa"/>
            <w:bottom w:w="0" w:type="dxa"/>
            <w:right w:w="108" w:type="dxa"/>
          </w:tblCellMar>
        </w:tblPrEx>
        <w:trPr>
          <w:trHeight w:val="312"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63"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98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指标</w:t>
            </w:r>
            <w:r>
              <w:rPr>
                <w:color w:val="000000"/>
                <w:kern w:val="0"/>
                <w:sz w:val="18"/>
                <w:szCs w:val="18"/>
              </w:rPr>
              <w:t>1</w:t>
            </w:r>
            <w:r>
              <w:rPr>
                <w:rFonts w:hint="eastAsia" w:ascii="宋体" w:hAnsi="宋体" w:cs="宋体"/>
                <w:color w:val="000000"/>
                <w:kern w:val="0"/>
                <w:sz w:val="18"/>
                <w:szCs w:val="18"/>
              </w:rPr>
              <w:t>：引领服务业产业规范、持续发展</w:t>
            </w:r>
          </w:p>
        </w:tc>
        <w:tc>
          <w:tcPr>
            <w:tcW w:w="184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提高西区服务业行业就业率和收入水平</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推进西区服务业行业良好发展</w:t>
            </w:r>
          </w:p>
        </w:tc>
      </w:tr>
      <w:tr>
        <w:tblPrEx>
          <w:tblCellMar>
            <w:top w:w="0" w:type="dxa"/>
            <w:left w:w="108" w:type="dxa"/>
            <w:bottom w:w="0" w:type="dxa"/>
            <w:right w:w="108" w:type="dxa"/>
          </w:tblCellMar>
        </w:tblPrEx>
        <w:trPr>
          <w:trHeight w:val="312"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8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3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color w:val="000000"/>
                <w:kern w:val="0"/>
                <w:sz w:val="20"/>
                <w:szCs w:val="20"/>
              </w:rPr>
              <w:t>1</w:t>
            </w:r>
            <w:r>
              <w:rPr>
                <w:rFonts w:hint="eastAsia" w:ascii="宋体" w:hAnsi="宋体" w:cs="宋体"/>
                <w:color w:val="000000"/>
                <w:kern w:val="0"/>
                <w:sz w:val="20"/>
                <w:szCs w:val="20"/>
              </w:rPr>
              <w:t>：企业满意度</w:t>
            </w:r>
          </w:p>
        </w:tc>
        <w:tc>
          <w:tcPr>
            <w:tcW w:w="184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抽样调查达到基本满意以上</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w:t>
            </w:r>
          </w:p>
        </w:tc>
      </w:tr>
    </w:tbl>
    <w:p>
      <w:pPr>
        <w:pStyle w:val="2"/>
        <w:spacing w:before="93"/>
        <w:rPr>
          <w:lang w:val="zh-CN"/>
        </w:rPr>
      </w:pPr>
      <w:r>
        <w:rPr>
          <w:rFonts w:hint="eastAsia"/>
          <w:lang w:val="zh-CN"/>
        </w:rPr>
        <w:t>附表：</w:t>
      </w:r>
    </w:p>
    <w:tbl>
      <w:tblPr>
        <w:tblStyle w:val="13"/>
        <w:tblW w:w="9811" w:type="dxa"/>
        <w:jc w:val="center"/>
        <w:tblLayout w:type="fixed"/>
        <w:tblCellMar>
          <w:top w:w="0" w:type="dxa"/>
          <w:left w:w="108" w:type="dxa"/>
          <w:bottom w:w="0" w:type="dxa"/>
          <w:right w:w="108" w:type="dxa"/>
        </w:tblCellMar>
      </w:tblPr>
      <w:tblGrid>
        <w:gridCol w:w="1976"/>
        <w:gridCol w:w="1142"/>
        <w:gridCol w:w="1635"/>
        <w:gridCol w:w="1954"/>
        <w:gridCol w:w="1417"/>
        <w:gridCol w:w="1451"/>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攀枝花市西区商务局135001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攀枝花市西区商务局</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480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148</w:t>
            </w: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480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148</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731"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组织西区企业积极进行申报项目，以项目建设促进西区的发展。</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完成</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拨付企业2019年商贸流通转型升级示范县项目补助资金。</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7家</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4家</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企业按照申报文件内容开展项目建设工作</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项目建设内容和申报要求相一致</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完成</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按时完成项目建设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2021年全年</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共有4家企业完成所有项目的建设</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指标1：攀枝花市金泓鑫康养有限公司金丝皇菊销售体系建设项目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补助20万元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20万元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指标2：攀枝花市沃圃生农业开发有限公司康养苏铁谷智慧农业产业园配套仓储物流设施建设项目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补助70万元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70万元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指标3：攀枝花市农易达青年创业农业开发有限公司格里里坪农产品仓储物流配送中心项目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补助50万元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50万元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指标4：攀枝花煤业（集团）有限责任公司生活服务分公司西区农贸市场改造（陶家渡农贸市场升级改造）项目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补助38万元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8万元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指标5：攀枝花市艺韵苗木花卉销售市场项目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补助200万元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0万元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指标6：攀枝花市欣欣市场管理有限责任公司西区农贸市场改造提升项目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补助7.5万元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0万元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指标7：攀钢集团生活服务有限公司农贸市场改造西区农贸市场改造提升项目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补助34.5万元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0万元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指标1：完成市政府下达的各项经济指标。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推进辖区第三产业经济发展</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0"/>
                <w:szCs w:val="20"/>
              </w:rPr>
            </w:pPr>
            <w:r>
              <w:rPr>
                <w:rFonts w:hint="eastAsia"/>
                <w:color w:val="000000" w:themeColor="text1"/>
                <w:sz w:val="20"/>
                <w:szCs w:val="20"/>
              </w:rPr>
              <w:t>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指标1：引领服务业产业规范、持续发展。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提高西区服务业行业就业率和收入水平</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0"/>
                <w:szCs w:val="20"/>
              </w:rPr>
            </w:pPr>
            <w:r>
              <w:rPr>
                <w:rFonts w:hint="eastAsia"/>
                <w:color w:val="000000" w:themeColor="text1"/>
                <w:sz w:val="20"/>
                <w:szCs w:val="20"/>
              </w:rPr>
              <w:t>完成</w:t>
            </w:r>
          </w:p>
        </w:tc>
      </w:tr>
      <w:tr>
        <w:tblPrEx>
          <w:tblCellMar>
            <w:top w:w="0" w:type="dxa"/>
            <w:left w:w="108" w:type="dxa"/>
            <w:bottom w:w="0" w:type="dxa"/>
            <w:right w:w="108" w:type="dxa"/>
          </w:tblCellMar>
        </w:tblPrEx>
        <w:trPr>
          <w:gridAfter w:val="1"/>
          <w:wAfter w:w="236" w:type="dxa"/>
          <w:trHeight w:val="577"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18"/>
                <w:szCs w:val="18"/>
              </w:rPr>
            </w:pPr>
            <w:r>
              <w:rPr>
                <w:rFonts w:hint="eastAsia"/>
                <w:color w:val="000000" w:themeColor="text1"/>
                <w:sz w:val="18"/>
                <w:szCs w:val="18"/>
              </w:rPr>
              <w:t>　</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　</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指标1：项目建设促进西区的发展。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　项目建设促进西区的发展，优化居民生活环境。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18"/>
                <w:szCs w:val="18"/>
              </w:rPr>
            </w:pPr>
            <w:r>
              <w:rPr>
                <w:rFonts w:hint="eastAsia"/>
                <w:color w:val="000000" w:themeColor="text1"/>
                <w:sz w:val="18"/>
                <w:szCs w:val="18"/>
              </w:rPr>
              <w:t>　完成</w:t>
            </w:r>
          </w:p>
        </w:tc>
      </w:tr>
      <w:tr>
        <w:tblPrEx>
          <w:tblCellMar>
            <w:top w:w="0" w:type="dxa"/>
            <w:left w:w="108" w:type="dxa"/>
            <w:bottom w:w="0" w:type="dxa"/>
            <w:right w:w="108" w:type="dxa"/>
          </w:tblCellMar>
        </w:tblPrEx>
        <w:trPr>
          <w:gridAfter w:val="1"/>
          <w:wAfter w:w="236" w:type="dxa"/>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：企业满意度</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r>
              <w:rPr>
                <w:rFonts w:hint="eastAsia"/>
                <w:color w:val="000000"/>
                <w:sz w:val="18"/>
                <w:szCs w:val="18"/>
              </w:rPr>
              <w:t>抽样调查达到基本满意以上</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color w:val="000000"/>
                <w:sz w:val="18"/>
                <w:szCs w:val="18"/>
              </w:rPr>
              <w:t>满意</w:t>
            </w:r>
          </w:p>
        </w:tc>
      </w:tr>
    </w:tbl>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pPr>
      <w:r>
        <w:rPr>
          <w:rFonts w:hint="eastAsia" w:ascii="仿宋_GB2312" w:hAnsi="宋体" w:eastAsia="仿宋_GB2312" w:cs="宋体"/>
          <w:kern w:val="0"/>
          <w:sz w:val="32"/>
          <w:szCs w:val="32"/>
          <w:shd w:val="clear" w:color="auto" w:fill="FFFFFF"/>
        </w:rPr>
        <w:t>（注：有两个及以上100万元以上（含）特定目标类部门预算项目的，需分别开展绩效目标自评并填写附表）</w:t>
      </w:r>
    </w:p>
    <w:p>
      <w:pPr>
        <w:spacing w:line="580" w:lineRule="exact"/>
        <w:rPr>
          <w:rStyle w:val="25"/>
          <w:rFonts w:ascii="黑体" w:hAnsi="黑体" w:eastAsia="黑体"/>
          <w:b w:val="0"/>
        </w:rPr>
      </w:pPr>
    </w:p>
    <w:p>
      <w:pPr>
        <w:widowControl/>
        <w:jc w:val="left"/>
        <w:rPr>
          <w:rFonts w:ascii="黑体" w:hAnsi="黑体" w:eastAsia="黑体"/>
          <w:bCs/>
          <w:kern w:val="44"/>
          <w:sz w:val="44"/>
          <w:szCs w:val="44"/>
        </w:rPr>
      </w:pPr>
      <w:r>
        <w:rPr>
          <w:rStyle w:val="25"/>
          <w:rFonts w:ascii="黑体" w:hAnsi="黑体" w:eastAsia="黑体"/>
        </w:rPr>
        <w:br w:type="page"/>
      </w:r>
    </w:p>
    <w:p>
      <w:pPr>
        <w:spacing w:line="600" w:lineRule="exact"/>
        <w:jc w:val="center"/>
        <w:outlineLvl w:val="0"/>
        <w:rPr>
          <w:rFonts w:ascii="仿宋" w:hAnsi="仿宋" w:eastAsia="仿宋"/>
        </w:rPr>
      </w:pPr>
      <w:bookmarkStart w:id="63" w:name="_Toc15396618"/>
      <w:r>
        <w:rPr>
          <w:rFonts w:hint="eastAsia" w:ascii="黑体" w:hAnsi="黑体" w:eastAsia="黑体"/>
          <w:sz w:val="44"/>
          <w:szCs w:val="44"/>
        </w:rPr>
        <w:t>第</w:t>
      </w:r>
      <w:r>
        <w:rPr>
          <w:rStyle w:val="25"/>
          <w:rFonts w:hint="eastAsia" w:ascii="黑体" w:hAnsi="黑体" w:eastAsia="黑体"/>
          <w:b w:val="0"/>
        </w:rPr>
        <w:t>五部分附表</w:t>
      </w:r>
      <w:bookmarkEnd w:id="61"/>
      <w:bookmarkEnd w:id="63"/>
      <w:bookmarkStart w:id="6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64"/>
    </w:p>
    <w:p>
      <w:pPr>
        <w:pStyle w:val="4"/>
        <w:rPr>
          <w:rFonts w:ascii="仿宋" w:hAnsi="仿宋" w:eastAsia="仿宋"/>
        </w:rPr>
      </w:pPr>
      <w:bookmarkStart w:id="65" w:name="_Toc15396620"/>
      <w:r>
        <w:rPr>
          <w:rFonts w:hint="eastAsia" w:ascii="仿宋" w:hAnsi="仿宋" w:eastAsia="仿宋"/>
          <w:b w:val="0"/>
        </w:rPr>
        <w:t>二、收</w:t>
      </w:r>
      <w:r>
        <w:rPr>
          <w:rStyle w:val="26"/>
          <w:rFonts w:hint="eastAsia" w:ascii="仿宋" w:hAnsi="仿宋" w:eastAsia="仿宋"/>
          <w:b w:val="0"/>
          <w:bCs w:val="0"/>
        </w:rPr>
        <w:t>入决算表</w:t>
      </w:r>
      <w:bookmarkEnd w:id="65"/>
    </w:p>
    <w:p>
      <w:pPr>
        <w:pStyle w:val="4"/>
        <w:rPr>
          <w:rFonts w:ascii="仿宋" w:hAnsi="仿宋" w:eastAsia="仿宋"/>
        </w:rPr>
      </w:pPr>
      <w:bookmarkStart w:id="6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6"/>
    </w:p>
    <w:p>
      <w:pPr>
        <w:pStyle w:val="4"/>
        <w:rPr>
          <w:rFonts w:ascii="仿宋" w:hAnsi="仿宋" w:eastAsia="仿宋"/>
          <w:b w:val="0"/>
        </w:rPr>
      </w:pPr>
      <w:bookmarkStart w:id="6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7"/>
    </w:p>
    <w:p>
      <w:pPr>
        <w:pStyle w:val="4"/>
        <w:rPr>
          <w:rStyle w:val="26"/>
          <w:rFonts w:ascii="仿宋" w:hAnsi="仿宋" w:eastAsia="仿宋"/>
          <w:b w:val="0"/>
          <w:bCs w:val="0"/>
        </w:rPr>
      </w:pPr>
      <w:bookmarkStart w:id="6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8"/>
      <w:bookmarkStart w:id="6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9"/>
    </w:p>
    <w:p>
      <w:pPr>
        <w:pStyle w:val="4"/>
        <w:rPr>
          <w:rFonts w:ascii="仿宋" w:hAnsi="仿宋" w:eastAsia="仿宋"/>
        </w:rPr>
      </w:pPr>
      <w:bookmarkStart w:id="7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70"/>
    </w:p>
    <w:p>
      <w:pPr>
        <w:pStyle w:val="4"/>
        <w:rPr>
          <w:rFonts w:ascii="仿宋" w:hAnsi="仿宋" w:eastAsia="仿宋"/>
        </w:rPr>
      </w:pPr>
      <w:bookmarkStart w:id="7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71"/>
    </w:p>
    <w:p>
      <w:pPr>
        <w:pStyle w:val="4"/>
        <w:rPr>
          <w:rFonts w:ascii="仿宋" w:hAnsi="仿宋" w:eastAsia="仿宋"/>
        </w:rPr>
      </w:pPr>
      <w:bookmarkStart w:id="7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2"/>
    </w:p>
    <w:p>
      <w:pPr>
        <w:pStyle w:val="4"/>
        <w:rPr>
          <w:rFonts w:ascii="仿宋" w:hAnsi="仿宋" w:eastAsia="仿宋"/>
        </w:rPr>
      </w:pPr>
      <w:bookmarkStart w:id="7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3"/>
    </w:p>
    <w:p>
      <w:pPr>
        <w:pStyle w:val="4"/>
        <w:rPr>
          <w:rFonts w:ascii="仿宋" w:hAnsi="仿宋" w:eastAsia="仿宋"/>
        </w:rPr>
      </w:pPr>
      <w:bookmarkStart w:id="7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4"/>
    </w:p>
    <w:p>
      <w:pPr>
        <w:pStyle w:val="4"/>
        <w:rPr>
          <w:rFonts w:ascii="仿宋" w:hAnsi="仿宋" w:eastAsia="仿宋"/>
        </w:rPr>
      </w:pPr>
      <w:bookmarkStart w:id="7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5"/>
    </w:p>
    <w:p>
      <w:pPr>
        <w:pStyle w:val="4"/>
        <w:rPr>
          <w:rStyle w:val="26"/>
          <w:rFonts w:ascii="仿宋" w:hAnsi="仿宋" w:eastAsia="仿宋"/>
          <w:b w:val="0"/>
          <w:bCs w:val="0"/>
        </w:rPr>
      </w:pPr>
      <w:bookmarkStart w:id="7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6"/>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5FE23FF"/>
    <w:multiLevelType w:val="multilevel"/>
    <w:tmpl w:val="05FE23FF"/>
    <w:lvl w:ilvl="0" w:tentative="0">
      <w:start w:val="1"/>
      <w:numFmt w:val="none"/>
      <w:lvlText w:val="一、"/>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6D96525"/>
    <w:multiLevelType w:val="multilevel"/>
    <w:tmpl w:val="06D96525"/>
    <w:lvl w:ilvl="0" w:tentative="0">
      <w:start w:val="2"/>
      <w:numFmt w:val="japaneseCounting"/>
      <w:lvlText w:val="%1、"/>
      <w:lvlJc w:val="left"/>
      <w:pPr>
        <w:ind w:left="720" w:hanging="720"/>
      </w:pPr>
      <w:rPr>
        <w:rFonts w:hint="default" w:asci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EA6ED5"/>
    <w:multiLevelType w:val="multilevel"/>
    <w:tmpl w:val="0DEA6ED5"/>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4665"/>
    <w:rsid w:val="00005973"/>
    <w:rsid w:val="0000737B"/>
    <w:rsid w:val="000079DE"/>
    <w:rsid w:val="00013A55"/>
    <w:rsid w:val="000222C6"/>
    <w:rsid w:val="0002549F"/>
    <w:rsid w:val="0002560F"/>
    <w:rsid w:val="00025782"/>
    <w:rsid w:val="00026445"/>
    <w:rsid w:val="00030E30"/>
    <w:rsid w:val="000437E1"/>
    <w:rsid w:val="000468DB"/>
    <w:rsid w:val="00050160"/>
    <w:rsid w:val="00054261"/>
    <w:rsid w:val="00055408"/>
    <w:rsid w:val="000558AB"/>
    <w:rsid w:val="0006487A"/>
    <w:rsid w:val="00065CE0"/>
    <w:rsid w:val="00065F8F"/>
    <w:rsid w:val="00070950"/>
    <w:rsid w:val="00070A43"/>
    <w:rsid w:val="00072A47"/>
    <w:rsid w:val="000768F2"/>
    <w:rsid w:val="000901DD"/>
    <w:rsid w:val="0009065F"/>
    <w:rsid w:val="0009184B"/>
    <w:rsid w:val="00094236"/>
    <w:rsid w:val="0009593C"/>
    <w:rsid w:val="00097247"/>
    <w:rsid w:val="00097322"/>
    <w:rsid w:val="000A4A6A"/>
    <w:rsid w:val="000A6A92"/>
    <w:rsid w:val="000B047F"/>
    <w:rsid w:val="000B3220"/>
    <w:rsid w:val="000B5923"/>
    <w:rsid w:val="000B5A48"/>
    <w:rsid w:val="000B6FF3"/>
    <w:rsid w:val="000C2627"/>
    <w:rsid w:val="000C3467"/>
    <w:rsid w:val="000C3CA6"/>
    <w:rsid w:val="000D081E"/>
    <w:rsid w:val="000D1267"/>
    <w:rsid w:val="000D1D50"/>
    <w:rsid w:val="000D3E34"/>
    <w:rsid w:val="000D4F83"/>
    <w:rsid w:val="000D5782"/>
    <w:rsid w:val="000E0D64"/>
    <w:rsid w:val="000E6037"/>
    <w:rsid w:val="000E6613"/>
    <w:rsid w:val="000E6CDE"/>
    <w:rsid w:val="000E7119"/>
    <w:rsid w:val="000F54E6"/>
    <w:rsid w:val="000F73A6"/>
    <w:rsid w:val="000F7D7E"/>
    <w:rsid w:val="001049E2"/>
    <w:rsid w:val="00106057"/>
    <w:rsid w:val="00106780"/>
    <w:rsid w:val="001105E2"/>
    <w:rsid w:val="0011275D"/>
    <w:rsid w:val="00114E9B"/>
    <w:rsid w:val="00125FD2"/>
    <w:rsid w:val="00127863"/>
    <w:rsid w:val="001317EB"/>
    <w:rsid w:val="00142216"/>
    <w:rsid w:val="00144D6A"/>
    <w:rsid w:val="0014729F"/>
    <w:rsid w:val="0015042A"/>
    <w:rsid w:val="0015185A"/>
    <w:rsid w:val="00157BAB"/>
    <w:rsid w:val="00160BD5"/>
    <w:rsid w:val="001654D1"/>
    <w:rsid w:val="00170D9A"/>
    <w:rsid w:val="00174518"/>
    <w:rsid w:val="0018106D"/>
    <w:rsid w:val="001870D8"/>
    <w:rsid w:val="001877A7"/>
    <w:rsid w:val="00191536"/>
    <w:rsid w:val="00196687"/>
    <w:rsid w:val="001A51B9"/>
    <w:rsid w:val="001C0962"/>
    <w:rsid w:val="001C6766"/>
    <w:rsid w:val="001D5E13"/>
    <w:rsid w:val="001D7531"/>
    <w:rsid w:val="001E00D1"/>
    <w:rsid w:val="001E4C0E"/>
    <w:rsid w:val="001E737D"/>
    <w:rsid w:val="001F0592"/>
    <w:rsid w:val="001F6D7B"/>
    <w:rsid w:val="001F7506"/>
    <w:rsid w:val="002006CD"/>
    <w:rsid w:val="00201520"/>
    <w:rsid w:val="00201E09"/>
    <w:rsid w:val="00202B36"/>
    <w:rsid w:val="00204B7A"/>
    <w:rsid w:val="00204CDE"/>
    <w:rsid w:val="0021101A"/>
    <w:rsid w:val="0021223B"/>
    <w:rsid w:val="00214292"/>
    <w:rsid w:val="00220536"/>
    <w:rsid w:val="0022333D"/>
    <w:rsid w:val="00224E86"/>
    <w:rsid w:val="00235629"/>
    <w:rsid w:val="00236437"/>
    <w:rsid w:val="002414C3"/>
    <w:rsid w:val="00254872"/>
    <w:rsid w:val="002559DA"/>
    <w:rsid w:val="00260C38"/>
    <w:rsid w:val="002616C0"/>
    <w:rsid w:val="00265372"/>
    <w:rsid w:val="002662AA"/>
    <w:rsid w:val="00274C40"/>
    <w:rsid w:val="0027587B"/>
    <w:rsid w:val="00280496"/>
    <w:rsid w:val="00281413"/>
    <w:rsid w:val="00294440"/>
    <w:rsid w:val="00294DC9"/>
    <w:rsid w:val="00295495"/>
    <w:rsid w:val="00295856"/>
    <w:rsid w:val="002A31DE"/>
    <w:rsid w:val="002B2613"/>
    <w:rsid w:val="002B2998"/>
    <w:rsid w:val="002B4434"/>
    <w:rsid w:val="002C082B"/>
    <w:rsid w:val="002C2702"/>
    <w:rsid w:val="002C57D8"/>
    <w:rsid w:val="002C5D85"/>
    <w:rsid w:val="002D6D05"/>
    <w:rsid w:val="002F014E"/>
    <w:rsid w:val="002F06F2"/>
    <w:rsid w:val="002F1818"/>
    <w:rsid w:val="002F1993"/>
    <w:rsid w:val="002F1BB3"/>
    <w:rsid w:val="002F567B"/>
    <w:rsid w:val="00314ED8"/>
    <w:rsid w:val="003216A9"/>
    <w:rsid w:val="0032414F"/>
    <w:rsid w:val="00327D6F"/>
    <w:rsid w:val="00335A74"/>
    <w:rsid w:val="003363BC"/>
    <w:rsid w:val="0034631D"/>
    <w:rsid w:val="00347D22"/>
    <w:rsid w:val="00352DB7"/>
    <w:rsid w:val="00356474"/>
    <w:rsid w:val="00356A09"/>
    <w:rsid w:val="0036037F"/>
    <w:rsid w:val="0036160F"/>
    <w:rsid w:val="0036561B"/>
    <w:rsid w:val="0037013F"/>
    <w:rsid w:val="00380C92"/>
    <w:rsid w:val="00382104"/>
    <w:rsid w:val="003833E3"/>
    <w:rsid w:val="00386C45"/>
    <w:rsid w:val="0038742E"/>
    <w:rsid w:val="003A484F"/>
    <w:rsid w:val="003A4883"/>
    <w:rsid w:val="003B0BE0"/>
    <w:rsid w:val="003B0C1B"/>
    <w:rsid w:val="003B22F5"/>
    <w:rsid w:val="003B5066"/>
    <w:rsid w:val="003B688C"/>
    <w:rsid w:val="003C0291"/>
    <w:rsid w:val="003C3728"/>
    <w:rsid w:val="003C39AE"/>
    <w:rsid w:val="003C7B60"/>
    <w:rsid w:val="003D0C0F"/>
    <w:rsid w:val="003D1FB2"/>
    <w:rsid w:val="003D21BF"/>
    <w:rsid w:val="003D66DA"/>
    <w:rsid w:val="003D707D"/>
    <w:rsid w:val="003E0750"/>
    <w:rsid w:val="003E1310"/>
    <w:rsid w:val="003E61EA"/>
    <w:rsid w:val="003E6F55"/>
    <w:rsid w:val="003F5BBB"/>
    <w:rsid w:val="004021CD"/>
    <w:rsid w:val="00402727"/>
    <w:rsid w:val="00406254"/>
    <w:rsid w:val="00407894"/>
    <w:rsid w:val="00411061"/>
    <w:rsid w:val="004223DE"/>
    <w:rsid w:val="00422A38"/>
    <w:rsid w:val="0042306D"/>
    <w:rsid w:val="00434489"/>
    <w:rsid w:val="0043513F"/>
    <w:rsid w:val="00435639"/>
    <w:rsid w:val="00437085"/>
    <w:rsid w:val="00443880"/>
    <w:rsid w:val="00444B2A"/>
    <w:rsid w:val="004464F4"/>
    <w:rsid w:val="004509D6"/>
    <w:rsid w:val="00455AB1"/>
    <w:rsid w:val="00457E58"/>
    <w:rsid w:val="00460AE0"/>
    <w:rsid w:val="00461B9C"/>
    <w:rsid w:val="00465E70"/>
    <w:rsid w:val="00471401"/>
    <w:rsid w:val="0047353E"/>
    <w:rsid w:val="00473F31"/>
    <w:rsid w:val="00480058"/>
    <w:rsid w:val="00480C86"/>
    <w:rsid w:val="0048263A"/>
    <w:rsid w:val="00486C95"/>
    <w:rsid w:val="00487E5D"/>
    <w:rsid w:val="004A1081"/>
    <w:rsid w:val="004A2DBE"/>
    <w:rsid w:val="004A3DF2"/>
    <w:rsid w:val="004A711F"/>
    <w:rsid w:val="004B199D"/>
    <w:rsid w:val="004B4690"/>
    <w:rsid w:val="004C51B4"/>
    <w:rsid w:val="004C6C2E"/>
    <w:rsid w:val="004D1F57"/>
    <w:rsid w:val="004D319E"/>
    <w:rsid w:val="004D33B1"/>
    <w:rsid w:val="004D36B8"/>
    <w:rsid w:val="004D65C8"/>
    <w:rsid w:val="004D6ADF"/>
    <w:rsid w:val="004E000D"/>
    <w:rsid w:val="004E0A2D"/>
    <w:rsid w:val="004E206B"/>
    <w:rsid w:val="004E6DF7"/>
    <w:rsid w:val="004E76BB"/>
    <w:rsid w:val="004F0FBD"/>
    <w:rsid w:val="004F186F"/>
    <w:rsid w:val="004F3EA5"/>
    <w:rsid w:val="004F5932"/>
    <w:rsid w:val="00505A47"/>
    <w:rsid w:val="00506CFC"/>
    <w:rsid w:val="00512FDA"/>
    <w:rsid w:val="0051361B"/>
    <w:rsid w:val="0051553D"/>
    <w:rsid w:val="00516497"/>
    <w:rsid w:val="00516A12"/>
    <w:rsid w:val="00520DA0"/>
    <w:rsid w:val="00520FE4"/>
    <w:rsid w:val="005265F8"/>
    <w:rsid w:val="00541563"/>
    <w:rsid w:val="00547877"/>
    <w:rsid w:val="0055105D"/>
    <w:rsid w:val="005664BB"/>
    <w:rsid w:val="00566DCB"/>
    <w:rsid w:val="00566FFA"/>
    <w:rsid w:val="00567BED"/>
    <w:rsid w:val="005741C5"/>
    <w:rsid w:val="0057481D"/>
    <w:rsid w:val="0058486E"/>
    <w:rsid w:val="00585B33"/>
    <w:rsid w:val="0059014D"/>
    <w:rsid w:val="00596EA1"/>
    <w:rsid w:val="005A6FFD"/>
    <w:rsid w:val="005A71B4"/>
    <w:rsid w:val="005B5C64"/>
    <w:rsid w:val="005C46CA"/>
    <w:rsid w:val="005C5337"/>
    <w:rsid w:val="005C66CA"/>
    <w:rsid w:val="005C6BD0"/>
    <w:rsid w:val="005D1871"/>
    <w:rsid w:val="005D1C8B"/>
    <w:rsid w:val="005D468D"/>
    <w:rsid w:val="005D5CED"/>
    <w:rsid w:val="005E4C76"/>
    <w:rsid w:val="005F1A4C"/>
    <w:rsid w:val="005F320F"/>
    <w:rsid w:val="005F4106"/>
    <w:rsid w:val="005F7A50"/>
    <w:rsid w:val="0060010D"/>
    <w:rsid w:val="00600FA0"/>
    <w:rsid w:val="0060175A"/>
    <w:rsid w:val="00605688"/>
    <w:rsid w:val="006070AF"/>
    <w:rsid w:val="00607E6C"/>
    <w:rsid w:val="006101B1"/>
    <w:rsid w:val="00611BF1"/>
    <w:rsid w:val="00614E44"/>
    <w:rsid w:val="006151DA"/>
    <w:rsid w:val="0062270A"/>
    <w:rsid w:val="00622830"/>
    <w:rsid w:val="00623DA0"/>
    <w:rsid w:val="00630AEF"/>
    <w:rsid w:val="006318BF"/>
    <w:rsid w:val="006325F8"/>
    <w:rsid w:val="00633463"/>
    <w:rsid w:val="00634C9A"/>
    <w:rsid w:val="00636393"/>
    <w:rsid w:val="006377CC"/>
    <w:rsid w:val="006440E4"/>
    <w:rsid w:val="00652EDD"/>
    <w:rsid w:val="00656EEC"/>
    <w:rsid w:val="00662739"/>
    <w:rsid w:val="00662FB9"/>
    <w:rsid w:val="0066343B"/>
    <w:rsid w:val="00663457"/>
    <w:rsid w:val="00664777"/>
    <w:rsid w:val="006748A4"/>
    <w:rsid w:val="00675589"/>
    <w:rsid w:val="0067617C"/>
    <w:rsid w:val="00681A31"/>
    <w:rsid w:val="00683E73"/>
    <w:rsid w:val="00684BB0"/>
    <w:rsid w:val="00684ECD"/>
    <w:rsid w:val="0069251E"/>
    <w:rsid w:val="00692D19"/>
    <w:rsid w:val="006947CD"/>
    <w:rsid w:val="006A3141"/>
    <w:rsid w:val="006A5E34"/>
    <w:rsid w:val="006A6BD4"/>
    <w:rsid w:val="006A74E6"/>
    <w:rsid w:val="006B2422"/>
    <w:rsid w:val="006B2B9A"/>
    <w:rsid w:val="006C1937"/>
    <w:rsid w:val="006D0347"/>
    <w:rsid w:val="006D1699"/>
    <w:rsid w:val="006D1AE1"/>
    <w:rsid w:val="006D2A37"/>
    <w:rsid w:val="006D38E1"/>
    <w:rsid w:val="006E1735"/>
    <w:rsid w:val="006E55E8"/>
    <w:rsid w:val="006F020C"/>
    <w:rsid w:val="006F1191"/>
    <w:rsid w:val="006F2C16"/>
    <w:rsid w:val="006F3094"/>
    <w:rsid w:val="006F7333"/>
    <w:rsid w:val="00701B9D"/>
    <w:rsid w:val="00710F48"/>
    <w:rsid w:val="007127B7"/>
    <w:rsid w:val="0071798E"/>
    <w:rsid w:val="00721551"/>
    <w:rsid w:val="007233E7"/>
    <w:rsid w:val="007275E2"/>
    <w:rsid w:val="007416B6"/>
    <w:rsid w:val="00746F48"/>
    <w:rsid w:val="00752D21"/>
    <w:rsid w:val="0075404D"/>
    <w:rsid w:val="0075411D"/>
    <w:rsid w:val="0076182A"/>
    <w:rsid w:val="00767B7E"/>
    <w:rsid w:val="00770B6D"/>
    <w:rsid w:val="00774856"/>
    <w:rsid w:val="00776ACD"/>
    <w:rsid w:val="007770C3"/>
    <w:rsid w:val="0077795D"/>
    <w:rsid w:val="007809BE"/>
    <w:rsid w:val="00781B7F"/>
    <w:rsid w:val="00784D24"/>
    <w:rsid w:val="00785FBA"/>
    <w:rsid w:val="00786E4A"/>
    <w:rsid w:val="007875EB"/>
    <w:rsid w:val="007879D9"/>
    <w:rsid w:val="00787C42"/>
    <w:rsid w:val="007907F2"/>
    <w:rsid w:val="007912B2"/>
    <w:rsid w:val="0079426B"/>
    <w:rsid w:val="007A405A"/>
    <w:rsid w:val="007A4F96"/>
    <w:rsid w:val="007A71C7"/>
    <w:rsid w:val="007C46BE"/>
    <w:rsid w:val="007D1682"/>
    <w:rsid w:val="007D1C81"/>
    <w:rsid w:val="007D2E83"/>
    <w:rsid w:val="007D312A"/>
    <w:rsid w:val="007D3F19"/>
    <w:rsid w:val="007E07E8"/>
    <w:rsid w:val="007E15F7"/>
    <w:rsid w:val="007E23B0"/>
    <w:rsid w:val="007E23E5"/>
    <w:rsid w:val="007E5300"/>
    <w:rsid w:val="007E5A23"/>
    <w:rsid w:val="007F1991"/>
    <w:rsid w:val="007F2C2F"/>
    <w:rsid w:val="007F3AC6"/>
    <w:rsid w:val="007F3E4B"/>
    <w:rsid w:val="007F55FC"/>
    <w:rsid w:val="007F5665"/>
    <w:rsid w:val="00800112"/>
    <w:rsid w:val="00805EB0"/>
    <w:rsid w:val="00811923"/>
    <w:rsid w:val="00813348"/>
    <w:rsid w:val="00813C84"/>
    <w:rsid w:val="00820206"/>
    <w:rsid w:val="008236DC"/>
    <w:rsid w:val="00823A02"/>
    <w:rsid w:val="00824D05"/>
    <w:rsid w:val="008253BB"/>
    <w:rsid w:val="00832533"/>
    <w:rsid w:val="00834DB8"/>
    <w:rsid w:val="00836D4F"/>
    <w:rsid w:val="0083706E"/>
    <w:rsid w:val="008408F6"/>
    <w:rsid w:val="008423A5"/>
    <w:rsid w:val="0084583B"/>
    <w:rsid w:val="00847CE6"/>
    <w:rsid w:val="00850625"/>
    <w:rsid w:val="00853718"/>
    <w:rsid w:val="00855221"/>
    <w:rsid w:val="008601A8"/>
    <w:rsid w:val="00860645"/>
    <w:rsid w:val="00871F71"/>
    <w:rsid w:val="00872FD8"/>
    <w:rsid w:val="00876725"/>
    <w:rsid w:val="00876B07"/>
    <w:rsid w:val="00882206"/>
    <w:rsid w:val="00885930"/>
    <w:rsid w:val="00885AF4"/>
    <w:rsid w:val="008910C8"/>
    <w:rsid w:val="008939CD"/>
    <w:rsid w:val="00893B19"/>
    <w:rsid w:val="008A0217"/>
    <w:rsid w:val="008A2B66"/>
    <w:rsid w:val="008A5F30"/>
    <w:rsid w:val="008B00E9"/>
    <w:rsid w:val="008B5842"/>
    <w:rsid w:val="008B768C"/>
    <w:rsid w:val="008C4DB1"/>
    <w:rsid w:val="008C4EAF"/>
    <w:rsid w:val="008C5176"/>
    <w:rsid w:val="008C6D8A"/>
    <w:rsid w:val="008C75A4"/>
    <w:rsid w:val="008C7FD0"/>
    <w:rsid w:val="008D0E85"/>
    <w:rsid w:val="008D11F5"/>
    <w:rsid w:val="008E1DE7"/>
    <w:rsid w:val="008E707C"/>
    <w:rsid w:val="008F371E"/>
    <w:rsid w:val="008F686F"/>
    <w:rsid w:val="008F7EFA"/>
    <w:rsid w:val="00900B08"/>
    <w:rsid w:val="00902155"/>
    <w:rsid w:val="00902FA3"/>
    <w:rsid w:val="009044E4"/>
    <w:rsid w:val="0091187F"/>
    <w:rsid w:val="00920231"/>
    <w:rsid w:val="00923564"/>
    <w:rsid w:val="0092392E"/>
    <w:rsid w:val="009305DF"/>
    <w:rsid w:val="009315F9"/>
    <w:rsid w:val="0093294A"/>
    <w:rsid w:val="00933499"/>
    <w:rsid w:val="00935C98"/>
    <w:rsid w:val="009401A9"/>
    <w:rsid w:val="00940603"/>
    <w:rsid w:val="00946945"/>
    <w:rsid w:val="00947E8F"/>
    <w:rsid w:val="009511F0"/>
    <w:rsid w:val="00951248"/>
    <w:rsid w:val="0095152F"/>
    <w:rsid w:val="00951B50"/>
    <w:rsid w:val="00952217"/>
    <w:rsid w:val="00954C49"/>
    <w:rsid w:val="00955E37"/>
    <w:rsid w:val="00956FE1"/>
    <w:rsid w:val="009708FA"/>
    <w:rsid w:val="0097099F"/>
    <w:rsid w:val="00971997"/>
    <w:rsid w:val="00971B36"/>
    <w:rsid w:val="00971FFC"/>
    <w:rsid w:val="009748E0"/>
    <w:rsid w:val="00976D7B"/>
    <w:rsid w:val="0098660A"/>
    <w:rsid w:val="0099205A"/>
    <w:rsid w:val="009931C3"/>
    <w:rsid w:val="009A33D0"/>
    <w:rsid w:val="009B2C43"/>
    <w:rsid w:val="009B3871"/>
    <w:rsid w:val="009B4EAE"/>
    <w:rsid w:val="009B7573"/>
    <w:rsid w:val="009B7E04"/>
    <w:rsid w:val="009C0620"/>
    <w:rsid w:val="009C22F4"/>
    <w:rsid w:val="009C2A4B"/>
    <w:rsid w:val="009C2E98"/>
    <w:rsid w:val="009C3CCE"/>
    <w:rsid w:val="009C43AA"/>
    <w:rsid w:val="009C6BC8"/>
    <w:rsid w:val="009D3447"/>
    <w:rsid w:val="009D4390"/>
    <w:rsid w:val="009D4711"/>
    <w:rsid w:val="009D4C8C"/>
    <w:rsid w:val="009D6F9C"/>
    <w:rsid w:val="009D7BEB"/>
    <w:rsid w:val="009E6B71"/>
    <w:rsid w:val="009F08B6"/>
    <w:rsid w:val="009F1185"/>
    <w:rsid w:val="009F1594"/>
    <w:rsid w:val="009F18CD"/>
    <w:rsid w:val="009F2A13"/>
    <w:rsid w:val="009F2D62"/>
    <w:rsid w:val="009F7527"/>
    <w:rsid w:val="00A033F0"/>
    <w:rsid w:val="00A041CB"/>
    <w:rsid w:val="00A04EB0"/>
    <w:rsid w:val="00A0622D"/>
    <w:rsid w:val="00A11893"/>
    <w:rsid w:val="00A139BE"/>
    <w:rsid w:val="00A13CC1"/>
    <w:rsid w:val="00A16847"/>
    <w:rsid w:val="00A23100"/>
    <w:rsid w:val="00A237D8"/>
    <w:rsid w:val="00A268C4"/>
    <w:rsid w:val="00A307CD"/>
    <w:rsid w:val="00A331C8"/>
    <w:rsid w:val="00A40A00"/>
    <w:rsid w:val="00A4142F"/>
    <w:rsid w:val="00A4169E"/>
    <w:rsid w:val="00A422EB"/>
    <w:rsid w:val="00A45BB7"/>
    <w:rsid w:val="00A50AE0"/>
    <w:rsid w:val="00A56DF2"/>
    <w:rsid w:val="00A56E6E"/>
    <w:rsid w:val="00A61F12"/>
    <w:rsid w:val="00A64F56"/>
    <w:rsid w:val="00A67AB5"/>
    <w:rsid w:val="00A71A7E"/>
    <w:rsid w:val="00A733B2"/>
    <w:rsid w:val="00A741C2"/>
    <w:rsid w:val="00A75EE7"/>
    <w:rsid w:val="00A76CDF"/>
    <w:rsid w:val="00A808B7"/>
    <w:rsid w:val="00A848CA"/>
    <w:rsid w:val="00A91760"/>
    <w:rsid w:val="00A93B00"/>
    <w:rsid w:val="00A93C21"/>
    <w:rsid w:val="00A94663"/>
    <w:rsid w:val="00AB1C72"/>
    <w:rsid w:val="00AB4860"/>
    <w:rsid w:val="00AB64C9"/>
    <w:rsid w:val="00AC0E1E"/>
    <w:rsid w:val="00AC3C6A"/>
    <w:rsid w:val="00AC3FAB"/>
    <w:rsid w:val="00AC4528"/>
    <w:rsid w:val="00AC471C"/>
    <w:rsid w:val="00AD5620"/>
    <w:rsid w:val="00AD656B"/>
    <w:rsid w:val="00AD7C1B"/>
    <w:rsid w:val="00AE16BA"/>
    <w:rsid w:val="00AE1EBE"/>
    <w:rsid w:val="00AF6E70"/>
    <w:rsid w:val="00B01337"/>
    <w:rsid w:val="00B03C9D"/>
    <w:rsid w:val="00B060AE"/>
    <w:rsid w:val="00B06D6B"/>
    <w:rsid w:val="00B10517"/>
    <w:rsid w:val="00B14E76"/>
    <w:rsid w:val="00B161B8"/>
    <w:rsid w:val="00B16BEA"/>
    <w:rsid w:val="00B176E1"/>
    <w:rsid w:val="00B2048C"/>
    <w:rsid w:val="00B2218A"/>
    <w:rsid w:val="00B247C8"/>
    <w:rsid w:val="00B26534"/>
    <w:rsid w:val="00B310B9"/>
    <w:rsid w:val="00B35F3F"/>
    <w:rsid w:val="00B36CBB"/>
    <w:rsid w:val="00B425E0"/>
    <w:rsid w:val="00B4325C"/>
    <w:rsid w:val="00B433D1"/>
    <w:rsid w:val="00B440AA"/>
    <w:rsid w:val="00B446C0"/>
    <w:rsid w:val="00B44B70"/>
    <w:rsid w:val="00B53C56"/>
    <w:rsid w:val="00B57DAF"/>
    <w:rsid w:val="00B7170D"/>
    <w:rsid w:val="00B72276"/>
    <w:rsid w:val="00B768CC"/>
    <w:rsid w:val="00B7740E"/>
    <w:rsid w:val="00B77EA6"/>
    <w:rsid w:val="00B81598"/>
    <w:rsid w:val="00B81BB2"/>
    <w:rsid w:val="00B841F1"/>
    <w:rsid w:val="00B856CD"/>
    <w:rsid w:val="00B86C0E"/>
    <w:rsid w:val="00B87CB2"/>
    <w:rsid w:val="00B91FF9"/>
    <w:rsid w:val="00B944D6"/>
    <w:rsid w:val="00BA45E6"/>
    <w:rsid w:val="00BA60E4"/>
    <w:rsid w:val="00BB3836"/>
    <w:rsid w:val="00BB3E82"/>
    <w:rsid w:val="00BB4DF0"/>
    <w:rsid w:val="00BC289F"/>
    <w:rsid w:val="00BC2D50"/>
    <w:rsid w:val="00BC5361"/>
    <w:rsid w:val="00BC5460"/>
    <w:rsid w:val="00BC5CB5"/>
    <w:rsid w:val="00BC5DFF"/>
    <w:rsid w:val="00BC6B50"/>
    <w:rsid w:val="00BD0E25"/>
    <w:rsid w:val="00BF5BD6"/>
    <w:rsid w:val="00C020F6"/>
    <w:rsid w:val="00C03E31"/>
    <w:rsid w:val="00C16AF4"/>
    <w:rsid w:val="00C33E72"/>
    <w:rsid w:val="00C354B2"/>
    <w:rsid w:val="00C35554"/>
    <w:rsid w:val="00C35CAD"/>
    <w:rsid w:val="00C42709"/>
    <w:rsid w:val="00C429DB"/>
    <w:rsid w:val="00C52871"/>
    <w:rsid w:val="00C533CC"/>
    <w:rsid w:val="00C5751C"/>
    <w:rsid w:val="00C61BFC"/>
    <w:rsid w:val="00C62B85"/>
    <w:rsid w:val="00C65438"/>
    <w:rsid w:val="00C65C1B"/>
    <w:rsid w:val="00C7557B"/>
    <w:rsid w:val="00C803FE"/>
    <w:rsid w:val="00C82CF5"/>
    <w:rsid w:val="00C8349C"/>
    <w:rsid w:val="00C87FD8"/>
    <w:rsid w:val="00C91381"/>
    <w:rsid w:val="00C91CBB"/>
    <w:rsid w:val="00C91CCD"/>
    <w:rsid w:val="00C95BF4"/>
    <w:rsid w:val="00C96A98"/>
    <w:rsid w:val="00C97E33"/>
    <w:rsid w:val="00CA2A83"/>
    <w:rsid w:val="00CB4538"/>
    <w:rsid w:val="00CB4E70"/>
    <w:rsid w:val="00CB66C5"/>
    <w:rsid w:val="00CC09B6"/>
    <w:rsid w:val="00CC2A56"/>
    <w:rsid w:val="00CC666F"/>
    <w:rsid w:val="00CD15D0"/>
    <w:rsid w:val="00CD1E3F"/>
    <w:rsid w:val="00CE0E92"/>
    <w:rsid w:val="00CE44F6"/>
    <w:rsid w:val="00CE49DA"/>
    <w:rsid w:val="00CE7B61"/>
    <w:rsid w:val="00CF1860"/>
    <w:rsid w:val="00D00095"/>
    <w:rsid w:val="00D114F0"/>
    <w:rsid w:val="00D15923"/>
    <w:rsid w:val="00D16411"/>
    <w:rsid w:val="00D17F89"/>
    <w:rsid w:val="00D20620"/>
    <w:rsid w:val="00D254F7"/>
    <w:rsid w:val="00D26091"/>
    <w:rsid w:val="00D2685C"/>
    <w:rsid w:val="00D30128"/>
    <w:rsid w:val="00D313E1"/>
    <w:rsid w:val="00D34E7C"/>
    <w:rsid w:val="00D35489"/>
    <w:rsid w:val="00D36AFE"/>
    <w:rsid w:val="00D51276"/>
    <w:rsid w:val="00D5358E"/>
    <w:rsid w:val="00D57D82"/>
    <w:rsid w:val="00D608D0"/>
    <w:rsid w:val="00D669FE"/>
    <w:rsid w:val="00D7035F"/>
    <w:rsid w:val="00D87076"/>
    <w:rsid w:val="00D90815"/>
    <w:rsid w:val="00D9256D"/>
    <w:rsid w:val="00D93F03"/>
    <w:rsid w:val="00D97086"/>
    <w:rsid w:val="00DA2F03"/>
    <w:rsid w:val="00DA4E0A"/>
    <w:rsid w:val="00DA5E41"/>
    <w:rsid w:val="00DA634F"/>
    <w:rsid w:val="00DA65AC"/>
    <w:rsid w:val="00DA7C4C"/>
    <w:rsid w:val="00DB1913"/>
    <w:rsid w:val="00DC410D"/>
    <w:rsid w:val="00DC5A81"/>
    <w:rsid w:val="00DC68CA"/>
    <w:rsid w:val="00DC6C08"/>
    <w:rsid w:val="00DC7CBA"/>
    <w:rsid w:val="00DD1F80"/>
    <w:rsid w:val="00DD54DB"/>
    <w:rsid w:val="00DD703B"/>
    <w:rsid w:val="00DD73B7"/>
    <w:rsid w:val="00DE6A4C"/>
    <w:rsid w:val="00DF197F"/>
    <w:rsid w:val="00DF28BC"/>
    <w:rsid w:val="00DF34B9"/>
    <w:rsid w:val="00DF6D84"/>
    <w:rsid w:val="00E01053"/>
    <w:rsid w:val="00E01D77"/>
    <w:rsid w:val="00E04AA9"/>
    <w:rsid w:val="00E07A4D"/>
    <w:rsid w:val="00E07ACF"/>
    <w:rsid w:val="00E154F1"/>
    <w:rsid w:val="00E15CFC"/>
    <w:rsid w:val="00E1693C"/>
    <w:rsid w:val="00E17496"/>
    <w:rsid w:val="00E2130A"/>
    <w:rsid w:val="00E27A06"/>
    <w:rsid w:val="00E331A1"/>
    <w:rsid w:val="00E33202"/>
    <w:rsid w:val="00E336A9"/>
    <w:rsid w:val="00E41691"/>
    <w:rsid w:val="00E42C2E"/>
    <w:rsid w:val="00E43BE5"/>
    <w:rsid w:val="00E462F5"/>
    <w:rsid w:val="00E464EB"/>
    <w:rsid w:val="00E472B1"/>
    <w:rsid w:val="00E50624"/>
    <w:rsid w:val="00E532F4"/>
    <w:rsid w:val="00E568DF"/>
    <w:rsid w:val="00E57918"/>
    <w:rsid w:val="00E64269"/>
    <w:rsid w:val="00E64D9B"/>
    <w:rsid w:val="00E74482"/>
    <w:rsid w:val="00E76324"/>
    <w:rsid w:val="00E77242"/>
    <w:rsid w:val="00E82267"/>
    <w:rsid w:val="00E853CE"/>
    <w:rsid w:val="00E867B6"/>
    <w:rsid w:val="00E94898"/>
    <w:rsid w:val="00E96E7A"/>
    <w:rsid w:val="00EA010F"/>
    <w:rsid w:val="00EA1DC2"/>
    <w:rsid w:val="00EA2658"/>
    <w:rsid w:val="00EB08D3"/>
    <w:rsid w:val="00ED1B63"/>
    <w:rsid w:val="00ED3C1F"/>
    <w:rsid w:val="00ED4085"/>
    <w:rsid w:val="00ED420E"/>
    <w:rsid w:val="00ED441C"/>
    <w:rsid w:val="00ED6FBE"/>
    <w:rsid w:val="00EE2F57"/>
    <w:rsid w:val="00EF4C34"/>
    <w:rsid w:val="00EF6033"/>
    <w:rsid w:val="00EF77C6"/>
    <w:rsid w:val="00F05438"/>
    <w:rsid w:val="00F12A5C"/>
    <w:rsid w:val="00F1361C"/>
    <w:rsid w:val="00F156F0"/>
    <w:rsid w:val="00F160C7"/>
    <w:rsid w:val="00F206FA"/>
    <w:rsid w:val="00F22734"/>
    <w:rsid w:val="00F2408F"/>
    <w:rsid w:val="00F240E9"/>
    <w:rsid w:val="00F34354"/>
    <w:rsid w:val="00F36D8F"/>
    <w:rsid w:val="00F417B1"/>
    <w:rsid w:val="00F45853"/>
    <w:rsid w:val="00F52B80"/>
    <w:rsid w:val="00F53989"/>
    <w:rsid w:val="00F558DD"/>
    <w:rsid w:val="00F5771F"/>
    <w:rsid w:val="00F602DF"/>
    <w:rsid w:val="00F63B4A"/>
    <w:rsid w:val="00F754A1"/>
    <w:rsid w:val="00F81FD9"/>
    <w:rsid w:val="00F841AA"/>
    <w:rsid w:val="00F84A94"/>
    <w:rsid w:val="00F85605"/>
    <w:rsid w:val="00F87E96"/>
    <w:rsid w:val="00FA181A"/>
    <w:rsid w:val="00FA23E8"/>
    <w:rsid w:val="00FB34B5"/>
    <w:rsid w:val="00FC384E"/>
    <w:rsid w:val="00FD311C"/>
    <w:rsid w:val="00FD3CC1"/>
    <w:rsid w:val="00FD58F9"/>
    <w:rsid w:val="00FF1E02"/>
    <w:rsid w:val="00FF30B4"/>
    <w:rsid w:val="00FF73FD"/>
    <w:rsid w:val="066E0107"/>
    <w:rsid w:val="07996F6E"/>
    <w:rsid w:val="09F17C4E"/>
    <w:rsid w:val="0A2032A3"/>
    <w:rsid w:val="101860EC"/>
    <w:rsid w:val="10C055FF"/>
    <w:rsid w:val="118107EC"/>
    <w:rsid w:val="13D50BC4"/>
    <w:rsid w:val="16BB723D"/>
    <w:rsid w:val="1BE8440E"/>
    <w:rsid w:val="1D155CEE"/>
    <w:rsid w:val="23860B96"/>
    <w:rsid w:val="240371BF"/>
    <w:rsid w:val="29FD04D3"/>
    <w:rsid w:val="2C8A61B5"/>
    <w:rsid w:val="2DF04E50"/>
    <w:rsid w:val="319F7F4E"/>
    <w:rsid w:val="354341ED"/>
    <w:rsid w:val="36AA5135"/>
    <w:rsid w:val="37E16F03"/>
    <w:rsid w:val="3D98207C"/>
    <w:rsid w:val="403D2C4D"/>
    <w:rsid w:val="44E268DA"/>
    <w:rsid w:val="4A627F82"/>
    <w:rsid w:val="4B4F25DA"/>
    <w:rsid w:val="4BE068DB"/>
    <w:rsid w:val="4D577224"/>
    <w:rsid w:val="4EAB630A"/>
    <w:rsid w:val="4ECE2238"/>
    <w:rsid w:val="548F62DE"/>
    <w:rsid w:val="5AF92295"/>
    <w:rsid w:val="5CD71FC4"/>
    <w:rsid w:val="609C7753"/>
    <w:rsid w:val="6962282C"/>
    <w:rsid w:val="6C4A05C8"/>
    <w:rsid w:val="6E7E3605"/>
    <w:rsid w:val="6FF5CC65"/>
    <w:rsid w:val="715C0E4B"/>
    <w:rsid w:val="72734D90"/>
    <w:rsid w:val="73AD73D5"/>
    <w:rsid w:val="73B6EB34"/>
    <w:rsid w:val="746277B3"/>
    <w:rsid w:val="798F3271"/>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日期 Char"/>
    <w:basedOn w:val="14"/>
    <w:link w:val="7"/>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350.18</c:v>
                </c:pt>
                <c:pt idx="1">
                  <c:v>394.5</c:v>
                </c:pt>
              </c:numCache>
            </c:numRef>
          </c:val>
        </c:ser>
        <c:ser>
          <c:idx val="1"/>
          <c:order val="1"/>
          <c:tx>
            <c:strRef>
              <c:f>Sheet1!$C$1</c:f>
              <c:strCache>
                <c:ptCount val="1"/>
                <c:pt idx="0">
                  <c:v>2021年</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312.63</c:v>
                </c:pt>
                <c:pt idx="1">
                  <c:v>462.69</c:v>
                </c:pt>
              </c:numCache>
            </c:numRef>
          </c:val>
        </c:ser>
        <c:dLbls>
          <c:showLegendKey val="0"/>
          <c:showVal val="0"/>
          <c:showCatName val="0"/>
          <c:showSerName val="0"/>
          <c:showPercent val="0"/>
          <c:showBubbleSize val="0"/>
        </c:dLbls>
        <c:gapWidth val="150"/>
        <c:axId val="79727232"/>
        <c:axId val="79780864"/>
      </c:barChart>
      <c:catAx>
        <c:axId val="79727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780864"/>
        <c:crosses val="autoZero"/>
        <c:auto val="1"/>
        <c:lblAlgn val="ctr"/>
        <c:lblOffset val="100"/>
        <c:noMultiLvlLbl val="0"/>
      </c:catAx>
      <c:valAx>
        <c:axId val="797808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72723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c:v>
                </c:pt>
              </c:strCache>
            </c:strRef>
          </c:tx>
          <c:explosion val="0"/>
          <c:dPt>
            <c:idx val="0"/>
            <c:bubble3D val="0"/>
          </c:dPt>
          <c:dPt>
            <c:idx val="1"/>
            <c:bubble3D val="0"/>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260.44</c:v>
                </c:pt>
                <c:pt idx="1">
                  <c:v>52.19</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257.06</c:v>
                </c:pt>
                <c:pt idx="1">
                  <c:v>205.63</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10301631872226"/>
          <c:y val="0.0417028676369014"/>
          <c:w val="0.791330809148497"/>
          <c:h val="0.816807651365563"/>
        </c:manualLayout>
      </c:layout>
      <c:barChart>
        <c:barDir val="col"/>
        <c:grouping val="clustered"/>
        <c:varyColors val="0"/>
        <c:ser>
          <c:idx val="0"/>
          <c:order val="0"/>
          <c:tx>
            <c:strRef>
              <c:f>Sheet1!$B$1</c:f>
              <c:strCache>
                <c:ptCount val="1"/>
                <c:pt idx="0">
                  <c:v>2020年</c:v>
                </c:pt>
              </c:strCache>
            </c:strRef>
          </c:tx>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348.929999999999</c:v>
                </c:pt>
                <c:pt idx="1">
                  <c:v>393.31</c:v>
                </c:pt>
              </c:numCache>
            </c:numRef>
          </c:val>
        </c:ser>
        <c:ser>
          <c:idx val="1"/>
          <c:order val="1"/>
          <c:tx>
            <c:strRef>
              <c:f>Sheet1!$C$1</c:f>
              <c:strCache>
                <c:ptCount val="1"/>
                <c:pt idx="0">
                  <c:v>2021年</c:v>
                </c:pt>
              </c:strCache>
            </c:strRef>
          </c:tx>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312.63</c:v>
                </c:pt>
                <c:pt idx="1">
                  <c:v>462.69</c:v>
                </c:pt>
              </c:numCache>
            </c:numRef>
          </c:val>
        </c:ser>
        <c:dLbls>
          <c:showLegendKey val="0"/>
          <c:showVal val="0"/>
          <c:showCatName val="0"/>
          <c:showSerName val="0"/>
          <c:showPercent val="0"/>
          <c:showBubbleSize val="0"/>
        </c:dLbls>
        <c:gapWidth val="150"/>
        <c:axId val="80052992"/>
        <c:axId val="80059392"/>
      </c:barChart>
      <c:catAx>
        <c:axId val="800529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059392"/>
        <c:crosses val="autoZero"/>
        <c:auto val="1"/>
        <c:lblAlgn val="ctr"/>
        <c:lblOffset val="100"/>
        <c:noMultiLvlLbl val="0"/>
      </c:catAx>
      <c:valAx>
        <c:axId val="80059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05299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501324343848"/>
          <c:y val="0.024767801857585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268.12</c:v>
                </c:pt>
                <c:pt idx="1">
                  <c:v>408.44</c:v>
                </c:pt>
              </c:numCache>
            </c:numRef>
          </c:val>
        </c:ser>
        <c:dLbls>
          <c:showLegendKey val="0"/>
          <c:showVal val="0"/>
          <c:showCatName val="0"/>
          <c:showSerName val="0"/>
          <c:showPercent val="0"/>
          <c:showBubbleSize val="0"/>
        </c:dLbls>
        <c:gapWidth val="150"/>
        <c:overlap val="100"/>
        <c:axId val="80077184"/>
        <c:axId val="80081280"/>
      </c:barChart>
      <c:catAx>
        <c:axId val="800771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081280"/>
        <c:crosses val="autoZero"/>
        <c:auto val="1"/>
        <c:lblAlgn val="ctr"/>
        <c:lblOffset val="100"/>
        <c:noMultiLvlLbl val="0"/>
      </c:catAx>
      <c:valAx>
        <c:axId val="800812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07718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2021年一般公共预算财政拨款支出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一般公共服务（类）支出</c:v>
                </c:pt>
                <c:pt idx="1">
                  <c:v>社会保障和就业（类）支出</c:v>
                </c:pt>
                <c:pt idx="2">
                  <c:v>卫生健康（类）支出</c:v>
                </c:pt>
                <c:pt idx="3">
                  <c:v>商业服务业等（类）支出</c:v>
                </c:pt>
                <c:pt idx="4">
                  <c:v>住房保障（类）支出</c:v>
                </c:pt>
              </c:strCache>
            </c:strRef>
          </c:cat>
          <c:val>
            <c:numRef>
              <c:f>Sheet1!$B$2:$B$6</c:f>
              <c:numCache>
                <c:formatCode>General</c:formatCode>
                <c:ptCount val="5"/>
                <c:pt idx="0">
                  <c:v>203.7</c:v>
                </c:pt>
                <c:pt idx="1">
                  <c:v>17.39</c:v>
                </c:pt>
                <c:pt idx="2">
                  <c:v>14.97</c:v>
                </c:pt>
                <c:pt idx="3">
                  <c:v>150.7</c:v>
                </c:pt>
                <c:pt idx="4">
                  <c:v>21.68</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6C2B-8968-43D9-970D-F1A74692FA2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1937</Words>
  <Characters>11045</Characters>
  <Lines>92</Lines>
  <Paragraphs>25</Paragraphs>
  <TotalTime>35</TotalTime>
  <ScaleCrop>false</ScaleCrop>
  <LinksUpToDate>false</LinksUpToDate>
  <CharactersWithSpaces>12957</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2022-10-10T02:50:00Z</dcterms:created>
  <dc:creator>曹颖</dc:creator>
  <cp:lastModifiedBy>Administrator</cp:lastModifiedBy>
  <cp:lastPrinted>2022-10-10T02:52:00Z</cp:lastPrinted>
  <dcterms:modified xsi:type="dcterms:W3CDTF">2025-01-23T03:03:12Z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AA2ED9B60CD84764A1BD304C5ACEA35B</vt:lpwstr>
  </property>
</Properties>
</file>