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附件1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40" w:lineRule="auto"/>
        <w:ind w:right="0" w:rightChars="0"/>
        <w:jc w:val="left"/>
        <w:rPr>
          <w:rFonts w:hint="eastAsia" w:ascii="宋体" w:hAnsi="宋体" w:eastAsia="宋体" w:cs="宋体"/>
          <w:b/>
          <w:bCs/>
          <w:i w:val="0"/>
          <w:iCs w:val="0"/>
          <w:caps w:val="0"/>
          <w:color w:val="000000"/>
          <w:spacing w:val="0"/>
          <w:sz w:val="28"/>
          <w:szCs w:val="28"/>
          <w:shd w:val="clear" w:color="auto" w:fill="auto"/>
        </w:rPr>
      </w:pPr>
      <w:r>
        <w:rPr>
          <w:rFonts w:hint="eastAsia" w:ascii="宋体" w:hAnsi="宋体" w:cs="宋体"/>
          <w:b/>
          <w:bCs/>
          <w:i w:val="0"/>
          <w:iCs w:val="0"/>
          <w:caps w:val="0"/>
          <w:color w:val="000000"/>
          <w:spacing w:val="0"/>
          <w:sz w:val="28"/>
          <w:szCs w:val="28"/>
          <w:shd w:val="clear" w:color="auto" w:fill="auto"/>
          <w:lang w:val="en-US" w:eastAsia="zh-CN"/>
        </w:rPr>
        <w:t>三、</w:t>
      </w:r>
      <w:r>
        <w:rPr>
          <w:rFonts w:hint="eastAsia" w:ascii="宋体" w:hAnsi="宋体" w:eastAsia="宋体" w:cs="宋体"/>
          <w:b/>
          <w:bCs/>
          <w:i w:val="0"/>
          <w:iCs w:val="0"/>
          <w:caps w:val="0"/>
          <w:color w:val="000000"/>
          <w:spacing w:val="0"/>
          <w:sz w:val="28"/>
          <w:szCs w:val="28"/>
          <w:shd w:val="clear" w:color="auto" w:fill="auto"/>
        </w:rPr>
        <w:t>技术、服务内容</w:t>
      </w:r>
    </w:p>
    <w:tbl>
      <w:tblPr>
        <w:tblStyle w:val="5"/>
        <w:tblW w:w="9394"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923"/>
        <w:gridCol w:w="2166"/>
        <w:gridCol w:w="3927"/>
        <w:gridCol w:w="759"/>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序号</w:t>
            </w:r>
          </w:p>
        </w:tc>
        <w:tc>
          <w:tcPr>
            <w:tcW w:w="9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名称</w:t>
            </w:r>
          </w:p>
        </w:tc>
        <w:tc>
          <w:tcPr>
            <w:tcW w:w="21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参考图片</w:t>
            </w:r>
          </w:p>
        </w:tc>
        <w:tc>
          <w:tcPr>
            <w:tcW w:w="3927"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
              <w:rPr>
                <w:rFonts w:hint="eastAsia" w:eastAsia="宋体"/>
                <w:color w:val="000000"/>
                <w:lang w:eastAsia="zh-CN"/>
              </w:rPr>
            </w:pPr>
            <w:r>
              <w:rPr>
                <w:rFonts w:hint="eastAsia"/>
                <w:color w:val="000000"/>
                <w:lang w:eastAsia="zh-CN"/>
              </w:rPr>
              <w:t>技术参数</w:t>
            </w:r>
          </w:p>
        </w:tc>
        <w:tc>
          <w:tcPr>
            <w:tcW w:w="7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数量</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rPr>
              <w:t>1</w:t>
            </w:r>
          </w:p>
        </w:tc>
        <w:tc>
          <w:tcPr>
            <w:tcW w:w="9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户外树屋组合</w:t>
            </w:r>
          </w:p>
        </w:tc>
        <w:tc>
          <w:tcPr>
            <w:tcW w:w="21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"C:\\Users\\ADMINI~1\\AppData\\Local\\Temp\\ksohtml\\clip_image7.png"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289685" cy="727710"/>
                  <wp:effectExtent l="0" t="0" r="5715" b="15240"/>
                  <wp:docPr id="1026" name="图片 2" descr="IMG_256"/>
                  <wp:cNvGraphicFramePr/>
                  <a:graphic xmlns:a="http://schemas.openxmlformats.org/drawingml/2006/main">
                    <a:graphicData uri="http://schemas.openxmlformats.org/drawingml/2006/picture">
                      <pic:pic xmlns:pic="http://schemas.openxmlformats.org/drawingml/2006/picture">
                        <pic:nvPicPr>
                          <pic:cNvPr id="1026" name="图片 2" descr="IMG_256"/>
                          <pic:cNvPicPr/>
                        </pic:nvPicPr>
                        <pic:blipFill>
                          <a:blip r:embed="rId4" cstate="print"/>
                          <a:srcRect/>
                          <a:stretch>
                            <a:fillRect/>
                          </a:stretch>
                        </pic:blipFill>
                        <pic:spPr>
                          <a:xfrm>
                            <a:off x="0" y="0"/>
                            <a:ext cx="1289685" cy="727710"/>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1.规格尺寸：1600*2200*320cm</w:t>
            </w:r>
            <w:r>
              <w:rPr>
                <w:rFonts w:hint="eastAsia"/>
                <w:color w:val="000000" w:themeColor="text1"/>
                <w:lang w:val="en-US" w:eastAsia="zh-CN"/>
                <w14:textFill>
                  <w14:solidFill>
                    <w14:schemeClr w14:val="tx1"/>
                  </w14:solidFill>
                </w14:textFill>
              </w:rPr>
              <w:br w:type="textWrapping"/>
            </w:r>
            <w:r>
              <w:rPr>
                <w:rFonts w:hint="eastAsia"/>
                <w:color w:val="000000" w:themeColor="text1"/>
                <w:lang w:val="en-US" w:eastAsia="zh-CN"/>
                <w14:textFill>
                  <w14:solidFill>
                    <w14:schemeClr w14:val="tx1"/>
                  </w14:solidFill>
                </w14:textFill>
              </w:rPr>
              <w:t>立柱为100mm*100mm黄花梨木</w:t>
            </w:r>
            <w:r>
              <w:rPr>
                <w:rFonts w:hint="eastAsia"/>
                <w:color w:val="000000" w:themeColor="text1"/>
                <w:lang w:val="en-US" w:eastAsia="zh-CN"/>
                <w14:textFill>
                  <w14:solidFill>
                    <w14:schemeClr w14:val="tx1"/>
                  </w14:solidFill>
                </w14:textFill>
              </w:rPr>
              <w:br w:type="textWrapping"/>
            </w:r>
            <w:r>
              <w:rPr>
                <w:rFonts w:hint="eastAsia"/>
                <w:color w:val="000000" w:themeColor="text1"/>
                <w:lang w:val="en-US" w:eastAsia="zh-CN"/>
                <w14:textFill>
                  <w14:solidFill>
                    <w14:schemeClr w14:val="tx1"/>
                  </w14:solidFill>
                </w14:textFill>
              </w:rPr>
              <w:t>2.平台：平台均1170mm*1170mm*250mm的黄花梨木，经打磨批灰后，表面喷涂聚氨酯清漆，，符合</w:t>
            </w:r>
            <w:r>
              <w:rPr>
                <w:rFonts w:hint="eastAsia" w:ascii="宋体" w:hAnsi="宋体" w:eastAsia="宋体" w:cs="宋体"/>
                <w:color w:val="000000" w:themeColor="text1"/>
                <w:kern w:val="0"/>
                <w:sz w:val="21"/>
                <w:szCs w:val="21"/>
                <w:lang w:val="en-US" w:eastAsia="zh-CN"/>
                <w14:textFill>
                  <w14:solidFill>
                    <w14:schemeClr w14:val="tx1"/>
                  </w14:solidFill>
                </w14:textFill>
              </w:rPr>
              <w:t>GB 18581-2020标准</w:t>
            </w:r>
            <w:r>
              <w:rPr>
                <w:rFonts w:hint="eastAsia"/>
                <w:color w:val="000000" w:themeColor="text1"/>
                <w:lang w:val="en-US" w:eastAsia="zh-CN"/>
                <w14:textFill>
                  <w14:solidFill>
                    <w14:schemeClr w14:val="tx1"/>
                  </w14:solidFill>
                </w14:textFill>
              </w:rPr>
              <w:t>，防腐、防水能力达到十年以上</w:t>
            </w:r>
            <w:r>
              <w:rPr>
                <w:rFonts w:hint="eastAsia"/>
                <w:color w:val="000000" w:themeColor="text1"/>
                <w:lang w:val="en-US" w:eastAsia="zh-CN"/>
                <w14:textFill>
                  <w14:solidFill>
                    <w14:schemeClr w14:val="tx1"/>
                  </w14:solidFill>
                </w14:textFill>
              </w:rPr>
              <w:br w:type="textWrapping"/>
            </w:r>
            <w:r>
              <w:rPr>
                <w:rFonts w:hint="eastAsia"/>
                <w:color w:val="000000" w:themeColor="text1"/>
                <w:lang w:val="en-US" w:eastAsia="zh-CN"/>
                <w14:textFill>
                  <w14:solidFill>
                    <w14:schemeClr w14:val="tx1"/>
                  </w14:solidFill>
                </w14:textFill>
              </w:rPr>
              <w:t>3.绳网：绳网绳子全部采用航海船用缆绳，中芯为镀铬钢丝外套胶管，外层再覆以变色锦纶编织绳，强度大，抗磨损，耐腐蚀，安全性能好，安全使用能达到十五年以上；所有螺丝均为不锈钢</w:t>
            </w:r>
          </w:p>
          <w:p>
            <w:pPr>
              <w:pStyle w:val="2"/>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儿童滑梯检</w:t>
            </w:r>
            <w:r>
              <w:rPr>
                <w:rFonts w:hint="eastAsia"/>
                <w:color w:val="000000" w:themeColor="text1"/>
                <w:lang w:eastAsia="zh-CN"/>
                <w14:textFill>
                  <w14:solidFill>
                    <w14:schemeClr w14:val="tx1"/>
                  </w14:solidFill>
                </w14:textFill>
              </w:rPr>
              <w:t>符合GB/T 27689-2011标准。</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5.</w:t>
            </w:r>
            <w:r>
              <w:rPr>
                <w:rFonts w:hint="eastAsia"/>
                <w:color w:val="000000" w:themeColor="text1"/>
                <w14:textFill>
                  <w14:solidFill>
                    <w14:schemeClr w14:val="tx1"/>
                  </w14:solidFill>
                </w14:textFill>
              </w:rPr>
              <w:t>网绳断裂强力、线密度符合GB/T8834-2016标准</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6.</w:t>
            </w:r>
            <w:r>
              <w:rPr>
                <w:rFonts w:hint="eastAsia"/>
                <w:color w:val="000000" w:themeColor="text1"/>
                <w14:textFill>
                  <w14:solidFill>
                    <w14:schemeClr w14:val="tx1"/>
                  </w14:solidFill>
                </w14:textFill>
              </w:rPr>
              <w:t>多功能连接扣符合国家强制性标准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提供多功能连接扣国家强制性产品CCC认证证书及提供网页查询材料</w:t>
            </w:r>
            <w:r>
              <w:rPr>
                <w:rFonts w:hint="eastAsia"/>
                <w:color w:val="000000" w:themeColor="text1"/>
                <w:lang w:eastAsia="zh-CN"/>
                <w14:textFill>
                  <w14:solidFill>
                    <w14:schemeClr w14:val="tx1"/>
                  </w14:solidFill>
                </w14:textFill>
              </w:rPr>
              <w:t>加盖供应商公章）</w:t>
            </w:r>
          </w:p>
          <w:p>
            <w:pPr>
              <w:pStyle w:val="2"/>
              <w:rPr>
                <w:rFonts w:hint="eastAsia" w:ascii="Calibri" w:hAnsi="Calibri" w:eastAsia="宋体" w:cs="宋体"/>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7.</w:t>
            </w:r>
            <w:r>
              <w:rPr>
                <w:rFonts w:hint="eastAsia"/>
                <w:color w:val="000000" w:themeColor="text1"/>
                <w14:textFill>
                  <w14:solidFill>
                    <w14:schemeClr w14:val="tx1"/>
                  </w14:solidFill>
                </w14:textFill>
              </w:rPr>
              <w:t>户外拓展类符合 GB/T34272- 2017《小型游乐设施安全规范》要求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 xml:space="preserve">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独木荡桥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"C:\\Users\\ADMINI~1\\AppData\\Local\\Temp\\ksohtml\\clip_image2.png"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206500" cy="1057910"/>
                  <wp:effectExtent l="0" t="0" r="12700" b="8890"/>
                  <wp:docPr id="1027" name="图片 2" descr="IMG_257"/>
                  <wp:cNvGraphicFramePr/>
                  <a:graphic xmlns:a="http://schemas.openxmlformats.org/drawingml/2006/main">
                    <a:graphicData uri="http://schemas.openxmlformats.org/drawingml/2006/picture">
                      <pic:pic xmlns:pic="http://schemas.openxmlformats.org/drawingml/2006/picture">
                        <pic:nvPicPr>
                          <pic:cNvPr id="1027" name="图片 2" descr="IMG_257"/>
                          <pic:cNvPicPr/>
                        </pic:nvPicPr>
                        <pic:blipFill>
                          <a:blip r:embed="rId5" cstate="print"/>
                          <a:srcRect/>
                          <a:stretch>
                            <a:fillRect/>
                          </a:stretch>
                        </pic:blipFill>
                        <pic:spPr>
                          <a:xfrm>
                            <a:off x="0" y="0"/>
                            <a:ext cx="1206500" cy="1057910"/>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1.规格尺寸：280*130*80cm立柱为100mm*100mm黄花梨木，经打磨批灰后，表面喷涂聚氨酯清漆，，符合</w:t>
            </w:r>
            <w:r>
              <w:rPr>
                <w:rFonts w:hint="eastAsia" w:ascii="宋体" w:hAnsi="宋体" w:eastAsia="宋体" w:cs="宋体"/>
                <w:color w:val="000000" w:themeColor="text1"/>
                <w:kern w:val="0"/>
                <w:sz w:val="21"/>
                <w:szCs w:val="21"/>
                <w:lang w:val="en-US" w:eastAsia="zh-CN"/>
                <w14:textFill>
                  <w14:solidFill>
                    <w14:schemeClr w14:val="tx1"/>
                  </w14:solidFill>
                </w14:textFill>
              </w:rPr>
              <w:t>GB 18581-2020标准,</w:t>
            </w:r>
            <w:r>
              <w:rPr>
                <w:rFonts w:hint="eastAsia"/>
                <w:color w:val="000000" w:themeColor="text1"/>
                <w:lang w:val="en-US" w:eastAsia="zh-CN"/>
                <w14:textFill>
                  <w14:solidFill>
                    <w14:schemeClr w14:val="tx1"/>
                  </w14:solidFill>
                </w14:textFill>
              </w:rPr>
              <w:t>防腐、防水能力达到十年以上强度大，抗磨损，耐腐蚀，安全性能好，安全使用能达到十五年以上；所有螺丝均为不锈钢</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木制品固化剂可溶性镉(Cd),铅(Pb),汞(Hg),砷(As),铬(Cr),钡(Ba),锑(Sb),硒(Se)符合GB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6675.4-2014标准规定要求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3.</w:t>
            </w:r>
            <w:r>
              <w:rPr>
                <w:rFonts w:hint="eastAsia"/>
                <w:color w:val="000000" w:themeColor="text1"/>
                <w14:textFill>
                  <w14:solidFill>
                    <w14:schemeClr w14:val="tx1"/>
                  </w14:solidFill>
                </w14:textFill>
              </w:rPr>
              <w:t>木制品油墨可溶性镉(Cd),铅(Pb),汞(Hg),砷(As),铬(Cr),钡(Ba),锑(Sb),硒(Se)符合GB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6675.4-2014标准规定要求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4.</w:t>
            </w:r>
            <w:r>
              <w:rPr>
                <w:rFonts w:hint="eastAsia"/>
                <w:color w:val="000000" w:themeColor="text1"/>
                <w14:textFill>
                  <w14:solidFill>
                    <w14:schemeClr w14:val="tx1"/>
                  </w14:solidFill>
                </w14:textFill>
              </w:rPr>
              <w:t>木制品稀释剂可溶性镉(Cd),铅(Pb),汞(Hg),砷(As),铬(Cr),钡(Ba),锑(Sb),硒(Se)符合GB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6675.4-2014标准规定要求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攀岩墙1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"C:\\Users\\ADMINI~1\\AppData\\Local\\Temp\\ksohtml\\clip_image9.png"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369060" cy="1048385"/>
                  <wp:effectExtent l="0" t="0" r="2540" b="18415"/>
                  <wp:docPr id="1028" name="图片 3" descr="IMG_258"/>
                  <wp:cNvGraphicFramePr/>
                  <a:graphic xmlns:a="http://schemas.openxmlformats.org/drawingml/2006/main">
                    <a:graphicData uri="http://schemas.openxmlformats.org/drawingml/2006/picture">
                      <pic:pic xmlns:pic="http://schemas.openxmlformats.org/drawingml/2006/picture">
                        <pic:nvPicPr>
                          <pic:cNvPr id="1028" name="图片 3" descr="IMG_258"/>
                          <pic:cNvPicPr/>
                        </pic:nvPicPr>
                        <pic:blipFill>
                          <a:blip r:embed="rId6" cstate="print"/>
                          <a:srcRect/>
                          <a:stretch>
                            <a:fillRect/>
                          </a:stretch>
                        </pic:blipFill>
                        <pic:spPr>
                          <a:xfrm>
                            <a:off x="0" y="0"/>
                            <a:ext cx="1369060" cy="1048385"/>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格尺寸3500*2400mm铁件：采用Ø48mm、Ø38mm、Ø32mm、Ø28mm，Ø25mm，2.0mm钢管，焊接采用氩弧焊及C02气体保护焊，整体加工成型后经专业技术人员进行除油、磷化、抛砂处理后，表面再经过静电粉末喷涂流水线高温固化.表面光滑，抗紫外线能力强，色彩鲜艳，不易脱落，耐腐蚀。镀锌钢管做框架结构表面上在铺厚度为1.5mm的PE板。</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所投产品镀锌管的抗拉强度符合 GB/T 228.1-2021 要求</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0" w:name="_GoBack"/>
            <w:bookmarkEnd w:id="0"/>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攀岩墙2</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"C:\\Users\\ADMINI~1\\AppData\\Local\\Temp\\ksohtml\\clip_image10.png"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226185" cy="857885"/>
                  <wp:effectExtent l="0" t="0" r="12065" b="18415"/>
                  <wp:docPr id="1029" name="图片 4" descr="IMG_259"/>
                  <wp:cNvGraphicFramePr/>
                  <a:graphic xmlns:a="http://schemas.openxmlformats.org/drawingml/2006/main">
                    <a:graphicData uri="http://schemas.openxmlformats.org/drawingml/2006/picture">
                      <pic:pic xmlns:pic="http://schemas.openxmlformats.org/drawingml/2006/picture">
                        <pic:nvPicPr>
                          <pic:cNvPr id="1029" name="图片 4" descr="IMG_259"/>
                          <pic:cNvPicPr/>
                        </pic:nvPicPr>
                        <pic:blipFill>
                          <a:blip r:embed="rId7" cstate="print"/>
                          <a:srcRect/>
                          <a:stretch>
                            <a:fillRect/>
                          </a:stretch>
                        </pic:blipFill>
                        <pic:spPr>
                          <a:xfrm>
                            <a:off x="0" y="0"/>
                            <a:ext cx="1226185" cy="857885"/>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0"/>
                <w:numId w:val="1"/>
              </w:numPr>
              <w:rPr>
                <w:rFonts w:hint="eastAsia" w:ascii="Calibri" w:hAnsi="Calibri" w:eastAsia="宋体" w:cs="宋体"/>
                <w:color w:val="000000" w:themeColor="text1"/>
                <w:kern w:val="2"/>
                <w:sz w:val="21"/>
                <w:szCs w:val="24"/>
                <w:lang w:val="en-US" w:eastAsia="zh-CN" w:bidi="ar-SA"/>
                <w14:textFill>
                  <w14:solidFill>
                    <w14:schemeClr w14:val="tx1"/>
                  </w14:solidFill>
                </w14:textFill>
              </w:rPr>
            </w:pPr>
            <w:r>
              <w:rPr>
                <w:rFonts w:hint="eastAsia" w:ascii="Calibri" w:hAnsi="Calibri" w:eastAsia="宋体" w:cs="宋体"/>
                <w:color w:val="000000" w:themeColor="text1"/>
                <w:kern w:val="2"/>
                <w:sz w:val="21"/>
                <w:szCs w:val="24"/>
                <w:lang w:val="en-US" w:eastAsia="zh-CN" w:bidi="ar-SA"/>
                <w14:textFill>
                  <w14:solidFill>
                    <w14:schemeClr w14:val="tx1"/>
                  </w14:solidFill>
                </w14:textFill>
              </w:rPr>
              <w:t>规格尺寸3000*2400mm铁件：采用Ø48mm、Ø38mm、Ø32mm、Ø28mm，Ø25mm，2.0mm钢管，焊接采用氩弧焊及C02气体保护焊，整体加工成型后经专业技术人员进行除油、磷化、抛砂处理后，表面再经过静电粉末喷涂流水线高温固化.表面光滑，抗紫外线能力强，色彩鲜艳，不易脱落，耐腐蚀。镀锌钢管做框架结构表面上在铺厚度为1.5mm的PE板。</w:t>
            </w:r>
          </w:p>
          <w:p>
            <w:pPr>
              <w:pStyle w:val="2"/>
              <w:rPr>
                <w:rFonts w:hint="eastAsia" w:ascii="宋体" w:hAnsi="宋体" w:eastAsia="宋体" w:cs="宋体"/>
                <w:i w:val="0"/>
                <w:color w:val="000000" w:themeColor="text1"/>
                <w:sz w:val="20"/>
                <w:szCs w:val="20"/>
                <w:u w:val="none"/>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所投产品镀锌管的抗拉强度符合 GB/T 228.1-2021 要求</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弧形梯桥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"C:\\Users\\ADMINI~1\\AppData\\Local\\Temp\\ksohtml\\clip_image5.png"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310005" cy="1111250"/>
                  <wp:effectExtent l="0" t="0" r="635" b="1270"/>
                  <wp:docPr id="1030" name="图片 5" descr="IMG_260"/>
                  <wp:cNvGraphicFramePr/>
                  <a:graphic xmlns:a="http://schemas.openxmlformats.org/drawingml/2006/main">
                    <a:graphicData uri="http://schemas.openxmlformats.org/drawingml/2006/picture">
                      <pic:pic xmlns:pic="http://schemas.openxmlformats.org/drawingml/2006/picture">
                        <pic:nvPicPr>
                          <pic:cNvPr id="1030" name="图片 5" descr="IMG_260"/>
                          <pic:cNvPicPr/>
                        </pic:nvPicPr>
                        <pic:blipFill>
                          <a:blip r:embed="rId8" cstate="print"/>
                          <a:srcRect/>
                          <a:stretch>
                            <a:fillRect/>
                          </a:stretch>
                        </pic:blipFill>
                        <pic:spPr>
                          <a:xfrm>
                            <a:off x="0" y="0"/>
                            <a:ext cx="1310005" cy="1111250"/>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1.规格尺寸：2*1*0.6cm黄花梨木，经打磨批灰后，表面喷涂聚氨酯清漆，，符合</w:t>
            </w:r>
            <w:r>
              <w:rPr>
                <w:rFonts w:hint="eastAsia" w:ascii="宋体" w:hAnsi="宋体" w:eastAsia="宋体" w:cs="宋体"/>
                <w:color w:val="000000" w:themeColor="text1"/>
                <w:kern w:val="0"/>
                <w:sz w:val="21"/>
                <w:szCs w:val="21"/>
                <w:lang w:val="en-US" w:eastAsia="zh-CN"/>
                <w14:textFill>
                  <w14:solidFill>
                    <w14:schemeClr w14:val="tx1"/>
                  </w14:solidFill>
                </w14:textFill>
              </w:rPr>
              <w:t>GB 18581-2020标准</w:t>
            </w:r>
            <w:r>
              <w:rPr>
                <w:rFonts w:hint="eastAsia"/>
                <w:color w:val="000000" w:themeColor="text1"/>
                <w:lang w:val="en-US" w:eastAsia="zh-CN"/>
                <w14:textFill>
                  <w14:solidFill>
                    <w14:schemeClr w14:val="tx1"/>
                  </w14:solidFill>
                </w14:textFill>
              </w:rPr>
              <w:t>，防腐、防水能力达到十年以上强度大，抗磨损，耐腐蚀，安全性能好，安全使用能达到十五年以上；所有螺丝均为不锈钢</w:t>
            </w:r>
          </w:p>
          <w:p>
            <w:pPr>
              <w:pStyle w:val="2"/>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五金件：可迁移元素中锑、钡、镉、铅、硒、砷、铬、汞八大金属含量符合</w:t>
            </w:r>
            <w:r>
              <w:rPr>
                <w:rFonts w:hint="eastAsia"/>
                <w:color w:val="000000" w:themeColor="text1"/>
                <w:lang w:val="en-US" w:eastAsia="zh-CN"/>
                <w14:textFill>
                  <w14:solidFill>
                    <w14:schemeClr w14:val="tx1"/>
                  </w14:solidFill>
                </w14:textFill>
              </w:rPr>
              <w:t>GB   6675.4-2014(玩具安全第四部分：特定元素的迁移）)</w:t>
            </w:r>
            <w:r>
              <w:rPr>
                <w:rFonts w:hint="eastAsia"/>
                <w:color w:val="000000" w:themeColor="text1"/>
                <w14:textFill>
                  <w14:solidFill>
                    <w14:schemeClr w14:val="tx1"/>
                  </w14:solidFill>
                </w14:textFill>
              </w:rPr>
              <w:t>标准要求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平衡桥</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"C:\\Users\\ADMINI~1\\AppData\\Local\\Temp\\ksohtml\\clip_image6.png"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267460" cy="945515"/>
                  <wp:effectExtent l="0" t="0" r="12700" b="14605"/>
                  <wp:docPr id="1031" name="图片 6" descr="IMG_261"/>
                  <wp:cNvGraphicFramePr/>
                  <a:graphic xmlns:a="http://schemas.openxmlformats.org/drawingml/2006/main">
                    <a:graphicData uri="http://schemas.openxmlformats.org/drawingml/2006/picture">
                      <pic:pic xmlns:pic="http://schemas.openxmlformats.org/drawingml/2006/picture">
                        <pic:nvPicPr>
                          <pic:cNvPr id="1031" name="图片 6" descr="IMG_261"/>
                          <pic:cNvPicPr/>
                        </pic:nvPicPr>
                        <pic:blipFill>
                          <a:blip r:embed="rId9" cstate="print"/>
                          <a:srcRect/>
                          <a:stretch>
                            <a:fillRect/>
                          </a:stretch>
                        </pic:blipFill>
                        <pic:spPr>
                          <a:xfrm>
                            <a:off x="0" y="0"/>
                            <a:ext cx="1267460" cy="945515"/>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1.规格尺寸：200*40*30cm巴蒂木，经打磨批灰后，表面喷涂聚氨酯清漆，符合</w:t>
            </w:r>
            <w:r>
              <w:rPr>
                <w:rFonts w:hint="eastAsia" w:ascii="宋体" w:hAnsi="宋体" w:eastAsia="宋体" w:cs="宋体"/>
                <w:color w:val="000000" w:themeColor="text1"/>
                <w:kern w:val="0"/>
                <w:sz w:val="21"/>
                <w:szCs w:val="21"/>
                <w:lang w:val="en-US" w:eastAsia="zh-CN"/>
                <w14:textFill>
                  <w14:solidFill>
                    <w14:schemeClr w14:val="tx1"/>
                  </w14:solidFill>
                </w14:textFill>
              </w:rPr>
              <w:t>GB 18581-2020标准</w:t>
            </w:r>
            <w:r>
              <w:rPr>
                <w:rFonts w:hint="eastAsia"/>
                <w:color w:val="000000" w:themeColor="text1"/>
                <w:lang w:val="en-US" w:eastAsia="zh-CN"/>
                <w14:textFill>
                  <w14:solidFill>
                    <w14:schemeClr w14:val="tx1"/>
                  </w14:solidFill>
                </w14:textFill>
              </w:rPr>
              <w:t>，防腐、防水能力达到十年以上强度大，抗磨损，耐腐蚀，安全性能好，安全使用能达到十五年以上；所有螺丝均为不锈钢</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default"/>
                <w:color w:val="000000" w:themeColor="text1"/>
                <w:lang w:val="en-US"/>
                <w14:textFill>
                  <w14:solidFill>
                    <w14:schemeClr w14:val="tx1"/>
                  </w14:solidFill>
                </w14:textFill>
              </w:rPr>
              <w:t>2.</w:t>
            </w:r>
            <w:r>
              <w:rPr>
                <w:rFonts w:hint="eastAsia"/>
                <w:color w:val="000000" w:themeColor="text1"/>
                <w:lang w:eastAsia="zh-CN"/>
                <w14:textFill>
                  <w14:solidFill>
                    <w14:schemeClr w14:val="tx1"/>
                  </w14:solidFill>
                </w14:textFill>
              </w:rPr>
              <w:t>巴蒂木</w:t>
            </w:r>
            <w:r>
              <w:rPr>
                <w:rFonts w:hint="eastAsia"/>
                <w:color w:val="000000" w:themeColor="text1"/>
                <w14:textFill>
                  <w14:solidFill>
                    <w14:schemeClr w14:val="tx1"/>
                  </w14:solidFill>
                </w14:textFill>
              </w:rPr>
              <w:t>符合GB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6675.4-2014标准规定要求：可溶性镉(Cd),铅(Pb),汞(Hg),砷(As),铬(Cr),钡(Ba),锑(Sb),硒(Se)检测合格</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户外球道</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"C:\\Users\\ADMINI~1\\AppData\\Local\\Temp\\ksohtml\\clip_image11.png"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267460" cy="707390"/>
                  <wp:effectExtent l="0" t="0" r="12700" b="8890"/>
                  <wp:docPr id="1032" name="图片 7" descr="IMG_262"/>
                  <wp:cNvGraphicFramePr/>
                  <a:graphic xmlns:a="http://schemas.openxmlformats.org/drawingml/2006/main">
                    <a:graphicData uri="http://schemas.openxmlformats.org/drawingml/2006/picture">
                      <pic:pic xmlns:pic="http://schemas.openxmlformats.org/drawingml/2006/picture">
                        <pic:nvPicPr>
                          <pic:cNvPr id="1032" name="图片 7" descr="IMG_262"/>
                          <pic:cNvPicPr/>
                        </pic:nvPicPr>
                        <pic:blipFill>
                          <a:blip r:embed="rId10" cstate="print"/>
                          <a:srcRect/>
                          <a:stretch>
                            <a:fillRect/>
                          </a:stretch>
                        </pic:blipFill>
                        <pic:spPr>
                          <a:xfrm>
                            <a:off x="0" y="0"/>
                            <a:ext cx="1267460" cy="707390"/>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尺寸：3500*1200mm材质：桦木背板，PE面板，PVC管通亚克力板材，齿轮球道：将小球投掷进入收集漏斗处，小球在重力作用下沿透明滑道至齿轮处，旋转左侧手摇柄装置内齿轮旋转，小球沿齿轮间隙逐级下降至底部球盒内。分流球道：将小球通过右侧入球口加入球道，小球在风机的作用下沿透明管上行至蓝色轨道处，小球在重力作用下沿双线轨道下落至黄色分流箱内通过手摇柄左右分流，部分小球向右进入概率分流模块，分流后落入收集管内。另一部分向右上行通过分流轨道后部分沿左侧螺旋管下降，部分向右进入右侧斜坡阶梯模块。</w:t>
            </w:r>
          </w:p>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val="en-US"/>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PE板材料通过检测符合</w:t>
            </w:r>
            <w:r>
              <w:rPr>
                <w:rFonts w:hint="eastAsia" w:ascii="Calibri" w:hAnsi="Calibri" w:eastAsia="宋体" w:cs="宋体"/>
                <w:color w:val="000000" w:themeColor="text1"/>
                <w:kern w:val="2"/>
                <w:sz w:val="21"/>
                <w:szCs w:val="24"/>
                <w:lang w:val="en-US" w:eastAsia="zh-CN" w:bidi="ar-SA"/>
                <w14:textFill>
                  <w14:solidFill>
                    <w14:schemeClr w14:val="tx1"/>
                  </w14:solidFill>
                </w14:textFill>
              </w:rPr>
              <w:t>GB 6675.4-2014</w:t>
            </w:r>
            <w:r>
              <w:rPr>
                <w:rFonts w:hint="eastAsia"/>
                <w:color w:val="000000" w:themeColor="text1"/>
                <w:lang w:val="en-US" w:eastAsia="zh-CN"/>
                <w14:textFill>
                  <w14:solidFill>
                    <w14:schemeClr w14:val="tx1"/>
                  </w14:solidFill>
                </w14:textFill>
              </w:rPr>
              <w:t>检测标准，亚克力板材检测符合</w:t>
            </w:r>
            <w:r>
              <w:rPr>
                <w:rFonts w:hint="eastAsia" w:ascii="Calibri" w:hAnsi="Calibri" w:eastAsia="宋体" w:cs="宋体"/>
                <w:color w:val="000000" w:themeColor="text1"/>
                <w:kern w:val="2"/>
                <w:sz w:val="21"/>
                <w:szCs w:val="24"/>
                <w:lang w:val="en-US" w:eastAsia="zh-CN" w:bidi="ar-SA"/>
                <w14:textFill>
                  <w14:solidFill>
                    <w14:schemeClr w14:val="tx1"/>
                  </w14:solidFill>
                </w14:textFill>
              </w:rPr>
              <w:t>GB 6675.4-2014</w:t>
            </w:r>
            <w:r>
              <w:rPr>
                <w:rFonts w:hint="eastAsia"/>
                <w:color w:val="000000" w:themeColor="text1"/>
                <w:lang w:val="en-US" w:eastAsia="zh-CN"/>
                <w14:textFill>
                  <w14:solidFill>
                    <w14:schemeClr w14:val="tx1"/>
                  </w14:solidFill>
                </w14:textFill>
              </w:rPr>
              <w:t>检测标准，桦木板通过检测符合</w:t>
            </w:r>
            <w:r>
              <w:rPr>
                <w:rFonts w:hint="eastAsia" w:ascii="Calibri" w:hAnsi="Calibri" w:eastAsia="宋体" w:cs="宋体"/>
                <w:color w:val="000000" w:themeColor="text1"/>
                <w:kern w:val="2"/>
                <w:sz w:val="21"/>
                <w:szCs w:val="24"/>
                <w:lang w:val="en-US" w:eastAsia="zh-CN" w:bidi="ar-SA"/>
                <w14:textFill>
                  <w14:solidFill>
                    <w14:schemeClr w14:val="tx1"/>
                  </w14:solidFill>
                </w14:textFill>
              </w:rPr>
              <w:t>GB 6675.4-2014</w:t>
            </w:r>
            <w:r>
              <w:rPr>
                <w:rFonts w:hint="eastAsia"/>
                <w:color w:val="000000" w:themeColor="text1"/>
                <w:lang w:val="en-US" w:eastAsia="zh-CN"/>
                <w14:textFill>
                  <w14:solidFill>
                    <w14:schemeClr w14:val="tx1"/>
                  </w14:solidFill>
                </w14:textFill>
              </w:rPr>
              <w:t>检测标准。（</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户外音乐墙</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fldChar w:fldCharType="begin"/>
            </w:r>
            <w:r>
              <w:rPr>
                <w:rFonts w:hint="eastAsia" w:ascii="宋体" w:hAnsi="宋体" w:eastAsia="宋体" w:cs="宋体"/>
                <w:i w:val="0"/>
                <w:color w:val="000000"/>
                <w:kern w:val="0"/>
                <w:sz w:val="24"/>
                <w:szCs w:val="24"/>
                <w:u w:val="none"/>
                <w:lang w:val="en-US" w:eastAsia="zh-CN"/>
              </w:rPr>
              <w:instrText xml:space="preserve">INCLUDEPICTURE \d "C:\\Users\\ADMINI~1\\AppData\\Local\\Temp\\ksohtml\\clip_image12.png" \* MERGEFORMATINET </w:instrText>
            </w:r>
            <w:r>
              <w:rPr>
                <w:rFonts w:hint="eastAsia" w:ascii="宋体" w:hAnsi="宋体" w:eastAsia="宋体" w:cs="宋体"/>
                <w:i w:val="0"/>
                <w:color w:val="000000"/>
                <w:kern w:val="0"/>
                <w:sz w:val="24"/>
                <w:szCs w:val="24"/>
                <w:u w:val="none"/>
                <w:lang w:val="en-US" w:eastAsia="zh-CN"/>
              </w:rPr>
              <w:fldChar w:fldCharType="separate"/>
            </w:r>
            <w:r>
              <w:rPr>
                <w:rFonts w:hint="eastAsia" w:ascii="宋体" w:hAnsi="宋体" w:eastAsia="宋体" w:cs="宋体"/>
                <w:i w:val="0"/>
                <w:color w:val="000000"/>
                <w:kern w:val="0"/>
                <w:sz w:val="24"/>
                <w:szCs w:val="24"/>
                <w:u w:val="none"/>
                <w:lang w:val="en-US" w:eastAsia="zh-CN"/>
              </w:rPr>
              <w:drawing>
                <wp:inline distT="0" distB="0" distL="0" distR="0">
                  <wp:extent cx="1324610" cy="744855"/>
                  <wp:effectExtent l="0" t="0" r="1270" b="1905"/>
                  <wp:docPr id="1033" name="图片 8" descr="IMG_263"/>
                  <wp:cNvGraphicFramePr/>
                  <a:graphic xmlns:a="http://schemas.openxmlformats.org/drawingml/2006/main">
                    <a:graphicData uri="http://schemas.openxmlformats.org/drawingml/2006/picture">
                      <pic:pic xmlns:pic="http://schemas.openxmlformats.org/drawingml/2006/picture">
                        <pic:nvPicPr>
                          <pic:cNvPr id="1033" name="图片 8" descr="IMG_263"/>
                          <pic:cNvPicPr/>
                        </pic:nvPicPr>
                        <pic:blipFill>
                          <a:blip r:embed="rId11" cstate="print"/>
                          <a:srcRect/>
                          <a:stretch>
                            <a:fillRect/>
                          </a:stretch>
                        </pic:blipFill>
                        <pic:spPr>
                          <a:xfrm>
                            <a:off x="0" y="0"/>
                            <a:ext cx="1324610" cy="744855"/>
                          </a:xfrm>
                          <a:prstGeom prst="rect">
                            <a:avLst/>
                          </a:prstGeom>
                          <a:ln>
                            <a:noFill/>
                          </a:ln>
                        </pic:spPr>
                      </pic:pic>
                    </a:graphicData>
                  </a:graphic>
                </wp:inline>
              </w:drawing>
            </w:r>
            <w:r>
              <w:rPr>
                <w:rFonts w:hint="eastAsia" w:ascii="宋体" w:hAnsi="宋体" w:eastAsia="宋体" w:cs="宋体"/>
                <w:i w:val="0"/>
                <w:color w:val="000000"/>
                <w:kern w:val="0"/>
                <w:sz w:val="24"/>
                <w:szCs w:val="24"/>
                <w:u w:val="none"/>
                <w:lang w:val="en-US" w:eastAsia="zh-CN"/>
              </w:rPr>
              <w:fldChar w:fldCharType="end"/>
            </w:r>
          </w:p>
        </w:tc>
        <w:tc>
          <w:tcPr>
            <w:tcW w:w="3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尺寸2500*1200mm敲琴：材质：桦木背板，PE面板，PVC管通亚克力板材，墙面包含片状敲琴和管状敲琴，幼儿使用琴锤在琴片上敲击根据敲击琴片的长度不同，琴片发出的音调也不同，通过规律的敲击琴片就可以演奏悦耳的歌曲。传声筒：幼儿在一个传声筒小声说话，另一个幼儿在传声筒另一侧倾听，感受固体传声的传声效果。</w:t>
            </w:r>
          </w:p>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val="en-US"/>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PVC 管通过检测符合</w:t>
            </w:r>
            <w:r>
              <w:rPr>
                <w:rFonts w:hint="eastAsia" w:ascii="Calibri" w:hAnsi="Calibri" w:eastAsia="宋体" w:cs="宋体"/>
                <w:color w:val="000000" w:themeColor="text1"/>
                <w:kern w:val="2"/>
                <w:sz w:val="21"/>
                <w:szCs w:val="24"/>
                <w:lang w:val="en-US" w:eastAsia="zh-CN" w:bidi="ar-SA"/>
                <w14:textFill>
                  <w14:solidFill>
                    <w14:schemeClr w14:val="tx1"/>
                  </w14:solidFill>
                </w14:textFill>
              </w:rPr>
              <w:t>GB 6675.4-2014</w:t>
            </w:r>
            <w:r>
              <w:rPr>
                <w:rFonts w:hint="eastAsia"/>
                <w:color w:val="000000" w:themeColor="text1"/>
                <w:lang w:val="en-US" w:eastAsia="zh-CN"/>
                <w14:textFill>
                  <w14:solidFill>
                    <w14:schemeClr w14:val="tx1"/>
                  </w14:solidFill>
                </w14:textFill>
              </w:rPr>
              <w:t>检测标准，亚克力板材通过检测符合</w:t>
            </w:r>
            <w:r>
              <w:rPr>
                <w:rFonts w:hint="eastAsia" w:ascii="Calibri" w:hAnsi="Calibri" w:eastAsia="宋体" w:cs="宋体"/>
                <w:color w:val="000000" w:themeColor="text1"/>
                <w:kern w:val="2"/>
                <w:sz w:val="21"/>
                <w:szCs w:val="24"/>
                <w:lang w:val="en-US" w:eastAsia="zh-CN" w:bidi="ar-SA"/>
                <w14:textFill>
                  <w14:solidFill>
                    <w14:schemeClr w14:val="tx1"/>
                  </w14:solidFill>
                </w14:textFill>
              </w:rPr>
              <w:t>GB 6675.4-2014</w:t>
            </w:r>
            <w:r>
              <w:rPr>
                <w:rFonts w:hint="eastAsia"/>
                <w:color w:val="000000" w:themeColor="text1"/>
                <w:lang w:val="en-US" w:eastAsia="zh-CN"/>
                <w14:textFill>
                  <w14:solidFill>
                    <w14:schemeClr w14:val="tx1"/>
                  </w14:solidFill>
                </w14:textFill>
              </w:rPr>
              <w:t>检测标准。（</w:t>
            </w:r>
            <w:r>
              <w:rPr>
                <w:rFonts w:hint="eastAsia"/>
                <w:color w:val="000000" w:themeColor="text1"/>
                <w:lang w:eastAsia="zh-CN"/>
                <w14:textFill>
                  <w14:solidFill>
                    <w14:schemeClr w14:val="tx1"/>
                  </w14:solidFill>
                </w14:textFill>
              </w:rPr>
              <w:t>提供</w:t>
            </w:r>
            <w:r>
              <w:rPr>
                <w:rFonts w:hint="eastAsia"/>
                <w:color w:val="000000" w:themeColor="text1"/>
                <w:lang w:val="en-US" w:eastAsia="zh-CN"/>
                <w14:textFill>
                  <w14:solidFill>
                    <w14:schemeClr w14:val="tx1"/>
                  </w14:solidFill>
                </w14:textFill>
              </w:rPr>
              <w:t>经国家认可的检测机构出具的检测合格报告</w:t>
            </w:r>
            <w:r>
              <w:rPr>
                <w:rFonts w:hint="eastAsia"/>
                <w:color w:val="000000" w:themeColor="text1"/>
                <w:lang w:eastAsia="zh-CN"/>
                <w14:textFill>
                  <w14:solidFill>
                    <w14:schemeClr w14:val="tx1"/>
                  </w14:solidFill>
                </w14:textFill>
              </w:rPr>
              <w:t>，加盖供应商公章</w:t>
            </w:r>
            <w:r>
              <w:rPr>
                <w:rFonts w:hint="eastAsia"/>
                <w:color w:val="000000" w:themeColor="text1"/>
                <w:lang w:val="en-US" w:eastAsia="zh-CN"/>
                <w14:textFill>
                  <w14:solidFill>
                    <w14:schemeClr w14:val="tx1"/>
                  </w14:solidFill>
                </w14:textFill>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套</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56F2C"/>
    <w:rsid w:val="FF6DF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7">
    <w:name w:val="font8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1983</Words>
  <Characters>2536</Characters>
  <Paragraphs>79</Paragraphs>
  <TotalTime>2</TotalTime>
  <ScaleCrop>false</ScaleCrop>
  <LinksUpToDate>false</LinksUpToDate>
  <CharactersWithSpaces>2565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2024-12-11T07:46:00Z</dcterms:created>
  <dc:creator>二幼</dc:creator>
  <cp:lastModifiedBy>user</cp:lastModifiedBy>
  <dcterms:modified xsi:type="dcterms:W3CDTF">2024-12-30T11:03:00Z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9A7C2A8CD038CBAE640D7267FDBF5BDE</vt:lpwstr>
  </property>
</Properties>
</file>