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A03F5">
      <w:pPr>
        <w:spacing w:line="600" w:lineRule="exact"/>
        <w:jc w:val="center"/>
        <w:outlineLvl w:val="0"/>
        <w:rPr>
          <w:rFonts w:ascii="方正小标宋简体" w:hAnsi="宋体" w:eastAsia="方正小标宋简体"/>
          <w:sz w:val="72"/>
          <w:szCs w:val="72"/>
        </w:rPr>
      </w:pPr>
      <w:bookmarkStart w:id="0" w:name="_Toc15306267"/>
    </w:p>
    <w:p w14:paraId="2EEC3FEF">
      <w:pPr>
        <w:spacing w:line="600" w:lineRule="exact"/>
        <w:jc w:val="center"/>
        <w:outlineLvl w:val="0"/>
        <w:rPr>
          <w:rFonts w:ascii="方正小标宋简体" w:hAnsi="宋体" w:eastAsia="方正小标宋简体"/>
          <w:sz w:val="72"/>
          <w:szCs w:val="72"/>
        </w:rPr>
      </w:pPr>
    </w:p>
    <w:p w14:paraId="3F4C1894">
      <w:pPr>
        <w:spacing w:line="600" w:lineRule="exact"/>
        <w:jc w:val="center"/>
        <w:outlineLvl w:val="0"/>
        <w:rPr>
          <w:rFonts w:ascii="方正小标宋简体" w:hAnsi="宋体" w:eastAsia="方正小标宋简体"/>
          <w:sz w:val="72"/>
          <w:szCs w:val="72"/>
        </w:rPr>
      </w:pPr>
    </w:p>
    <w:p w14:paraId="7CBE43FD">
      <w:pPr>
        <w:spacing w:line="600" w:lineRule="exact"/>
        <w:jc w:val="center"/>
        <w:outlineLvl w:val="0"/>
        <w:rPr>
          <w:rFonts w:ascii="方正小标宋简体" w:hAnsi="宋体" w:eastAsia="方正小标宋简体"/>
          <w:sz w:val="72"/>
          <w:szCs w:val="72"/>
        </w:rPr>
      </w:pPr>
    </w:p>
    <w:p w14:paraId="20321819">
      <w:pPr>
        <w:adjustRightInd w:val="0"/>
        <w:snapToGrid w:val="0"/>
        <w:spacing w:line="360" w:lineRule="auto"/>
        <w:jc w:val="center"/>
        <w:outlineLvl w:val="0"/>
        <w:rPr>
          <w:rFonts w:ascii="方正小标宋简体" w:hAnsi="方正小标宋简体" w:eastAsia="方正小标宋简体" w:cs="方正小标宋简体"/>
          <w:sz w:val="72"/>
          <w:szCs w:val="72"/>
        </w:rPr>
      </w:pPr>
    </w:p>
    <w:bookmarkEnd w:id="0"/>
    <w:p w14:paraId="05CA4497">
      <w:pPr>
        <w:jc w:val="center"/>
        <w:rPr>
          <w:rFonts w:hint="eastAsia" w:ascii="方正小标宋_GBK" w:hAnsi="方正小标宋_GBK" w:eastAsia="方正小标宋_GBK" w:cs="方正小标宋_GBK"/>
          <w:color w:val="000000"/>
          <w:sz w:val="72"/>
          <w:szCs w:val="72"/>
        </w:rPr>
      </w:pPr>
      <w:r>
        <w:rPr>
          <w:rFonts w:hint="eastAsia" w:ascii="方正小标宋_GBK" w:hAnsi="方正小标宋_GBK" w:eastAsia="方正小标宋_GBK" w:cs="方正小标宋_GBK"/>
          <w:color w:val="000000"/>
          <w:sz w:val="72"/>
          <w:szCs w:val="72"/>
        </w:rPr>
        <w:t>攀枝花市西区第二幼儿园2021年度决算</w:t>
      </w:r>
    </w:p>
    <w:p w14:paraId="69AAC98C">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方正小标宋_GBK" w:hAnsi="方正小标宋_GBK" w:eastAsia="方正小标宋_GBK" w:cs="方正小标宋_GBK"/>
          <w:color w:val="000000"/>
          <w:sz w:val="36"/>
          <w:szCs w:val="36"/>
          <w:lang w:val="en-US" w:eastAsia="zh-CN"/>
        </w:rPr>
        <w:t>目录</w:t>
      </w:r>
    </w:p>
    <w:p w14:paraId="42077B89">
      <w:pPr>
        <w:widowControl/>
        <w:jc w:val="center"/>
        <w:rPr>
          <w:rFonts w:ascii="黑体" w:hAnsi="黑体" w:eastAsia="黑体" w:cstheme="minorBidi"/>
          <w:sz w:val="28"/>
          <w:szCs w:val="28"/>
        </w:rPr>
      </w:pPr>
    </w:p>
    <w:p w14:paraId="1805D49A">
      <w:pPr>
        <w:pStyle w:val="10"/>
        <w:rPr>
          <w:rFonts w:hint="eastAsia" w:ascii="黑体" w:hAnsi="黑体" w:eastAsia="黑体" w:cs="黑体"/>
          <w:sz w:val="32"/>
          <w:szCs w:val="32"/>
        </w:rPr>
      </w:pPr>
      <w:r>
        <w:rPr>
          <w:rFonts w:hint="eastAsia" w:ascii="黑体" w:hAnsi="黑体" w:eastAsia="黑体" w:cs="黑体"/>
          <w:sz w:val="32"/>
          <w:szCs w:val="32"/>
        </w:rPr>
        <w:t>公开时间：2022年10月8日</w:t>
      </w:r>
    </w:p>
    <w:p w14:paraId="0110F944"/>
    <w:p w14:paraId="46441F5C">
      <w:pPr>
        <w:pStyle w:val="10"/>
        <w:adjustRightInd w:val="0"/>
        <w:snapToGrid w:val="0"/>
        <w:spacing w:before="0" w:line="440" w:lineRule="exact"/>
        <w:jc w:val="left"/>
        <w:rPr>
          <w:rFonts w:hint="eastAsia" w:ascii="黑体" w:hAnsi="黑体" w:eastAsia="黑体" w:cs="黑体"/>
          <w:color w:val="000000"/>
          <w:kern w:val="2"/>
          <w:sz w:val="32"/>
          <w:szCs w:val="32"/>
          <w:lang w:val="en-US" w:eastAsia="zh-CN" w:bidi="ar-SA"/>
        </w:rPr>
      </w:pPr>
      <w:bookmarkStart w:id="1" w:name="_Toc15396599"/>
      <w:bookmarkStart w:id="2" w:name="_Toc15377196"/>
      <w:r>
        <w:rPr>
          <w:rFonts w:hint="eastAsia" w:ascii="黑体" w:hAnsi="黑体" w:eastAsia="黑体" w:cs="黑体"/>
          <w:color w:val="000000"/>
          <w:kern w:val="2"/>
          <w:sz w:val="32"/>
          <w:szCs w:val="32"/>
          <w:lang w:val="en-US" w:eastAsia="zh-CN" w:bidi="ar-SA"/>
        </w:rPr>
        <w:t>第一部分 单位概况</w:t>
      </w:r>
      <w:r>
        <w:rPr>
          <w:rFonts w:hint="eastAsia" w:ascii="黑体" w:hAnsi="黑体" w:eastAsia="黑体" w:cs="黑体"/>
          <w:color w:val="000000"/>
          <w:kern w:val="2"/>
          <w:sz w:val="32"/>
          <w:szCs w:val="32"/>
          <w:lang w:val="en-US" w:eastAsia="zh-CN" w:bidi="ar-SA"/>
        </w:rPr>
        <w:tab/>
      </w:r>
      <w:r>
        <w:rPr>
          <w:rFonts w:hint="eastAsia" w:ascii="黑体" w:hAnsi="黑体" w:eastAsia="黑体" w:cs="黑体"/>
          <w:color w:val="000000"/>
          <w:kern w:val="2"/>
          <w:sz w:val="32"/>
          <w:szCs w:val="32"/>
          <w:lang w:val="en-US" w:eastAsia="zh-CN" w:bidi="ar-SA"/>
        </w:rPr>
        <w:t>4</w:t>
      </w:r>
    </w:p>
    <w:p w14:paraId="4AA8EEB3">
      <w:pPr>
        <w:pStyle w:val="11"/>
        <w:adjustRightInd w:val="0"/>
        <w:snapToGrid w:val="0"/>
        <w:spacing w:line="440" w:lineRule="exact"/>
        <w:jc w:val="left"/>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一、职能简介...</w:t>
      </w:r>
      <w:r>
        <w:rPr>
          <w:rFonts w:hint="eastAsia" w:ascii="楷体_GB2312" w:hAnsi="楷体_GB2312" w:eastAsia="楷体_GB2312" w:cs="楷体_GB2312"/>
          <w:color w:val="000000"/>
          <w:kern w:val="2"/>
          <w:sz w:val="32"/>
          <w:szCs w:val="32"/>
          <w:lang w:val="en-US" w:eastAsia="zh-CN" w:bidi="ar-SA"/>
        </w:rPr>
        <w:tab/>
      </w:r>
      <w:r>
        <w:rPr>
          <w:rFonts w:hint="eastAsia" w:ascii="楷体_GB2312" w:hAnsi="楷体_GB2312" w:eastAsia="楷体_GB2312" w:cs="楷体_GB2312"/>
          <w:color w:val="000000"/>
          <w:kern w:val="2"/>
          <w:sz w:val="32"/>
          <w:szCs w:val="32"/>
          <w:lang w:val="en-US" w:eastAsia="zh-CN" w:bidi="ar-SA"/>
        </w:rPr>
        <w:t>4</w:t>
      </w:r>
    </w:p>
    <w:p w14:paraId="3DE45604">
      <w:pPr>
        <w:pStyle w:val="11"/>
        <w:adjustRightInd w:val="0"/>
        <w:snapToGrid w:val="0"/>
        <w:spacing w:line="440" w:lineRule="exact"/>
        <w:jc w:val="left"/>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二、2021年重点工作完成情况</w:t>
      </w:r>
      <w:r>
        <w:rPr>
          <w:rFonts w:hint="eastAsia" w:ascii="楷体_GB2312" w:hAnsi="楷体_GB2312" w:eastAsia="楷体_GB2312" w:cs="楷体_GB2312"/>
          <w:color w:val="000000"/>
          <w:kern w:val="2"/>
          <w:sz w:val="32"/>
          <w:szCs w:val="32"/>
          <w:lang w:val="en-US" w:eastAsia="zh-CN" w:bidi="ar-SA"/>
        </w:rPr>
        <w:tab/>
      </w:r>
      <w:r>
        <w:rPr>
          <w:rFonts w:hint="eastAsia" w:ascii="楷体_GB2312" w:hAnsi="楷体_GB2312" w:eastAsia="楷体_GB2312" w:cs="楷体_GB2312"/>
          <w:color w:val="000000"/>
          <w:kern w:val="2"/>
          <w:sz w:val="32"/>
          <w:szCs w:val="32"/>
          <w:lang w:val="en-US" w:eastAsia="zh-CN" w:bidi="ar-SA"/>
        </w:rPr>
        <w:t>5</w:t>
      </w:r>
    </w:p>
    <w:p w14:paraId="4A21FEFC">
      <w:pPr>
        <w:pStyle w:val="11"/>
        <w:adjustRightInd w:val="0"/>
        <w:snapToGrid w:val="0"/>
        <w:spacing w:line="440" w:lineRule="exact"/>
        <w:jc w:val="left"/>
        <w:rPr>
          <w:rFonts w:hint="default"/>
          <w:lang w:val="en-US" w:eastAsia="zh-CN"/>
        </w:rPr>
      </w:pPr>
      <w:r>
        <w:rPr>
          <w:rFonts w:hint="eastAsia" w:ascii="楷体_GB2312" w:hAnsi="楷体_GB2312" w:eastAsia="楷体_GB2312" w:cs="楷体_GB2312"/>
          <w:color w:val="000000"/>
          <w:kern w:val="2"/>
          <w:sz w:val="32"/>
          <w:szCs w:val="32"/>
          <w:lang w:val="en-US" w:eastAsia="zh-CN" w:bidi="ar-SA"/>
        </w:rPr>
        <w:t>三、机构设置情况</w:t>
      </w:r>
      <w:r>
        <w:rPr>
          <w:rFonts w:hint="eastAsia" w:ascii="楷体_GB2312" w:hAnsi="楷体_GB2312" w:eastAsia="楷体_GB2312" w:cs="楷体_GB2312"/>
          <w:color w:val="000000"/>
          <w:kern w:val="2"/>
          <w:sz w:val="32"/>
          <w:szCs w:val="32"/>
          <w:lang w:val="en-US" w:eastAsia="zh-CN" w:bidi="ar-SA"/>
        </w:rPr>
        <w:tab/>
      </w:r>
      <w:r>
        <w:rPr>
          <w:rFonts w:hint="eastAsia" w:ascii="楷体_GB2312" w:hAnsi="楷体_GB2312" w:eastAsia="楷体_GB2312" w:cs="楷体_GB2312"/>
          <w:color w:val="000000"/>
          <w:kern w:val="2"/>
          <w:sz w:val="32"/>
          <w:szCs w:val="32"/>
          <w:lang w:val="en-US" w:eastAsia="zh-CN" w:bidi="ar-SA"/>
        </w:rPr>
        <w:t>7</w:t>
      </w:r>
    </w:p>
    <w:p w14:paraId="2C22543F">
      <w:pPr>
        <w:pStyle w:val="10"/>
        <w:adjustRightInd w:val="0"/>
        <w:snapToGrid w:val="0"/>
        <w:spacing w:before="0" w:line="440" w:lineRule="exact"/>
        <w:jc w:val="left"/>
        <w:rPr>
          <w:rFonts w:hint="eastAsia" w:ascii="方正小标宋_GBK" w:hAnsi="方正小标宋_GBK" w:eastAsia="方正小标宋_GBK" w:cs="方正小标宋_GBK"/>
          <w:sz w:val="44"/>
          <w:szCs w:val="44"/>
        </w:rPr>
      </w:pPr>
      <w:r>
        <w:rPr>
          <w:rFonts w:hint="eastAsia" w:ascii="黑体" w:hAnsi="黑体" w:eastAsia="黑体" w:cs="黑体"/>
          <w:color w:val="000000"/>
          <w:kern w:val="2"/>
          <w:sz w:val="32"/>
          <w:szCs w:val="32"/>
          <w:lang w:val="en-US" w:eastAsia="zh-CN" w:bidi="ar-SA"/>
        </w:rPr>
        <w:t>第二部分 2021年度单位决算情况说明.</w:t>
      </w:r>
      <w:r>
        <w:rPr>
          <w:rFonts w:hint="eastAsia" w:ascii="黑体" w:hAnsi="黑体" w:eastAsia="黑体" w:cs="黑体"/>
          <w:color w:val="000000"/>
          <w:kern w:val="2"/>
          <w:sz w:val="32"/>
          <w:szCs w:val="32"/>
          <w:lang w:val="en-US" w:eastAsia="zh-CN" w:bidi="ar-SA"/>
        </w:rPr>
        <w:tab/>
      </w:r>
      <w:r>
        <w:rPr>
          <w:rFonts w:hint="eastAsia" w:ascii="黑体" w:hAnsi="黑体" w:eastAsia="黑体" w:cs="黑体"/>
          <w:color w:val="000000"/>
          <w:kern w:val="2"/>
          <w:sz w:val="32"/>
          <w:szCs w:val="32"/>
          <w:lang w:val="en-US" w:eastAsia="zh-CN" w:bidi="ar-SA"/>
        </w:rPr>
        <w:t>8</w:t>
      </w:r>
    </w:p>
    <w:p w14:paraId="35CA2E52">
      <w:pPr>
        <w:pStyle w:val="11"/>
        <w:adjustRightInd w:val="0"/>
        <w:snapToGrid w:val="0"/>
        <w:spacing w:line="440" w:lineRule="exact"/>
        <w:jc w:val="left"/>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一、收入支出决算总体情况说明..</w:t>
      </w:r>
      <w:r>
        <w:rPr>
          <w:rFonts w:hint="eastAsia" w:ascii="楷体_GB2312" w:hAnsi="楷体_GB2312" w:eastAsia="楷体_GB2312" w:cs="楷体_GB2312"/>
          <w:color w:val="000000"/>
          <w:kern w:val="2"/>
          <w:sz w:val="32"/>
          <w:szCs w:val="32"/>
          <w:lang w:val="en-US" w:eastAsia="zh-CN" w:bidi="ar-SA"/>
        </w:rPr>
        <w:tab/>
      </w:r>
      <w:r>
        <w:rPr>
          <w:rFonts w:hint="eastAsia" w:ascii="楷体_GB2312" w:hAnsi="楷体_GB2312" w:eastAsia="楷体_GB2312" w:cs="楷体_GB2312"/>
          <w:color w:val="000000"/>
          <w:kern w:val="2"/>
          <w:sz w:val="32"/>
          <w:szCs w:val="32"/>
          <w:lang w:val="en-US" w:eastAsia="zh-CN" w:bidi="ar-SA"/>
        </w:rPr>
        <w:t>8</w:t>
      </w:r>
    </w:p>
    <w:p w14:paraId="43B9C8DC">
      <w:pPr>
        <w:pStyle w:val="11"/>
        <w:adjustRightInd w:val="0"/>
        <w:snapToGrid w:val="0"/>
        <w:spacing w:line="440" w:lineRule="exact"/>
        <w:jc w:val="left"/>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二、收入决算情况说明</w:t>
      </w:r>
      <w:r>
        <w:rPr>
          <w:rFonts w:hint="eastAsia" w:ascii="楷体_GB2312" w:hAnsi="楷体_GB2312" w:eastAsia="楷体_GB2312" w:cs="楷体_GB2312"/>
          <w:color w:val="000000"/>
          <w:kern w:val="2"/>
          <w:sz w:val="32"/>
          <w:szCs w:val="32"/>
          <w:lang w:val="en-US" w:eastAsia="zh-CN" w:bidi="ar-SA"/>
        </w:rPr>
        <w:tab/>
      </w:r>
      <w:r>
        <w:rPr>
          <w:rFonts w:hint="eastAsia" w:ascii="楷体_GB2312" w:hAnsi="楷体_GB2312" w:eastAsia="楷体_GB2312" w:cs="楷体_GB2312"/>
          <w:color w:val="000000"/>
          <w:kern w:val="2"/>
          <w:sz w:val="32"/>
          <w:szCs w:val="32"/>
          <w:lang w:val="en-US" w:eastAsia="zh-CN" w:bidi="ar-SA"/>
        </w:rPr>
        <w:t>8</w:t>
      </w:r>
    </w:p>
    <w:p w14:paraId="7A95EDBA">
      <w:pPr>
        <w:pStyle w:val="11"/>
        <w:adjustRightInd w:val="0"/>
        <w:snapToGrid w:val="0"/>
        <w:spacing w:line="440" w:lineRule="exact"/>
        <w:jc w:val="left"/>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三、支出决算情况说明</w:t>
      </w:r>
      <w:r>
        <w:rPr>
          <w:rFonts w:hint="eastAsia" w:ascii="楷体_GB2312" w:hAnsi="楷体_GB2312" w:eastAsia="楷体_GB2312" w:cs="楷体_GB2312"/>
          <w:color w:val="000000"/>
          <w:kern w:val="2"/>
          <w:sz w:val="32"/>
          <w:szCs w:val="32"/>
          <w:lang w:val="en-US" w:eastAsia="zh-CN" w:bidi="ar-SA"/>
        </w:rPr>
        <w:tab/>
      </w:r>
      <w:r>
        <w:rPr>
          <w:rFonts w:hint="eastAsia" w:ascii="楷体_GB2312" w:hAnsi="楷体_GB2312" w:eastAsia="楷体_GB2312" w:cs="楷体_GB2312"/>
          <w:color w:val="000000"/>
          <w:kern w:val="2"/>
          <w:sz w:val="32"/>
          <w:szCs w:val="32"/>
          <w:lang w:val="en-US" w:eastAsia="zh-CN" w:bidi="ar-SA"/>
        </w:rPr>
        <w:t>9</w:t>
      </w:r>
    </w:p>
    <w:p w14:paraId="63F487DB">
      <w:pPr>
        <w:pStyle w:val="11"/>
        <w:adjustRightInd w:val="0"/>
        <w:snapToGrid w:val="0"/>
        <w:spacing w:line="440" w:lineRule="exact"/>
        <w:jc w:val="left"/>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四、财政拨款收入支出决算总体情况说明</w:t>
      </w:r>
      <w:r>
        <w:rPr>
          <w:rFonts w:hint="eastAsia" w:ascii="楷体_GB2312" w:hAnsi="楷体_GB2312" w:eastAsia="楷体_GB2312" w:cs="楷体_GB2312"/>
          <w:color w:val="000000"/>
          <w:kern w:val="2"/>
          <w:sz w:val="32"/>
          <w:szCs w:val="32"/>
          <w:lang w:val="en-US" w:eastAsia="zh-CN" w:bidi="ar-SA"/>
        </w:rPr>
        <w:tab/>
      </w:r>
      <w:r>
        <w:rPr>
          <w:rFonts w:hint="eastAsia" w:ascii="楷体_GB2312" w:hAnsi="楷体_GB2312" w:eastAsia="楷体_GB2312" w:cs="楷体_GB2312"/>
          <w:color w:val="000000"/>
          <w:kern w:val="2"/>
          <w:sz w:val="32"/>
          <w:szCs w:val="32"/>
          <w:lang w:val="en-US" w:eastAsia="zh-CN" w:bidi="ar-SA"/>
        </w:rPr>
        <w:t>10</w:t>
      </w:r>
    </w:p>
    <w:p w14:paraId="5F84A121">
      <w:pPr>
        <w:pStyle w:val="11"/>
        <w:adjustRightInd w:val="0"/>
        <w:snapToGrid w:val="0"/>
        <w:spacing w:line="440" w:lineRule="exact"/>
        <w:jc w:val="left"/>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五、一般公共预算财政拨款支出决算情况说明</w:t>
      </w:r>
      <w:r>
        <w:rPr>
          <w:rFonts w:hint="eastAsia" w:ascii="楷体_GB2312" w:hAnsi="楷体_GB2312" w:eastAsia="楷体_GB2312" w:cs="楷体_GB2312"/>
          <w:color w:val="000000"/>
          <w:kern w:val="2"/>
          <w:sz w:val="32"/>
          <w:szCs w:val="32"/>
          <w:lang w:val="en-US" w:eastAsia="zh-CN" w:bidi="ar-SA"/>
        </w:rPr>
        <w:tab/>
      </w:r>
      <w:r>
        <w:rPr>
          <w:rFonts w:hint="eastAsia" w:ascii="楷体_GB2312" w:hAnsi="楷体_GB2312" w:eastAsia="楷体_GB2312" w:cs="楷体_GB2312"/>
          <w:color w:val="000000"/>
          <w:kern w:val="2"/>
          <w:sz w:val="32"/>
          <w:szCs w:val="32"/>
          <w:lang w:val="en-US" w:eastAsia="zh-CN" w:bidi="ar-SA"/>
        </w:rPr>
        <w:t>10</w:t>
      </w:r>
    </w:p>
    <w:p w14:paraId="2341D102">
      <w:pPr>
        <w:pStyle w:val="11"/>
        <w:adjustRightInd w:val="0"/>
        <w:snapToGrid w:val="0"/>
        <w:spacing w:line="440" w:lineRule="exact"/>
        <w:jc w:val="left"/>
        <w:rPr>
          <w:rFonts w:hint="default"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六、一般公共预算财政拨款基本支出决算情况说明</w:t>
      </w:r>
      <w:r>
        <w:rPr>
          <w:rFonts w:hint="eastAsia" w:ascii="楷体_GB2312" w:hAnsi="楷体_GB2312" w:eastAsia="楷体_GB2312" w:cs="楷体_GB2312"/>
          <w:color w:val="000000"/>
          <w:kern w:val="2"/>
          <w:sz w:val="32"/>
          <w:szCs w:val="32"/>
          <w:lang w:val="en-US" w:eastAsia="zh-CN" w:bidi="ar-SA"/>
        </w:rPr>
        <w:tab/>
      </w:r>
      <w:r>
        <w:rPr>
          <w:rFonts w:hint="eastAsia" w:ascii="楷体_GB2312" w:hAnsi="楷体_GB2312" w:eastAsia="楷体_GB2312" w:cs="楷体_GB2312"/>
          <w:color w:val="000000"/>
          <w:kern w:val="2"/>
          <w:sz w:val="32"/>
          <w:szCs w:val="32"/>
          <w:lang w:val="en-US" w:eastAsia="zh-CN" w:bidi="ar-SA"/>
        </w:rPr>
        <w:t>13</w:t>
      </w:r>
    </w:p>
    <w:p w14:paraId="2DF43507">
      <w:pPr>
        <w:pStyle w:val="11"/>
        <w:adjustRightInd w:val="0"/>
        <w:snapToGrid w:val="0"/>
        <w:spacing w:line="440" w:lineRule="exact"/>
        <w:jc w:val="left"/>
        <w:rPr>
          <w:rFonts w:hint="default"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七、“三公”经费财政拨款支出决算情况说明</w:t>
      </w:r>
      <w:r>
        <w:rPr>
          <w:rFonts w:hint="eastAsia" w:ascii="楷体_GB2312" w:hAnsi="楷体_GB2312" w:eastAsia="楷体_GB2312" w:cs="楷体_GB2312"/>
          <w:color w:val="000000"/>
          <w:kern w:val="2"/>
          <w:sz w:val="32"/>
          <w:szCs w:val="32"/>
          <w:lang w:val="en-US" w:eastAsia="zh-CN" w:bidi="ar-SA"/>
        </w:rPr>
        <w:tab/>
      </w:r>
      <w:r>
        <w:rPr>
          <w:rFonts w:hint="eastAsia" w:ascii="楷体_GB2312" w:hAnsi="楷体_GB2312" w:eastAsia="楷体_GB2312" w:cs="楷体_GB2312"/>
          <w:color w:val="000000"/>
          <w:kern w:val="2"/>
          <w:sz w:val="32"/>
          <w:szCs w:val="32"/>
          <w:lang w:val="en-US" w:eastAsia="zh-CN" w:bidi="ar-SA"/>
        </w:rPr>
        <w:t>14</w:t>
      </w:r>
    </w:p>
    <w:p w14:paraId="2ABDE376">
      <w:pPr>
        <w:pStyle w:val="11"/>
        <w:adjustRightInd w:val="0"/>
        <w:snapToGrid w:val="0"/>
        <w:spacing w:line="440" w:lineRule="exact"/>
        <w:jc w:val="left"/>
        <w:rPr>
          <w:rFonts w:hint="default"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八、政府性基金预算支出决算情况说明</w:t>
      </w:r>
      <w:r>
        <w:rPr>
          <w:rFonts w:hint="eastAsia" w:ascii="楷体_GB2312" w:hAnsi="楷体_GB2312" w:eastAsia="楷体_GB2312" w:cs="楷体_GB2312"/>
          <w:color w:val="000000"/>
          <w:kern w:val="2"/>
          <w:sz w:val="32"/>
          <w:szCs w:val="32"/>
          <w:lang w:val="en-US" w:eastAsia="zh-CN" w:bidi="ar-SA"/>
        </w:rPr>
        <w:tab/>
      </w:r>
      <w:r>
        <w:rPr>
          <w:rFonts w:hint="eastAsia" w:ascii="楷体_GB2312" w:hAnsi="楷体_GB2312" w:eastAsia="楷体_GB2312" w:cs="楷体_GB2312"/>
          <w:color w:val="000000"/>
          <w:kern w:val="2"/>
          <w:sz w:val="32"/>
          <w:szCs w:val="32"/>
          <w:lang w:val="en-US" w:eastAsia="zh-CN" w:bidi="ar-SA"/>
        </w:rPr>
        <w:t>15</w:t>
      </w:r>
    </w:p>
    <w:p w14:paraId="450AB583">
      <w:pPr>
        <w:pStyle w:val="11"/>
        <w:adjustRightInd w:val="0"/>
        <w:snapToGrid w:val="0"/>
        <w:spacing w:line="440" w:lineRule="exact"/>
        <w:jc w:val="left"/>
        <w:rPr>
          <w:rFonts w:hint="default"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九、 国有资本经营预算支出决算情况说明</w:t>
      </w:r>
      <w:r>
        <w:rPr>
          <w:rFonts w:hint="eastAsia" w:ascii="楷体_GB2312" w:hAnsi="楷体_GB2312" w:eastAsia="楷体_GB2312" w:cs="楷体_GB2312"/>
          <w:color w:val="000000"/>
          <w:kern w:val="2"/>
          <w:sz w:val="32"/>
          <w:szCs w:val="32"/>
          <w:lang w:val="en-US" w:eastAsia="zh-CN" w:bidi="ar-SA"/>
        </w:rPr>
        <w:tab/>
      </w:r>
      <w:r>
        <w:rPr>
          <w:rFonts w:hint="eastAsia" w:ascii="楷体_GB2312" w:hAnsi="楷体_GB2312" w:eastAsia="楷体_GB2312" w:cs="楷体_GB2312"/>
          <w:color w:val="000000"/>
          <w:kern w:val="2"/>
          <w:sz w:val="32"/>
          <w:szCs w:val="32"/>
          <w:lang w:val="en-US" w:eastAsia="zh-CN" w:bidi="ar-SA"/>
        </w:rPr>
        <w:t>15</w:t>
      </w:r>
    </w:p>
    <w:p w14:paraId="62EC50A3">
      <w:pPr>
        <w:pStyle w:val="11"/>
        <w:adjustRightInd w:val="0"/>
        <w:snapToGrid w:val="0"/>
        <w:spacing w:line="440" w:lineRule="exact"/>
        <w:jc w:val="left"/>
        <w:rPr>
          <w:rFonts w:hint="default"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十、其他重要事项的情况说明</w:t>
      </w:r>
      <w:r>
        <w:rPr>
          <w:rFonts w:hint="eastAsia" w:ascii="楷体_GB2312" w:hAnsi="楷体_GB2312" w:eastAsia="楷体_GB2312" w:cs="楷体_GB2312"/>
          <w:color w:val="000000"/>
          <w:kern w:val="2"/>
          <w:sz w:val="32"/>
          <w:szCs w:val="32"/>
          <w:lang w:val="en-US" w:eastAsia="zh-CN" w:bidi="ar-SA"/>
        </w:rPr>
        <w:tab/>
      </w:r>
      <w:r>
        <w:rPr>
          <w:rFonts w:hint="eastAsia" w:ascii="楷体_GB2312" w:hAnsi="楷体_GB2312" w:eastAsia="楷体_GB2312" w:cs="楷体_GB2312"/>
          <w:color w:val="000000"/>
          <w:kern w:val="2"/>
          <w:sz w:val="32"/>
          <w:szCs w:val="32"/>
          <w:lang w:val="en-US" w:eastAsia="zh-CN" w:bidi="ar-SA"/>
        </w:rPr>
        <w:t>15</w:t>
      </w:r>
    </w:p>
    <w:p w14:paraId="5C6A3BB9">
      <w:pPr>
        <w:pStyle w:val="10"/>
        <w:adjustRightInd w:val="0"/>
        <w:snapToGrid w:val="0"/>
        <w:spacing w:before="0" w:line="440" w:lineRule="exact"/>
        <w:jc w:val="left"/>
        <w:rPr>
          <w:rFonts w:hint="default"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第三部分 名词解释</w:t>
      </w:r>
      <w:r>
        <w:rPr>
          <w:rFonts w:hint="eastAsia" w:ascii="黑体" w:hAnsi="黑体" w:eastAsia="黑体" w:cs="黑体"/>
          <w:color w:val="000000"/>
          <w:kern w:val="2"/>
          <w:sz w:val="32"/>
          <w:szCs w:val="32"/>
          <w:lang w:val="en-US" w:eastAsia="zh-CN" w:bidi="ar-SA"/>
        </w:rPr>
        <w:tab/>
      </w:r>
      <w:r>
        <w:rPr>
          <w:rFonts w:hint="eastAsia" w:ascii="黑体" w:hAnsi="黑体" w:eastAsia="黑体" w:cs="黑体"/>
          <w:color w:val="000000"/>
          <w:kern w:val="2"/>
          <w:sz w:val="32"/>
          <w:szCs w:val="32"/>
          <w:lang w:val="en-US" w:eastAsia="zh-CN" w:bidi="ar-SA"/>
        </w:rPr>
        <w:t>17</w:t>
      </w:r>
    </w:p>
    <w:p w14:paraId="2C7277AB">
      <w:pPr>
        <w:pStyle w:val="10"/>
        <w:adjustRightInd w:val="0"/>
        <w:snapToGrid w:val="0"/>
        <w:spacing w:before="0" w:line="440" w:lineRule="exact"/>
        <w:jc w:val="left"/>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第四部分 附件</w:t>
      </w:r>
      <w:r>
        <w:rPr>
          <w:rFonts w:hint="eastAsia" w:ascii="黑体" w:hAnsi="黑体" w:eastAsia="黑体" w:cs="黑体"/>
          <w:color w:val="000000"/>
          <w:kern w:val="2"/>
          <w:sz w:val="32"/>
          <w:szCs w:val="32"/>
          <w:lang w:val="en-US" w:eastAsia="zh-CN" w:bidi="ar-SA"/>
        </w:rPr>
        <w:tab/>
      </w:r>
      <w:r>
        <w:rPr>
          <w:rFonts w:hint="eastAsia" w:ascii="黑体" w:hAnsi="黑体" w:eastAsia="黑体" w:cs="黑体"/>
          <w:color w:val="000000"/>
          <w:kern w:val="2"/>
          <w:sz w:val="32"/>
          <w:szCs w:val="32"/>
          <w:lang w:val="en-US" w:eastAsia="zh-CN" w:bidi="ar-SA"/>
        </w:rPr>
        <w:t>20</w:t>
      </w:r>
    </w:p>
    <w:p w14:paraId="5F5BBDD6">
      <w:pPr>
        <w:pStyle w:val="10"/>
        <w:adjustRightInd w:val="0"/>
        <w:snapToGrid w:val="0"/>
        <w:spacing w:before="0" w:line="440" w:lineRule="exact"/>
        <w:jc w:val="left"/>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第五部分 附表</w:t>
      </w:r>
      <w:r>
        <w:rPr>
          <w:rFonts w:hint="eastAsia" w:ascii="黑体" w:hAnsi="黑体" w:eastAsia="黑体" w:cs="黑体"/>
          <w:color w:val="000000"/>
          <w:kern w:val="2"/>
          <w:sz w:val="32"/>
          <w:szCs w:val="32"/>
          <w:lang w:val="en-US" w:eastAsia="zh-CN" w:bidi="ar-SA"/>
        </w:rPr>
        <w:tab/>
      </w:r>
      <w:r>
        <w:rPr>
          <w:rFonts w:hint="eastAsia" w:ascii="黑体" w:hAnsi="黑体" w:eastAsia="黑体" w:cs="黑体"/>
          <w:color w:val="000000"/>
          <w:kern w:val="2"/>
          <w:sz w:val="32"/>
          <w:szCs w:val="32"/>
          <w:lang w:val="en-US" w:eastAsia="zh-CN" w:bidi="ar-SA"/>
        </w:rPr>
        <w:t>21</w:t>
      </w:r>
    </w:p>
    <w:p w14:paraId="57AE50EB">
      <w:pPr>
        <w:pStyle w:val="11"/>
        <w:adjustRightInd w:val="0"/>
        <w:snapToGrid w:val="0"/>
        <w:spacing w:line="440" w:lineRule="exact"/>
        <w:jc w:val="left"/>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一、收入支出决算总表</w:t>
      </w:r>
      <w:r>
        <w:rPr>
          <w:rFonts w:hint="eastAsia" w:ascii="楷体_GB2312" w:hAnsi="楷体_GB2312" w:eastAsia="楷体_GB2312" w:cs="楷体_GB2312"/>
          <w:color w:val="000000"/>
          <w:kern w:val="2"/>
          <w:sz w:val="32"/>
          <w:szCs w:val="32"/>
          <w:lang w:val="en-US" w:eastAsia="zh-CN" w:bidi="ar-SA"/>
        </w:rPr>
        <w:tab/>
      </w:r>
      <w:r>
        <w:rPr>
          <w:rFonts w:hint="eastAsia" w:ascii="楷体_GB2312" w:hAnsi="楷体_GB2312" w:eastAsia="楷体_GB2312" w:cs="楷体_GB2312"/>
          <w:color w:val="000000"/>
          <w:kern w:val="2"/>
          <w:sz w:val="32"/>
          <w:szCs w:val="32"/>
          <w:lang w:val="en-US" w:eastAsia="zh-CN" w:bidi="ar-SA"/>
        </w:rPr>
        <w:t>.21</w:t>
      </w:r>
    </w:p>
    <w:p w14:paraId="4BA0E2E9">
      <w:pPr>
        <w:pStyle w:val="11"/>
        <w:adjustRightInd w:val="0"/>
        <w:snapToGrid w:val="0"/>
        <w:spacing w:line="440" w:lineRule="exact"/>
        <w:jc w:val="left"/>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二、收入决算表</w:t>
      </w:r>
      <w:r>
        <w:rPr>
          <w:rFonts w:hint="eastAsia" w:ascii="楷体_GB2312" w:hAnsi="楷体_GB2312" w:eastAsia="楷体_GB2312" w:cs="楷体_GB2312"/>
          <w:color w:val="000000"/>
          <w:kern w:val="2"/>
          <w:sz w:val="32"/>
          <w:szCs w:val="32"/>
          <w:lang w:val="en-US" w:eastAsia="zh-CN" w:bidi="ar-SA"/>
        </w:rPr>
        <w:tab/>
      </w:r>
      <w:r>
        <w:rPr>
          <w:rFonts w:hint="eastAsia" w:ascii="楷体_GB2312" w:hAnsi="楷体_GB2312" w:eastAsia="楷体_GB2312" w:cs="楷体_GB2312"/>
          <w:color w:val="000000"/>
          <w:kern w:val="2"/>
          <w:sz w:val="32"/>
          <w:szCs w:val="32"/>
          <w:lang w:val="en-US" w:eastAsia="zh-CN" w:bidi="ar-SA"/>
        </w:rPr>
        <w:t>21</w:t>
      </w:r>
    </w:p>
    <w:p w14:paraId="2061FB3A">
      <w:pPr>
        <w:pStyle w:val="11"/>
        <w:adjustRightInd w:val="0"/>
        <w:snapToGrid w:val="0"/>
        <w:spacing w:line="440" w:lineRule="exact"/>
        <w:jc w:val="left"/>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三、支出决算表</w:t>
      </w:r>
      <w:r>
        <w:rPr>
          <w:rFonts w:hint="eastAsia" w:ascii="楷体_GB2312" w:hAnsi="楷体_GB2312" w:eastAsia="楷体_GB2312" w:cs="楷体_GB2312"/>
          <w:color w:val="000000"/>
          <w:kern w:val="2"/>
          <w:sz w:val="32"/>
          <w:szCs w:val="32"/>
          <w:lang w:val="en-US" w:eastAsia="zh-CN" w:bidi="ar-SA"/>
        </w:rPr>
        <w:tab/>
      </w:r>
      <w:r>
        <w:rPr>
          <w:rFonts w:hint="eastAsia" w:ascii="楷体_GB2312" w:hAnsi="楷体_GB2312" w:eastAsia="楷体_GB2312" w:cs="楷体_GB2312"/>
          <w:color w:val="000000"/>
          <w:kern w:val="2"/>
          <w:sz w:val="32"/>
          <w:szCs w:val="32"/>
          <w:lang w:val="en-US" w:eastAsia="zh-CN" w:bidi="ar-SA"/>
        </w:rPr>
        <w:t>21</w:t>
      </w:r>
    </w:p>
    <w:p w14:paraId="63F20E59">
      <w:pPr>
        <w:pStyle w:val="11"/>
        <w:adjustRightInd w:val="0"/>
        <w:snapToGrid w:val="0"/>
        <w:spacing w:line="440" w:lineRule="exact"/>
        <w:jc w:val="left"/>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四、财政拨款收入支出决算总表</w:t>
      </w:r>
      <w:r>
        <w:rPr>
          <w:rFonts w:hint="eastAsia" w:ascii="楷体_GB2312" w:hAnsi="楷体_GB2312" w:eastAsia="楷体_GB2312" w:cs="楷体_GB2312"/>
          <w:color w:val="000000"/>
          <w:kern w:val="2"/>
          <w:sz w:val="32"/>
          <w:szCs w:val="32"/>
          <w:lang w:val="en-US" w:eastAsia="zh-CN" w:bidi="ar-SA"/>
        </w:rPr>
        <w:tab/>
      </w:r>
      <w:r>
        <w:rPr>
          <w:rFonts w:hint="eastAsia" w:ascii="楷体_GB2312" w:hAnsi="楷体_GB2312" w:eastAsia="楷体_GB2312" w:cs="楷体_GB2312"/>
          <w:color w:val="000000"/>
          <w:kern w:val="2"/>
          <w:sz w:val="32"/>
          <w:szCs w:val="32"/>
          <w:lang w:val="en-US" w:eastAsia="zh-CN" w:bidi="ar-SA"/>
        </w:rPr>
        <w:t>21</w:t>
      </w:r>
    </w:p>
    <w:p w14:paraId="2821D73A">
      <w:pPr>
        <w:pStyle w:val="11"/>
        <w:adjustRightInd w:val="0"/>
        <w:snapToGrid w:val="0"/>
        <w:spacing w:line="440" w:lineRule="exact"/>
        <w:jc w:val="left"/>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五、财政拨款支出决算明细表</w:t>
      </w:r>
      <w:r>
        <w:rPr>
          <w:rFonts w:hint="eastAsia" w:ascii="楷体_GB2312" w:hAnsi="楷体_GB2312" w:eastAsia="楷体_GB2312" w:cs="楷体_GB2312"/>
          <w:color w:val="000000"/>
          <w:kern w:val="2"/>
          <w:sz w:val="32"/>
          <w:szCs w:val="32"/>
          <w:lang w:val="en-US" w:eastAsia="zh-CN" w:bidi="ar-SA"/>
        </w:rPr>
        <w:tab/>
      </w:r>
      <w:r>
        <w:rPr>
          <w:rFonts w:hint="eastAsia" w:ascii="楷体_GB2312" w:hAnsi="楷体_GB2312" w:eastAsia="楷体_GB2312" w:cs="楷体_GB2312"/>
          <w:color w:val="000000"/>
          <w:kern w:val="2"/>
          <w:sz w:val="32"/>
          <w:szCs w:val="32"/>
          <w:lang w:val="en-US" w:eastAsia="zh-CN" w:bidi="ar-SA"/>
        </w:rPr>
        <w:t>21</w:t>
      </w:r>
    </w:p>
    <w:p w14:paraId="504E3D79">
      <w:pPr>
        <w:pStyle w:val="11"/>
        <w:adjustRightInd w:val="0"/>
        <w:snapToGrid w:val="0"/>
        <w:spacing w:line="440" w:lineRule="exact"/>
        <w:jc w:val="left"/>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六、一般公共预算财政拨款支出决算表</w:t>
      </w:r>
      <w:r>
        <w:rPr>
          <w:rFonts w:hint="eastAsia" w:ascii="楷体_GB2312" w:hAnsi="楷体_GB2312" w:eastAsia="楷体_GB2312" w:cs="楷体_GB2312"/>
          <w:color w:val="000000"/>
          <w:kern w:val="2"/>
          <w:sz w:val="32"/>
          <w:szCs w:val="32"/>
          <w:lang w:val="en-US" w:eastAsia="zh-CN" w:bidi="ar-SA"/>
        </w:rPr>
        <w:tab/>
      </w:r>
      <w:r>
        <w:rPr>
          <w:rFonts w:hint="eastAsia" w:ascii="楷体_GB2312" w:hAnsi="楷体_GB2312" w:eastAsia="楷体_GB2312" w:cs="楷体_GB2312"/>
          <w:color w:val="000000"/>
          <w:kern w:val="2"/>
          <w:sz w:val="32"/>
          <w:szCs w:val="32"/>
          <w:lang w:val="en-US" w:eastAsia="zh-CN" w:bidi="ar-SA"/>
        </w:rPr>
        <w:t>21</w:t>
      </w:r>
    </w:p>
    <w:p w14:paraId="4C3B3102">
      <w:pPr>
        <w:pStyle w:val="11"/>
        <w:adjustRightInd w:val="0"/>
        <w:snapToGrid w:val="0"/>
        <w:spacing w:line="440" w:lineRule="exact"/>
        <w:jc w:val="left"/>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七、一般公共预算财政拨款支出决算明细表</w:t>
      </w:r>
      <w:r>
        <w:rPr>
          <w:rFonts w:hint="eastAsia" w:ascii="楷体_GB2312" w:hAnsi="楷体_GB2312" w:eastAsia="楷体_GB2312" w:cs="楷体_GB2312"/>
          <w:color w:val="000000"/>
          <w:kern w:val="2"/>
          <w:sz w:val="32"/>
          <w:szCs w:val="32"/>
          <w:lang w:val="en-US" w:eastAsia="zh-CN" w:bidi="ar-SA"/>
        </w:rPr>
        <w:tab/>
      </w:r>
      <w:r>
        <w:rPr>
          <w:rFonts w:hint="eastAsia" w:ascii="楷体_GB2312" w:hAnsi="楷体_GB2312" w:eastAsia="楷体_GB2312" w:cs="楷体_GB2312"/>
          <w:color w:val="000000"/>
          <w:kern w:val="2"/>
          <w:sz w:val="32"/>
          <w:szCs w:val="32"/>
          <w:lang w:val="en-US" w:eastAsia="zh-CN" w:bidi="ar-SA"/>
        </w:rPr>
        <w:t>21</w:t>
      </w:r>
    </w:p>
    <w:p w14:paraId="42035A2B">
      <w:pPr>
        <w:pStyle w:val="11"/>
        <w:adjustRightInd w:val="0"/>
        <w:snapToGrid w:val="0"/>
        <w:spacing w:line="440" w:lineRule="exact"/>
        <w:jc w:val="left"/>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八、一般公共预算财政拨款基本支出决算表</w:t>
      </w:r>
      <w:r>
        <w:rPr>
          <w:rFonts w:hint="eastAsia" w:ascii="楷体_GB2312" w:hAnsi="楷体_GB2312" w:eastAsia="楷体_GB2312" w:cs="楷体_GB2312"/>
          <w:color w:val="000000"/>
          <w:kern w:val="2"/>
          <w:sz w:val="32"/>
          <w:szCs w:val="32"/>
          <w:lang w:val="en-US" w:eastAsia="zh-CN" w:bidi="ar-SA"/>
        </w:rPr>
        <w:tab/>
      </w:r>
      <w:r>
        <w:rPr>
          <w:rFonts w:hint="eastAsia" w:ascii="楷体_GB2312" w:hAnsi="楷体_GB2312" w:eastAsia="楷体_GB2312" w:cs="楷体_GB2312"/>
          <w:color w:val="000000"/>
          <w:kern w:val="2"/>
          <w:sz w:val="32"/>
          <w:szCs w:val="32"/>
          <w:lang w:val="en-US" w:eastAsia="zh-CN" w:bidi="ar-SA"/>
        </w:rPr>
        <w:t>21</w:t>
      </w:r>
    </w:p>
    <w:p w14:paraId="4635CEEF">
      <w:pPr>
        <w:pStyle w:val="11"/>
        <w:adjustRightInd w:val="0"/>
        <w:snapToGrid w:val="0"/>
        <w:spacing w:line="440" w:lineRule="exact"/>
        <w:jc w:val="left"/>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九、一般公共预算财政拨款项目支出决算表</w:t>
      </w:r>
      <w:r>
        <w:rPr>
          <w:rFonts w:hint="eastAsia" w:ascii="楷体_GB2312" w:hAnsi="楷体_GB2312" w:eastAsia="楷体_GB2312" w:cs="楷体_GB2312"/>
          <w:color w:val="000000"/>
          <w:kern w:val="2"/>
          <w:sz w:val="32"/>
          <w:szCs w:val="32"/>
          <w:lang w:val="en-US" w:eastAsia="zh-CN" w:bidi="ar-SA"/>
        </w:rPr>
        <w:tab/>
      </w:r>
      <w:r>
        <w:rPr>
          <w:rFonts w:hint="eastAsia" w:ascii="楷体_GB2312" w:hAnsi="楷体_GB2312" w:eastAsia="楷体_GB2312" w:cs="楷体_GB2312"/>
          <w:color w:val="000000"/>
          <w:kern w:val="2"/>
          <w:sz w:val="32"/>
          <w:szCs w:val="32"/>
          <w:lang w:val="en-US" w:eastAsia="zh-CN" w:bidi="ar-SA"/>
        </w:rPr>
        <w:t>21</w:t>
      </w:r>
    </w:p>
    <w:p w14:paraId="661E1BCB">
      <w:pPr>
        <w:pStyle w:val="11"/>
        <w:adjustRightInd w:val="0"/>
        <w:snapToGrid w:val="0"/>
        <w:spacing w:line="440" w:lineRule="exact"/>
        <w:jc w:val="left"/>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十、一般公共预算财政拨款“三公”经费支出决算表</w:t>
      </w:r>
      <w:r>
        <w:rPr>
          <w:rFonts w:hint="eastAsia" w:ascii="楷体_GB2312" w:hAnsi="楷体_GB2312" w:eastAsia="楷体_GB2312" w:cs="楷体_GB2312"/>
          <w:color w:val="000000"/>
          <w:kern w:val="2"/>
          <w:sz w:val="32"/>
          <w:szCs w:val="32"/>
          <w:lang w:val="en-US" w:eastAsia="zh-CN" w:bidi="ar-SA"/>
        </w:rPr>
        <w:tab/>
      </w:r>
      <w:r>
        <w:rPr>
          <w:rFonts w:hint="eastAsia" w:ascii="楷体_GB2312" w:hAnsi="楷体_GB2312" w:eastAsia="楷体_GB2312" w:cs="楷体_GB2312"/>
          <w:color w:val="000000"/>
          <w:kern w:val="2"/>
          <w:sz w:val="32"/>
          <w:szCs w:val="32"/>
          <w:lang w:val="en-US" w:eastAsia="zh-CN" w:bidi="ar-SA"/>
        </w:rPr>
        <w:t>21</w:t>
      </w:r>
    </w:p>
    <w:p w14:paraId="4CC69B28">
      <w:pPr>
        <w:pStyle w:val="11"/>
        <w:adjustRightInd w:val="0"/>
        <w:snapToGrid w:val="0"/>
        <w:spacing w:line="440" w:lineRule="exact"/>
        <w:jc w:val="left"/>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十一、政府性基金预算财政拨款收入支出决算表</w:t>
      </w:r>
      <w:r>
        <w:rPr>
          <w:rFonts w:hint="eastAsia" w:ascii="楷体_GB2312" w:hAnsi="楷体_GB2312" w:eastAsia="楷体_GB2312" w:cs="楷体_GB2312"/>
          <w:color w:val="000000"/>
          <w:kern w:val="2"/>
          <w:sz w:val="32"/>
          <w:szCs w:val="32"/>
          <w:lang w:val="en-US" w:eastAsia="zh-CN" w:bidi="ar-SA"/>
        </w:rPr>
        <w:tab/>
      </w:r>
      <w:r>
        <w:rPr>
          <w:rFonts w:hint="eastAsia" w:ascii="楷体_GB2312" w:hAnsi="楷体_GB2312" w:eastAsia="楷体_GB2312" w:cs="楷体_GB2312"/>
          <w:color w:val="000000"/>
          <w:kern w:val="2"/>
          <w:sz w:val="32"/>
          <w:szCs w:val="32"/>
          <w:lang w:val="en-US" w:eastAsia="zh-CN" w:bidi="ar-SA"/>
        </w:rPr>
        <w:t>21</w:t>
      </w:r>
    </w:p>
    <w:p w14:paraId="249DE22E">
      <w:pPr>
        <w:pStyle w:val="11"/>
        <w:adjustRightInd w:val="0"/>
        <w:snapToGrid w:val="0"/>
        <w:spacing w:line="440" w:lineRule="exact"/>
        <w:jc w:val="left"/>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十二、政府性基金预算财政拨款“三公”经费支出决算表</w:t>
      </w:r>
      <w:r>
        <w:rPr>
          <w:rFonts w:hint="eastAsia" w:ascii="楷体_GB2312" w:hAnsi="楷体_GB2312" w:eastAsia="楷体_GB2312" w:cs="楷体_GB2312"/>
          <w:color w:val="000000"/>
          <w:kern w:val="2"/>
          <w:sz w:val="32"/>
          <w:szCs w:val="32"/>
          <w:lang w:val="en-US" w:eastAsia="zh-CN" w:bidi="ar-SA"/>
        </w:rPr>
        <w:tab/>
      </w:r>
      <w:r>
        <w:rPr>
          <w:rFonts w:hint="eastAsia" w:ascii="楷体_GB2312" w:hAnsi="楷体_GB2312" w:eastAsia="楷体_GB2312" w:cs="楷体_GB2312"/>
          <w:color w:val="000000"/>
          <w:kern w:val="2"/>
          <w:sz w:val="32"/>
          <w:szCs w:val="32"/>
          <w:lang w:val="en-US" w:eastAsia="zh-CN" w:bidi="ar-SA"/>
        </w:rPr>
        <w:t>21</w:t>
      </w:r>
    </w:p>
    <w:p w14:paraId="09469507">
      <w:pPr>
        <w:pStyle w:val="11"/>
        <w:adjustRightInd w:val="0"/>
        <w:snapToGrid w:val="0"/>
        <w:spacing w:line="440" w:lineRule="exact"/>
        <w:jc w:val="left"/>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十三、国有资本经营预算支出决算表</w:t>
      </w:r>
      <w:r>
        <w:rPr>
          <w:rFonts w:hint="eastAsia" w:ascii="楷体_GB2312" w:hAnsi="楷体_GB2312" w:eastAsia="楷体_GB2312" w:cs="楷体_GB2312"/>
          <w:color w:val="000000"/>
          <w:kern w:val="2"/>
          <w:sz w:val="32"/>
          <w:szCs w:val="32"/>
          <w:lang w:val="en-US" w:eastAsia="zh-CN" w:bidi="ar-SA"/>
        </w:rPr>
        <w:tab/>
      </w:r>
      <w:r>
        <w:rPr>
          <w:rFonts w:hint="eastAsia" w:ascii="楷体_GB2312" w:hAnsi="楷体_GB2312" w:eastAsia="楷体_GB2312" w:cs="楷体_GB2312"/>
          <w:color w:val="000000"/>
          <w:kern w:val="2"/>
          <w:sz w:val="32"/>
          <w:szCs w:val="32"/>
          <w:lang w:val="en-US" w:eastAsia="zh-CN" w:bidi="ar-SA"/>
        </w:rPr>
        <w:t>21</w:t>
      </w:r>
    </w:p>
    <w:p w14:paraId="7F331860">
      <w:pPr>
        <w:pStyle w:val="11"/>
        <w:adjustRightInd w:val="0"/>
        <w:snapToGrid w:val="0"/>
        <w:spacing w:line="440" w:lineRule="exact"/>
        <w:jc w:val="left"/>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十四、国有资本经营预算财政拨款支出决算表</w:t>
      </w:r>
      <w:r>
        <w:rPr>
          <w:rFonts w:hint="eastAsia" w:ascii="楷体_GB2312" w:hAnsi="楷体_GB2312" w:eastAsia="楷体_GB2312" w:cs="楷体_GB2312"/>
          <w:color w:val="000000"/>
          <w:kern w:val="2"/>
          <w:sz w:val="32"/>
          <w:szCs w:val="32"/>
          <w:lang w:val="en-US" w:eastAsia="zh-CN" w:bidi="ar-SA"/>
        </w:rPr>
        <w:tab/>
      </w:r>
      <w:r>
        <w:rPr>
          <w:rFonts w:hint="eastAsia" w:ascii="楷体_GB2312" w:hAnsi="楷体_GB2312" w:eastAsia="楷体_GB2312" w:cs="楷体_GB2312"/>
          <w:color w:val="000000"/>
          <w:kern w:val="2"/>
          <w:sz w:val="32"/>
          <w:szCs w:val="32"/>
          <w:lang w:val="en-US" w:eastAsia="zh-CN" w:bidi="ar-SA"/>
        </w:rPr>
        <w:t>21</w:t>
      </w:r>
    </w:p>
    <w:p w14:paraId="30E02699">
      <w:pPr>
        <w:pStyle w:val="11"/>
        <w:adjustRightInd w:val="0"/>
        <w:snapToGrid w:val="0"/>
        <w:spacing w:line="440" w:lineRule="exact"/>
        <w:jc w:val="left"/>
        <w:rPr>
          <w:rFonts w:hint="eastAsia" w:ascii="楷体_GB2312" w:hAnsi="楷体_GB2312" w:eastAsia="楷体_GB2312" w:cs="楷体_GB2312"/>
          <w:color w:val="000000"/>
          <w:kern w:val="2"/>
          <w:sz w:val="32"/>
          <w:szCs w:val="32"/>
          <w:lang w:val="en-US" w:eastAsia="zh-CN" w:bidi="ar-SA"/>
        </w:rPr>
      </w:pPr>
    </w:p>
    <w:p w14:paraId="07C34E42">
      <w:pPr>
        <w:pStyle w:val="11"/>
        <w:adjustRightInd w:val="0"/>
        <w:snapToGrid w:val="0"/>
        <w:spacing w:line="440" w:lineRule="exact"/>
        <w:jc w:val="left"/>
        <w:rPr>
          <w:rFonts w:hint="eastAsia" w:ascii="楷体_GB2312" w:hAnsi="楷体_GB2312" w:eastAsia="楷体_GB2312" w:cs="楷体_GB2312"/>
          <w:color w:val="000000"/>
          <w:kern w:val="2"/>
          <w:sz w:val="32"/>
          <w:szCs w:val="32"/>
          <w:lang w:val="en-US" w:eastAsia="zh-CN" w:bidi="ar-SA"/>
        </w:rPr>
      </w:pPr>
    </w:p>
    <w:p w14:paraId="2B86E5DB">
      <w:pPr>
        <w:pStyle w:val="11"/>
        <w:adjustRightInd w:val="0"/>
        <w:snapToGrid w:val="0"/>
        <w:spacing w:line="440" w:lineRule="exact"/>
        <w:jc w:val="left"/>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br w:type="page"/>
      </w:r>
    </w:p>
    <w:p w14:paraId="60EF404C">
      <w:pPr>
        <w:pStyle w:val="3"/>
        <w:jc w:val="center"/>
        <w:rPr>
          <w:rStyle w:val="24"/>
          <w:rFonts w:hint="eastAsia" w:ascii="方正小标宋_GBK" w:hAnsi="方正小标宋_GBK" w:eastAsia="方正小标宋_GBK" w:cs="方正小标宋_GBK"/>
          <w:b/>
          <w:bCs w:val="0"/>
        </w:rPr>
      </w:pPr>
      <w:r>
        <w:rPr>
          <w:rFonts w:hint="eastAsia" w:ascii="方正小标宋_GBK" w:hAnsi="方正小标宋_GBK" w:eastAsia="方正小标宋_GBK" w:cs="方正小标宋_GBK"/>
          <w:b/>
          <w:bCs w:val="0"/>
        </w:rPr>
        <w:t>第一部分 单位</w:t>
      </w:r>
      <w:r>
        <w:rPr>
          <w:rStyle w:val="24"/>
          <w:rFonts w:hint="eastAsia" w:ascii="方正小标宋_GBK" w:hAnsi="方正小标宋_GBK" w:eastAsia="方正小标宋_GBK" w:cs="方正小标宋_GBK"/>
          <w:b/>
          <w:bCs w:val="0"/>
        </w:rPr>
        <w:t>概况</w:t>
      </w:r>
      <w:bookmarkEnd w:id="1"/>
      <w:bookmarkEnd w:id="2"/>
    </w:p>
    <w:p w14:paraId="2165B0B4">
      <w:pPr>
        <w:widowControl/>
        <w:jc w:val="left"/>
        <w:rPr>
          <w:rFonts w:ascii="黑体" w:eastAsia="黑体"/>
          <w:sz w:val="32"/>
          <w:szCs w:val="32"/>
        </w:rPr>
      </w:pPr>
    </w:p>
    <w:p w14:paraId="0B18E567">
      <w:pPr>
        <w:pStyle w:val="4"/>
        <w:numPr>
          <w:ilvl w:val="0"/>
          <w:numId w:val="1"/>
        </w:numPr>
        <w:rPr>
          <w:rStyle w:val="25"/>
          <w:rFonts w:ascii="黑体" w:hAnsi="黑体" w:eastAsia="黑体"/>
          <w:b w:val="0"/>
          <w:bCs w:val="0"/>
        </w:rPr>
      </w:pPr>
      <w:bookmarkStart w:id="3" w:name="_Toc15377197"/>
      <w:bookmarkStart w:id="4" w:name="_Toc15396600"/>
      <w:r>
        <w:rPr>
          <w:rStyle w:val="25"/>
          <w:rFonts w:hint="eastAsia" w:ascii="黑体" w:hAnsi="黑体" w:eastAsia="黑体"/>
          <w:b w:val="0"/>
          <w:bCs w:val="0"/>
        </w:rPr>
        <w:t>职能简介</w:t>
      </w:r>
    </w:p>
    <w:p w14:paraId="6CDFBD70">
      <w:pPr>
        <w:adjustRightInd w:val="0"/>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一</w:t>
      </w:r>
      <w:r>
        <w:rPr>
          <w:rFonts w:hint="eastAsia" w:ascii="楷体_GB2312" w:hAnsi="楷体_GB2312" w:eastAsia="楷体_GB2312" w:cs="楷体_GB2312"/>
          <w:color w:val="000000"/>
          <w:sz w:val="32"/>
          <w:szCs w:val="32"/>
          <w:lang w:eastAsia="zh-CN"/>
        </w:rPr>
        <w:t>）、</w:t>
      </w:r>
      <w:r>
        <w:rPr>
          <w:rFonts w:hint="eastAsia" w:ascii="仿宋_GB2312" w:hAnsi="仿宋_GB2312" w:eastAsia="仿宋_GB2312" w:cs="仿宋_GB2312"/>
          <w:color w:val="000000"/>
          <w:sz w:val="32"/>
          <w:szCs w:val="32"/>
        </w:rPr>
        <w:t>主要职能。</w:t>
      </w:r>
    </w:p>
    <w:p w14:paraId="22E01627">
      <w:pPr>
        <w:adjustRightInd w:val="0"/>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攀枝花市西区第二幼儿园是一所公立幼儿园，实行园长负责制。</w:t>
      </w:r>
    </w:p>
    <w:p w14:paraId="1A0FA0BD">
      <w:pPr>
        <w:adjustRightInd w:val="0"/>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全面贯彻党和国家教育方针，认真学习有关法律法规和政策，坚持社会主义办学方向。</w:t>
      </w:r>
    </w:p>
    <w:p w14:paraId="52397774">
      <w:pPr>
        <w:adjustRightInd w:val="0"/>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对3－-6周岁幼儿实施保育和教育，促进幼儿体、智、德、美和谐发展。</w:t>
      </w:r>
    </w:p>
    <w:p w14:paraId="667A3C0F">
      <w:pPr>
        <w:adjustRightInd w:val="0"/>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根据上级教育部门的要求和本幼儿园的实际，制定幼儿园的发展规划、年度计划、教育教学、安全保健卫生等计划。</w:t>
      </w:r>
    </w:p>
    <w:p w14:paraId="403C6B13">
      <w:pPr>
        <w:adjustRightInd w:val="0"/>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合理使用各项经费，有计划地搞好幼儿园建设。掌管幼儿园经济和设备设施,坚持勤俭办学、勤工俭学，努力改善幼儿园的工作、生活条件</w:t>
      </w:r>
    </w:p>
    <w:p w14:paraId="496C2548">
      <w:pPr>
        <w:adjustRightInd w:val="0"/>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督促检查班组教学计划、教学大纲的贯彻实施，组织总结交流教学经验。</w:t>
      </w:r>
    </w:p>
    <w:p w14:paraId="2653D0D7">
      <w:pPr>
        <w:adjustRightInd w:val="0"/>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开展教研活动和课题研究，进行教育改革，推广新的幼儿教育训练方案、教材等科研成果，提高教育质量。</w:t>
      </w:r>
    </w:p>
    <w:p w14:paraId="09A44994">
      <w:pPr>
        <w:adjustRightInd w:val="0"/>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开展多项活动，有计划、有组织地培养提高教师的业务水平和教学能力。</w:t>
      </w:r>
    </w:p>
    <w:p w14:paraId="71A9D5B4">
      <w:pPr>
        <w:adjustRightInd w:val="0"/>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负责教育教学、生活设施用品的订购、采购和计划供应工作。</w:t>
      </w:r>
    </w:p>
    <w:p w14:paraId="42AC9AD2">
      <w:pPr>
        <w:adjustRightInd w:val="0"/>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负责幼儿的卫生保健、安全工作,预防传染病的发生。</w:t>
      </w:r>
    </w:p>
    <w:p w14:paraId="586E1E81">
      <w:pPr>
        <w:adjustRightInd w:val="0"/>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保障幼儿一日三餐饮食的科学营养、合理安排。</w:t>
      </w:r>
    </w:p>
    <w:p w14:paraId="0D5C6C56">
      <w:pPr>
        <w:adjustRightInd w:val="0"/>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建立家园联系制度，采取适当的形式与家长沟通，研究幼儿教育对策，实现家园共育。</w:t>
      </w:r>
    </w:p>
    <w:p w14:paraId="42877852">
      <w:pPr>
        <w:pStyle w:val="4"/>
        <w:numPr>
          <w:ilvl w:val="0"/>
          <w:numId w:val="0"/>
        </w:numPr>
        <w:rPr>
          <w:rStyle w:val="25"/>
          <w:rFonts w:hint="eastAsia" w:ascii="黑体" w:hAnsi="黑体" w:eastAsia="黑体"/>
          <w:b w:val="0"/>
          <w:bCs w:val="0"/>
        </w:rPr>
      </w:pPr>
      <w:r>
        <w:rPr>
          <w:rStyle w:val="25"/>
          <w:rFonts w:hint="eastAsia" w:ascii="黑体" w:hAnsi="黑体" w:eastAsia="黑体"/>
          <w:b w:val="0"/>
          <w:bCs w:val="0"/>
          <w:lang w:eastAsia="zh-CN"/>
        </w:rPr>
        <w:t>（</w:t>
      </w:r>
      <w:r>
        <w:rPr>
          <w:rStyle w:val="25"/>
          <w:rFonts w:hint="eastAsia" w:ascii="黑体" w:hAnsi="黑体" w:eastAsia="黑体"/>
          <w:b w:val="0"/>
          <w:bCs w:val="0"/>
          <w:lang w:val="en-US" w:eastAsia="zh-CN"/>
        </w:rPr>
        <w:t>二</w:t>
      </w:r>
      <w:r>
        <w:rPr>
          <w:rStyle w:val="25"/>
          <w:rFonts w:hint="eastAsia" w:ascii="黑体" w:hAnsi="黑体" w:eastAsia="黑体"/>
          <w:b w:val="0"/>
          <w:bCs w:val="0"/>
          <w:lang w:eastAsia="zh-CN"/>
        </w:rPr>
        <w:t>）、</w:t>
      </w:r>
      <w:r>
        <w:rPr>
          <w:rStyle w:val="25"/>
          <w:rFonts w:hint="eastAsia" w:ascii="黑体" w:hAnsi="黑体" w:eastAsia="黑体"/>
          <w:b w:val="0"/>
          <w:bCs w:val="0"/>
        </w:rPr>
        <w:t>2021年重点工作</w:t>
      </w:r>
      <w:bookmarkEnd w:id="3"/>
      <w:bookmarkEnd w:id="4"/>
      <w:r>
        <w:rPr>
          <w:rStyle w:val="25"/>
          <w:rFonts w:hint="eastAsia" w:ascii="黑体" w:hAnsi="黑体" w:eastAsia="黑体"/>
          <w:b w:val="0"/>
          <w:bCs w:val="0"/>
        </w:rPr>
        <w:t>完成情况</w:t>
      </w:r>
    </w:p>
    <w:p w14:paraId="2BFE7528">
      <w:pPr>
        <w:adjustRightInd w:val="0"/>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1.概述单位工作开展情况及主要事业成效。</w:t>
      </w:r>
    </w:p>
    <w:p w14:paraId="26D98CEA">
      <w:pPr>
        <w:adjustRightInd w:val="0"/>
        <w:ind w:firstLine="640" w:firstLineChars="200"/>
        <w:rPr>
          <w:rFonts w:hint="eastAsia" w:ascii="仿宋_GB2312" w:hAnsi="仿宋_GB2312" w:eastAsia="仿宋_GB2312" w:cs="仿宋_GB2312"/>
          <w:color w:val="000000"/>
          <w:sz w:val="32"/>
          <w:szCs w:val="32"/>
        </w:rPr>
      </w:pPr>
      <w:bookmarkStart w:id="56" w:name="_GoBack"/>
      <w:bookmarkEnd w:id="56"/>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党史学习教育</w:t>
      </w:r>
      <w:r>
        <w:rPr>
          <w:rFonts w:hint="eastAsia" w:ascii="仿宋_GB2312" w:hAnsi="仿宋_GB2312" w:eastAsia="仿宋_GB2312" w:cs="仿宋_GB2312"/>
          <w:color w:val="000000"/>
          <w:sz w:val="32"/>
          <w:szCs w:val="32"/>
        </w:rPr>
        <w:t>中，组织全园教师参与拍摄《在灿烂的阳光下》荣获四川省第十六届校园影视教育成果展示交流活动“庆祝中国共产党成立100周年”主题类一等奖。</w:t>
      </w:r>
    </w:p>
    <w:p w14:paraId="194B0595">
      <w:pPr>
        <w:adjustRightInd w:val="0"/>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（2）弘扬师德，夯实敬业奉献、与时俱进的思想素质。开展“学党史、立师德、正师风”师德师风专项教育活动，共计开展师德师风大讲堂3次，师德师风演讲比赛1次，相关师德师风教育活动10余次。</w:t>
      </w:r>
    </w:p>
    <w:p w14:paraId="3D18C6A0">
      <w:pPr>
        <w:adjustRightInd w:val="0"/>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网络研修与线下学习有机结合，共促发展。我园教师参加2021年四川省教科院组织的网络教研活动、四川省中小学教师网络专项研修和幼儿教师在线培训，参与率100%。组织教师参加2.0信息技术工程学习，确定了我园四个维度，8个能力点供老师们选择，目前老师们积极主动完成所选能力点的各项作业任务，此项工作正在如火如荼的开展中。同时积极参加教育科研课题研究工作，其中一项市级微型课题《中班幼儿足球游戏的实践研究》立项，将于今年年底结题，二项区级课题《故事元素在幼儿园中班美术教学中的运用和实践研究》《创意戏剧游戏在中班语言教学中的运用和实践研究》已结题，一项区级课题《幼儿园中幼儿生活安全教育的实践研究》于今年11月立项。</w:t>
      </w:r>
    </w:p>
    <w:p w14:paraId="0225EE4C">
      <w:pPr>
        <w:adjustRightInd w:val="0"/>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（4）幼儿健身操队参加四川省体育局主办的2021年“奔跑吧.少年”儿童青少年主题健身操活动（四川站）暨“中国体育彩票杯”四川省第四届幼儿体育大会（幼儿健身操）荣获比赛一等奖。</w:t>
      </w:r>
    </w:p>
    <w:p w14:paraId="7E3568B3">
      <w:pPr>
        <w:adjustRightInd w:val="0"/>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（5）组织幼儿参加“童画之星·第二十四届全国幼儿创意美术大赛”，投稿各类作品141份，特金奖16份，金奖46份，银奖和铜奖共计79份，园所获得全国幼儿创意美术教育成果二等奖。</w:t>
      </w:r>
    </w:p>
    <w:p w14:paraId="22AE2698">
      <w:pPr>
        <w:adjustRightInd w:val="0"/>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（6）每周中大班开展各班级幼儿足球特色活动，月底将进行为足球赛，为今后比赛打下坚实基础，也可以家园共育更好配合，与此同时进行全国幼儿足球特色园申报工作。</w:t>
      </w:r>
    </w:p>
    <w:p w14:paraId="7AC8A825">
      <w:pPr>
        <w:adjustRightInd w:val="0"/>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（7）坚持做好1530安全教育制度。“每天放学前1分钟、每周五放学前5分钟、节假日前30分钟”对幼儿进行安全提醒和安全教育。</w:t>
      </w:r>
    </w:p>
    <w:p w14:paraId="18BFC77C">
      <w:pPr>
        <w:adjustRightInd w:val="0"/>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（8）6个100%安防建设。“封闭化管理、防冲撞桩设置、一键紧急报警器与公安联网视频监控全覆盖、视频监控系统与公安联网、专职保安两名、护学岗”。</w:t>
      </w:r>
    </w:p>
    <w:p w14:paraId="4BB4FC28">
      <w:pPr>
        <w:adjustRightInd w:val="0"/>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（9）安全教育平台的使用。主要通过安全课程、专题活动、疏散演练和安全提醒几类来进行，完成率100%。</w:t>
      </w:r>
    </w:p>
    <w:p w14:paraId="1C643F7B">
      <w:pPr>
        <w:adjustRightInd w:val="0"/>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（10）应急演练活动的开展。全年共开展消防、地震、防暴、防汛演练7次。</w:t>
      </w:r>
    </w:p>
    <w:p w14:paraId="2E75349F">
      <w:pPr>
        <w:adjustRightInd w:val="0"/>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食品安全工作。认真重视食品安全工作，实行大宗物资采购，明厨亮灶工程，严把进货查验关，本学期开展食物中毒应急演练1次，组织幼儿参加“文轩教育杯”校园食品安全征文活动，幼儿涂鸦获得一等奖一名、二等奖一名的好成绩。</w:t>
      </w:r>
    </w:p>
    <w:p w14:paraId="69A9289B">
      <w:pPr>
        <w:adjustRightInd w:val="0"/>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（12）层次化、过程化进行科学管理。成立后勤组和教学组，下设卫生、食堂、安全、采购、年级教学组五个部门，分别设立负责人员，放权放手，提供开展工作的空间。</w:t>
      </w:r>
    </w:p>
    <w:p w14:paraId="0FA9CFA8">
      <w:pPr>
        <w:adjustRightInd w:val="0"/>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（13）制度化、弹性化进行硬柔管理。按园所实际情况规范教职员工工作行为，提高保教质量的同时注重给教师创设一个自由民主的工作环境。铁的纪律保证强大的战斗力、有情的环境增加教师凝聚力。</w:t>
      </w:r>
    </w:p>
    <w:p w14:paraId="2BFC71D5">
      <w:pPr>
        <w:adjustRightInd w:val="0"/>
        <w:ind w:firstLine="640" w:firstLineChars="200"/>
        <w:rPr>
          <w:rStyle w:val="25"/>
          <w:rFonts w:hint="eastAsia" w:ascii="黑体" w:hAnsi="黑体" w:eastAsia="黑体"/>
          <w:b w:val="0"/>
          <w:bCs w:val="0"/>
          <w:lang w:val="en-US" w:eastAsia="zh-CN" w:bidi="ar-SA"/>
        </w:rPr>
      </w:pPr>
      <w:r>
        <w:rPr>
          <w:rStyle w:val="25"/>
          <w:rFonts w:hint="eastAsia" w:ascii="黑体" w:hAnsi="黑体" w:eastAsia="黑体"/>
          <w:b w:val="0"/>
          <w:bCs w:val="0"/>
          <w:lang w:val="en-US" w:eastAsia="zh-CN" w:bidi="ar-SA"/>
        </w:rPr>
        <w:t>（三）机构设置情况</w:t>
      </w:r>
    </w:p>
    <w:p w14:paraId="59222DF8">
      <w:pPr>
        <w:pStyle w:val="2"/>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攀枝花市西区第二幼儿园属于攀枝花市西区教育和体育局下属二级单位，下设3个部门</w:t>
      </w:r>
      <w:r>
        <w:rPr>
          <w:rFonts w:hint="eastAsia" w:hAnsi="仿宋_GB2312" w:cs="仿宋_GB2312"/>
          <w:color w:val="000000"/>
          <w:kern w:val="2"/>
          <w:sz w:val="32"/>
          <w:szCs w:val="32"/>
          <w:lang w:val="en-US" w:eastAsia="zh-CN" w:bidi="ar-SA"/>
        </w:rPr>
        <w:t>，其中教学部1个、后勤部1个、人事财务部1个。教学部负责日常教学，培训，师德师风等日常工作。后勤部负责采购，食堂，卫生，安保，安全，项目建设等工作。人事财务部负责日常工资发放社保缴纳，个税申报，预算决算，职称晋升等工作。</w:t>
      </w:r>
    </w:p>
    <w:p w14:paraId="78E0C069">
      <w:pPr>
        <w:adjustRightInd w:val="0"/>
        <w:ind w:firstLine="640" w:firstLineChars="200"/>
        <w:rPr>
          <w:rStyle w:val="24"/>
          <w:rFonts w:hint="eastAsia" w:ascii="方正小标宋_GBK" w:hAnsi="方正小标宋_GBK" w:eastAsia="方正小标宋_GBK" w:cs="方正小标宋_GBK"/>
          <w:b w:val="0"/>
          <w:bCs/>
        </w:rPr>
      </w:pPr>
      <w:r>
        <w:rPr>
          <w:rFonts w:hint="eastAsia" w:ascii="仿宋_GB2312" w:hAnsi="仿宋_GB2312" w:eastAsia="仿宋_GB2312" w:cs="仿宋_GB2312"/>
          <w:color w:val="000000"/>
          <w:kern w:val="2"/>
          <w:sz w:val="32"/>
          <w:szCs w:val="32"/>
          <w:lang w:val="en-US" w:eastAsia="zh-CN" w:bidi="ar-SA"/>
        </w:rPr>
        <w:br w:type="page"/>
      </w:r>
      <w:bookmarkStart w:id="5" w:name="_Toc15377204"/>
      <w:bookmarkStart w:id="6" w:name="_Toc15396602"/>
      <w:r>
        <w:rPr>
          <w:rStyle w:val="24"/>
          <w:rFonts w:hint="eastAsia" w:ascii="方正小标宋_GBK" w:hAnsi="方正小标宋_GBK" w:eastAsia="方正小标宋_GBK" w:cs="方正小标宋_GBK"/>
          <w:b w:val="0"/>
          <w:bCs/>
        </w:rPr>
        <w:t>第二部分 2021年度单位决算情况说明</w:t>
      </w:r>
      <w:bookmarkEnd w:id="5"/>
      <w:bookmarkEnd w:id="6"/>
    </w:p>
    <w:p w14:paraId="030FB149"/>
    <w:p w14:paraId="2B592D69">
      <w:pPr>
        <w:pStyle w:val="23"/>
        <w:numPr>
          <w:ilvl w:val="0"/>
          <w:numId w:val="2"/>
        </w:numPr>
        <w:spacing w:line="600" w:lineRule="exact"/>
        <w:ind w:firstLineChars="0"/>
        <w:outlineLvl w:val="1"/>
        <w:rPr>
          <w:rStyle w:val="25"/>
          <w:rFonts w:ascii="黑体" w:hAnsi="黑体" w:eastAsia="黑体"/>
          <w:b w:val="0"/>
        </w:rPr>
      </w:pPr>
      <w:bookmarkStart w:id="7" w:name="_Toc15377205"/>
      <w:bookmarkStart w:id="8" w:name="_Toc15396603"/>
      <w:r>
        <w:rPr>
          <w:rFonts w:hint="eastAsia" w:ascii="黑体" w:hAnsi="黑体" w:eastAsia="黑体"/>
          <w:sz w:val="32"/>
          <w:szCs w:val="32"/>
        </w:rPr>
        <w:t>收</w:t>
      </w:r>
      <w:r>
        <w:rPr>
          <w:rStyle w:val="25"/>
          <w:rFonts w:hint="eastAsia" w:ascii="黑体" w:hAnsi="黑体" w:eastAsia="黑体"/>
          <w:b w:val="0"/>
        </w:rPr>
        <w:t>入支出决算总体情况说明</w:t>
      </w:r>
      <w:bookmarkEnd w:id="7"/>
      <w:bookmarkEnd w:id="8"/>
    </w:p>
    <w:p w14:paraId="087DA29B">
      <w:pPr>
        <w:spacing w:line="600" w:lineRule="exact"/>
        <w:ind w:firstLine="420" w:firstLineChars="200"/>
        <w:rPr>
          <w:rFonts w:ascii="仿宋" w:hAnsi="仿宋" w:eastAsia="仿宋"/>
          <w:sz w:val="32"/>
          <w:szCs w:val="32"/>
        </w:rPr>
      </w:pPr>
      <w:r>
        <w:drawing>
          <wp:anchor distT="0" distB="0" distL="114300" distR="114300" simplePos="0" relativeHeight="251659264" behindDoc="0" locked="0" layoutInCell="1" allowOverlap="1">
            <wp:simplePos x="0" y="0"/>
            <wp:positionH relativeFrom="column">
              <wp:posOffset>103505</wp:posOffset>
            </wp:positionH>
            <wp:positionV relativeFrom="paragraph">
              <wp:posOffset>1129665</wp:posOffset>
            </wp:positionV>
            <wp:extent cx="5271770" cy="2699385"/>
            <wp:effectExtent l="4445" t="4445" r="12065" b="8890"/>
            <wp:wrapNone/>
            <wp:docPr id="26"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sz w:val="32"/>
          <w:szCs w:val="32"/>
        </w:rPr>
        <w:t>2021年度收、支总计252.19万元。与2020年相比，收、支总计各增加6.44万元，增长2.62</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color w:val="000000"/>
          <w:sz w:val="32"/>
          <w:szCs w:val="32"/>
        </w:rPr>
        <w:t>是教师工资增加，收入费用略微增加。</w:t>
      </w:r>
    </w:p>
    <w:p w14:paraId="435D672F">
      <w:pPr>
        <w:pStyle w:val="2"/>
        <w:spacing w:before="93"/>
        <w:rPr>
          <w:rFonts w:ascii="仿宋" w:hAnsi="仿宋" w:eastAsia="仿宋"/>
          <w:sz w:val="32"/>
          <w:szCs w:val="32"/>
        </w:rPr>
      </w:pPr>
    </w:p>
    <w:p w14:paraId="4C5DBFE4">
      <w:pPr>
        <w:pStyle w:val="2"/>
        <w:spacing w:before="93"/>
        <w:rPr>
          <w:rFonts w:ascii="仿宋" w:hAnsi="仿宋" w:eastAsia="仿宋"/>
          <w:sz w:val="32"/>
          <w:szCs w:val="32"/>
        </w:rPr>
      </w:pPr>
    </w:p>
    <w:p w14:paraId="36681637">
      <w:pPr>
        <w:pStyle w:val="2"/>
        <w:spacing w:before="93"/>
        <w:rPr>
          <w:rFonts w:ascii="仿宋" w:hAnsi="仿宋" w:eastAsia="仿宋"/>
          <w:sz w:val="32"/>
          <w:szCs w:val="32"/>
        </w:rPr>
      </w:pPr>
    </w:p>
    <w:p w14:paraId="1278FE37">
      <w:pPr>
        <w:pStyle w:val="2"/>
        <w:spacing w:before="93"/>
        <w:rPr>
          <w:rFonts w:ascii="仿宋" w:hAnsi="仿宋" w:eastAsia="仿宋"/>
          <w:sz w:val="32"/>
          <w:szCs w:val="32"/>
        </w:rPr>
      </w:pPr>
    </w:p>
    <w:p w14:paraId="445B1583">
      <w:pPr>
        <w:pStyle w:val="2"/>
        <w:spacing w:before="93"/>
        <w:rPr>
          <w:rFonts w:ascii="仿宋" w:hAnsi="仿宋" w:eastAsia="仿宋"/>
          <w:sz w:val="32"/>
          <w:szCs w:val="32"/>
        </w:rPr>
      </w:pPr>
    </w:p>
    <w:p w14:paraId="7B847FE8">
      <w:pPr>
        <w:spacing w:line="600" w:lineRule="exact"/>
        <w:ind w:firstLine="640" w:firstLineChars="200"/>
        <w:rPr>
          <w:rFonts w:ascii="仿宋" w:hAnsi="仿宋" w:eastAsia="仿宋"/>
          <w:color w:val="FF0000"/>
          <w:sz w:val="32"/>
          <w:szCs w:val="32"/>
        </w:rPr>
      </w:pPr>
    </w:p>
    <w:p w14:paraId="0A917638">
      <w:pPr>
        <w:spacing w:line="600" w:lineRule="exact"/>
        <w:ind w:firstLine="640" w:firstLineChars="200"/>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278C9474">
      <w:pPr>
        <w:pStyle w:val="23"/>
        <w:numPr>
          <w:ilvl w:val="0"/>
          <w:numId w:val="2"/>
        </w:numPr>
        <w:spacing w:line="600" w:lineRule="exact"/>
        <w:ind w:firstLineChars="0"/>
        <w:outlineLvl w:val="1"/>
        <w:rPr>
          <w:rStyle w:val="25"/>
          <w:rFonts w:ascii="黑体" w:hAnsi="黑体" w:eastAsia="黑体"/>
          <w:b w:val="0"/>
        </w:rPr>
      </w:pPr>
      <w:bookmarkStart w:id="9" w:name="_Toc15396604"/>
      <w:bookmarkStart w:id="10" w:name="_Toc15377206"/>
      <w:r>
        <w:rPr>
          <w:rFonts w:hint="eastAsia" w:ascii="黑体" w:hAnsi="黑体" w:eastAsia="黑体"/>
          <w:sz w:val="32"/>
          <w:szCs w:val="32"/>
        </w:rPr>
        <w:t>收</w:t>
      </w:r>
      <w:r>
        <w:rPr>
          <w:rStyle w:val="25"/>
          <w:rFonts w:hint="eastAsia" w:ascii="黑体" w:hAnsi="黑体" w:eastAsia="黑体"/>
          <w:b w:val="0"/>
        </w:rPr>
        <w:t>入决算情况说明</w:t>
      </w:r>
      <w:bookmarkEnd w:id="9"/>
      <w:bookmarkEnd w:id="10"/>
    </w:p>
    <w:p w14:paraId="5DE1D20D">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21年本年收入合计242.58万元，其中：一般公共预算财政拨款收入242.58万元，占100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14:paraId="2ABB0D43">
      <w:pPr>
        <w:spacing w:line="600" w:lineRule="exact"/>
        <w:ind w:firstLine="640" w:firstLineChars="200"/>
        <w:outlineLvl w:val="1"/>
        <w:rPr>
          <w:rFonts w:ascii="仿宋" w:hAnsi="仿宋" w:eastAsia="仿宋"/>
          <w:sz w:val="32"/>
          <w:szCs w:val="32"/>
        </w:rPr>
      </w:pPr>
    </w:p>
    <w:p w14:paraId="71010E7E">
      <w:pPr>
        <w:spacing w:line="600" w:lineRule="exact"/>
        <w:ind w:firstLine="640" w:firstLineChars="200"/>
        <w:rPr>
          <w:rFonts w:ascii="仿宋" w:hAnsi="仿宋" w:eastAsia="仿宋"/>
          <w:color w:val="FF0000"/>
          <w:sz w:val="32"/>
          <w:szCs w:val="32"/>
        </w:rPr>
      </w:pPr>
    </w:p>
    <w:p w14:paraId="151FC464">
      <w:pPr>
        <w:spacing w:line="600" w:lineRule="exact"/>
        <w:ind w:firstLine="420" w:firstLineChars="200"/>
        <w:rPr>
          <w:rFonts w:ascii="仿宋" w:hAnsi="仿宋" w:eastAsia="仿宋"/>
          <w:color w:val="FF0000"/>
          <w:sz w:val="32"/>
          <w:szCs w:val="32"/>
        </w:rPr>
      </w:pPr>
      <w:r>
        <w:drawing>
          <wp:anchor distT="0" distB="0" distL="114300" distR="114300" simplePos="0" relativeHeight="251660288" behindDoc="0" locked="0" layoutInCell="1" allowOverlap="1">
            <wp:simplePos x="0" y="0"/>
            <wp:positionH relativeFrom="column">
              <wp:posOffset>553085</wp:posOffset>
            </wp:positionH>
            <wp:positionV relativeFrom="paragraph">
              <wp:posOffset>7620</wp:posOffset>
            </wp:positionV>
            <wp:extent cx="3721100" cy="2433320"/>
            <wp:effectExtent l="4445" t="4445" r="8255" b="19685"/>
            <wp:wrapNone/>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322509FD">
      <w:pPr>
        <w:spacing w:line="600" w:lineRule="exact"/>
        <w:ind w:firstLine="640" w:firstLineChars="200"/>
        <w:rPr>
          <w:rFonts w:ascii="仿宋" w:hAnsi="仿宋" w:eastAsia="仿宋"/>
          <w:color w:val="FF0000"/>
          <w:sz w:val="32"/>
          <w:szCs w:val="32"/>
        </w:rPr>
      </w:pPr>
    </w:p>
    <w:p w14:paraId="7F0EBED3">
      <w:pPr>
        <w:spacing w:line="600" w:lineRule="exact"/>
        <w:ind w:firstLine="640" w:firstLineChars="200"/>
        <w:rPr>
          <w:rFonts w:ascii="仿宋" w:hAnsi="仿宋" w:eastAsia="仿宋"/>
          <w:color w:val="FF0000"/>
          <w:sz w:val="32"/>
          <w:szCs w:val="32"/>
        </w:rPr>
      </w:pPr>
    </w:p>
    <w:p w14:paraId="036BC017">
      <w:pPr>
        <w:spacing w:line="600" w:lineRule="exact"/>
        <w:ind w:firstLine="640" w:firstLineChars="200"/>
        <w:rPr>
          <w:rFonts w:ascii="仿宋" w:hAnsi="仿宋" w:eastAsia="仿宋"/>
          <w:color w:val="FF0000"/>
          <w:sz w:val="32"/>
          <w:szCs w:val="32"/>
        </w:rPr>
      </w:pPr>
    </w:p>
    <w:p w14:paraId="0382D4B9">
      <w:pPr>
        <w:pStyle w:val="2"/>
        <w:spacing w:before="93"/>
        <w:rPr>
          <w:rFonts w:ascii="仿宋" w:hAnsi="仿宋" w:eastAsia="仿宋"/>
          <w:color w:val="FF0000"/>
          <w:sz w:val="32"/>
          <w:szCs w:val="32"/>
        </w:rPr>
      </w:pPr>
    </w:p>
    <w:p w14:paraId="128631FC">
      <w:pPr>
        <w:pStyle w:val="2"/>
        <w:spacing w:before="93"/>
        <w:rPr>
          <w:rFonts w:ascii="仿宋" w:hAnsi="仿宋" w:eastAsia="仿宋"/>
          <w:color w:val="FF0000"/>
          <w:sz w:val="32"/>
          <w:szCs w:val="32"/>
        </w:rPr>
      </w:pPr>
    </w:p>
    <w:p w14:paraId="4D1F0F96">
      <w:pPr>
        <w:spacing w:line="600" w:lineRule="exact"/>
        <w:ind w:firstLine="1600" w:firstLineChars="500"/>
        <w:rPr>
          <w:rFonts w:ascii="仿宋_GB2312" w:eastAsia="仿宋_GB2312"/>
          <w:sz w:val="32"/>
          <w:szCs w:val="32"/>
        </w:rPr>
      </w:pPr>
      <w:r>
        <w:rPr>
          <w:rFonts w:hint="eastAsia" w:ascii="仿宋" w:hAnsi="仿宋" w:eastAsia="仿宋"/>
          <w:sz w:val="32"/>
          <w:szCs w:val="32"/>
        </w:rPr>
        <w:t>（图2：收入决算结构图）（饼状图）</w:t>
      </w:r>
    </w:p>
    <w:p w14:paraId="45526F56">
      <w:pPr>
        <w:pStyle w:val="23"/>
        <w:numPr>
          <w:ilvl w:val="0"/>
          <w:numId w:val="2"/>
        </w:numPr>
        <w:spacing w:line="600" w:lineRule="exact"/>
        <w:ind w:firstLineChars="0"/>
        <w:outlineLvl w:val="1"/>
        <w:rPr>
          <w:rStyle w:val="25"/>
          <w:rFonts w:ascii="黑体" w:hAnsi="黑体" w:eastAsia="黑体"/>
          <w:b w:val="0"/>
        </w:rPr>
      </w:pPr>
      <w:bookmarkStart w:id="11" w:name="_Toc15377207"/>
      <w:bookmarkStart w:id="12" w:name="_Toc15396605"/>
      <w:r>
        <w:rPr>
          <w:rFonts w:hint="eastAsia" w:ascii="黑体" w:hAnsi="黑体" w:eastAsia="黑体"/>
          <w:sz w:val="32"/>
          <w:szCs w:val="32"/>
        </w:rPr>
        <w:t>支</w:t>
      </w:r>
      <w:r>
        <w:rPr>
          <w:rStyle w:val="25"/>
          <w:rFonts w:hint="eastAsia" w:ascii="黑体" w:hAnsi="黑体" w:eastAsia="黑体"/>
          <w:b w:val="0"/>
        </w:rPr>
        <w:t>出决算情况说明</w:t>
      </w:r>
      <w:bookmarkEnd w:id="11"/>
      <w:bookmarkEnd w:id="12"/>
    </w:p>
    <w:p w14:paraId="483A69EB">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21年本年支出合计252.19万元，其中：基本支出184.95万元，占73.34</w:t>
      </w:r>
      <w:r>
        <w:rPr>
          <w:rFonts w:ascii="仿宋" w:hAnsi="仿宋" w:eastAsia="仿宋"/>
          <w:sz w:val="32"/>
          <w:szCs w:val="32"/>
        </w:rPr>
        <w:t>%</w:t>
      </w:r>
      <w:r>
        <w:rPr>
          <w:rFonts w:hint="eastAsia" w:ascii="仿宋" w:hAnsi="仿宋" w:eastAsia="仿宋"/>
          <w:sz w:val="32"/>
          <w:szCs w:val="32"/>
        </w:rPr>
        <w:t>；项目支出67.24万元，占26.66</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14:paraId="4B7B01E8">
      <w:pPr>
        <w:spacing w:line="600" w:lineRule="exact"/>
        <w:ind w:firstLine="640"/>
        <w:rPr>
          <w:rFonts w:ascii="仿宋" w:hAnsi="仿宋" w:eastAsia="仿宋"/>
          <w:sz w:val="32"/>
          <w:szCs w:val="32"/>
          <w:shd w:val="pct10" w:color="auto" w:fill="FFFFFF"/>
        </w:rPr>
      </w:pPr>
      <w:r>
        <w:drawing>
          <wp:anchor distT="0" distB="0" distL="114300" distR="114300" simplePos="0" relativeHeight="251661312" behindDoc="0" locked="0" layoutInCell="1" allowOverlap="1">
            <wp:simplePos x="0" y="0"/>
            <wp:positionH relativeFrom="column">
              <wp:posOffset>514985</wp:posOffset>
            </wp:positionH>
            <wp:positionV relativeFrom="paragraph">
              <wp:posOffset>10795</wp:posOffset>
            </wp:positionV>
            <wp:extent cx="3907155" cy="3184525"/>
            <wp:effectExtent l="5080" t="4445" r="4445" b="11430"/>
            <wp:wrapNone/>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704A5FA2">
      <w:pPr>
        <w:pStyle w:val="2"/>
        <w:spacing w:before="93"/>
        <w:rPr>
          <w:rFonts w:ascii="仿宋" w:hAnsi="仿宋" w:eastAsia="仿宋"/>
          <w:sz w:val="32"/>
          <w:szCs w:val="32"/>
          <w:shd w:val="pct10" w:color="auto" w:fill="FFFFFF"/>
        </w:rPr>
      </w:pPr>
    </w:p>
    <w:p w14:paraId="610FCD52">
      <w:pPr>
        <w:pStyle w:val="2"/>
        <w:spacing w:before="93"/>
        <w:rPr>
          <w:rFonts w:ascii="仿宋" w:hAnsi="仿宋" w:eastAsia="仿宋"/>
          <w:sz w:val="32"/>
          <w:szCs w:val="32"/>
          <w:shd w:val="pct10" w:color="auto" w:fill="FFFFFF"/>
        </w:rPr>
      </w:pPr>
    </w:p>
    <w:p w14:paraId="5F225011">
      <w:pPr>
        <w:pStyle w:val="2"/>
        <w:spacing w:before="93"/>
        <w:rPr>
          <w:rFonts w:ascii="仿宋" w:hAnsi="仿宋" w:eastAsia="仿宋"/>
          <w:sz w:val="32"/>
          <w:szCs w:val="32"/>
          <w:shd w:val="pct10" w:color="auto" w:fill="FFFFFF"/>
        </w:rPr>
      </w:pPr>
    </w:p>
    <w:p w14:paraId="3EF8E503">
      <w:pPr>
        <w:pStyle w:val="2"/>
        <w:spacing w:before="93"/>
        <w:rPr>
          <w:rFonts w:ascii="仿宋" w:hAnsi="仿宋" w:eastAsia="仿宋"/>
          <w:sz w:val="32"/>
          <w:szCs w:val="32"/>
          <w:shd w:val="pct10" w:color="auto" w:fill="FFFFFF"/>
        </w:rPr>
      </w:pPr>
    </w:p>
    <w:p w14:paraId="307485F7">
      <w:pPr>
        <w:pStyle w:val="2"/>
        <w:spacing w:before="93"/>
        <w:rPr>
          <w:rFonts w:ascii="仿宋" w:hAnsi="仿宋" w:eastAsia="仿宋"/>
          <w:sz w:val="32"/>
          <w:szCs w:val="32"/>
          <w:shd w:val="pct10" w:color="auto" w:fill="FFFFFF"/>
        </w:rPr>
      </w:pPr>
    </w:p>
    <w:p w14:paraId="04EA3D95">
      <w:pPr>
        <w:pStyle w:val="2"/>
        <w:spacing w:before="93"/>
        <w:rPr>
          <w:rFonts w:ascii="仿宋" w:hAnsi="仿宋" w:eastAsia="仿宋"/>
          <w:sz w:val="32"/>
          <w:szCs w:val="32"/>
          <w:shd w:val="pct10" w:color="auto" w:fill="FFFFFF"/>
        </w:rPr>
      </w:pPr>
    </w:p>
    <w:p w14:paraId="796DAC21">
      <w:pPr>
        <w:spacing w:line="600" w:lineRule="exact"/>
        <w:ind w:firstLine="1280" w:firstLineChars="400"/>
        <w:rPr>
          <w:rFonts w:ascii="仿宋_GB2312" w:eastAsia="仿宋_GB2312"/>
          <w:sz w:val="32"/>
          <w:szCs w:val="32"/>
        </w:rPr>
      </w:pPr>
      <w:r>
        <w:rPr>
          <w:rFonts w:hint="eastAsia" w:ascii="仿宋" w:hAnsi="仿宋" w:eastAsia="仿宋"/>
          <w:sz w:val="32"/>
          <w:szCs w:val="32"/>
        </w:rPr>
        <w:t>（图3：支出决算结构图）（饼状图）</w:t>
      </w:r>
    </w:p>
    <w:p w14:paraId="753758E8">
      <w:pPr>
        <w:spacing w:line="600" w:lineRule="exact"/>
        <w:ind w:firstLine="640" w:firstLineChars="200"/>
        <w:outlineLvl w:val="1"/>
        <w:rPr>
          <w:rFonts w:hint="eastAsia" w:ascii="黑体" w:hAnsi="黑体" w:eastAsia="黑体"/>
          <w:sz w:val="32"/>
          <w:szCs w:val="32"/>
        </w:rPr>
      </w:pPr>
      <w:bookmarkStart w:id="13" w:name="_Toc15377208"/>
      <w:bookmarkStart w:id="14" w:name="_Toc15396606"/>
    </w:p>
    <w:p w14:paraId="20A2E173">
      <w:pPr>
        <w:spacing w:line="600" w:lineRule="exact"/>
        <w:ind w:firstLine="640" w:firstLineChars="200"/>
        <w:outlineLvl w:val="1"/>
        <w:rPr>
          <w:rStyle w:val="25"/>
          <w:rFonts w:ascii="黑体" w:hAnsi="黑体" w:eastAsia="黑体"/>
          <w:b w:val="0"/>
        </w:rPr>
      </w:pPr>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13"/>
      <w:bookmarkEnd w:id="14"/>
    </w:p>
    <w:p w14:paraId="57525B97">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21年财政拨款收、支总计252.19万元。与</w:t>
      </w:r>
      <w:r>
        <w:rPr>
          <w:rFonts w:ascii="仿宋" w:hAnsi="仿宋" w:eastAsia="仿宋"/>
          <w:sz w:val="32"/>
          <w:szCs w:val="32"/>
        </w:rPr>
        <w:t>20</w:t>
      </w:r>
      <w:r>
        <w:rPr>
          <w:rFonts w:hint="eastAsia" w:ascii="仿宋" w:hAnsi="仿宋" w:eastAsia="仿宋"/>
          <w:sz w:val="32"/>
          <w:szCs w:val="32"/>
        </w:rPr>
        <w:t>20年相比，财政拨款收、支总计各增加37.13万元，增长17.26</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000000"/>
          <w:sz w:val="32"/>
          <w:szCs w:val="32"/>
        </w:rPr>
        <w:t>教师工资增加，收入费用略微增加。</w:t>
      </w:r>
    </w:p>
    <w:p w14:paraId="66215816">
      <w:pPr>
        <w:spacing w:line="600" w:lineRule="exact"/>
        <w:ind w:firstLine="420" w:firstLineChars="200"/>
        <w:rPr>
          <w:rFonts w:ascii="仿宋" w:hAnsi="仿宋" w:eastAsia="仿宋"/>
          <w:sz w:val="32"/>
          <w:szCs w:val="32"/>
        </w:rPr>
      </w:pPr>
      <w:r>
        <w:drawing>
          <wp:anchor distT="0" distB="0" distL="114300" distR="114300" simplePos="0" relativeHeight="251662336" behindDoc="0" locked="0" layoutInCell="1" allowOverlap="1">
            <wp:simplePos x="0" y="0"/>
            <wp:positionH relativeFrom="column">
              <wp:posOffset>57785</wp:posOffset>
            </wp:positionH>
            <wp:positionV relativeFrom="paragraph">
              <wp:posOffset>208915</wp:posOffset>
            </wp:positionV>
            <wp:extent cx="5271135" cy="2835275"/>
            <wp:effectExtent l="4445" t="4445" r="12700" b="10160"/>
            <wp:wrapNone/>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3E2A2C39">
      <w:pPr>
        <w:spacing w:line="600" w:lineRule="exact"/>
        <w:rPr>
          <w:rFonts w:ascii="仿宋" w:hAnsi="仿宋" w:eastAsia="仿宋"/>
          <w:sz w:val="32"/>
          <w:szCs w:val="32"/>
        </w:rPr>
      </w:pPr>
    </w:p>
    <w:p w14:paraId="46DA5DCB">
      <w:pPr>
        <w:pStyle w:val="2"/>
        <w:spacing w:before="93"/>
        <w:rPr>
          <w:rFonts w:ascii="仿宋" w:hAnsi="仿宋" w:eastAsia="仿宋"/>
          <w:sz w:val="32"/>
          <w:szCs w:val="32"/>
        </w:rPr>
      </w:pPr>
    </w:p>
    <w:p w14:paraId="5D52A009">
      <w:pPr>
        <w:pStyle w:val="2"/>
        <w:spacing w:before="93"/>
        <w:rPr>
          <w:rFonts w:ascii="仿宋" w:hAnsi="仿宋" w:eastAsia="仿宋"/>
          <w:sz w:val="32"/>
          <w:szCs w:val="32"/>
        </w:rPr>
      </w:pPr>
    </w:p>
    <w:p w14:paraId="7D40751C">
      <w:pPr>
        <w:pStyle w:val="2"/>
        <w:spacing w:before="93"/>
        <w:rPr>
          <w:rFonts w:ascii="仿宋" w:hAnsi="仿宋" w:eastAsia="仿宋"/>
          <w:sz w:val="32"/>
          <w:szCs w:val="32"/>
        </w:rPr>
      </w:pPr>
    </w:p>
    <w:p w14:paraId="10916366">
      <w:pPr>
        <w:pStyle w:val="2"/>
        <w:spacing w:before="93"/>
        <w:rPr>
          <w:rFonts w:ascii="仿宋" w:hAnsi="仿宋" w:eastAsia="仿宋"/>
          <w:sz w:val="32"/>
          <w:szCs w:val="32"/>
        </w:rPr>
      </w:pPr>
    </w:p>
    <w:p w14:paraId="6490A781">
      <w:pPr>
        <w:pStyle w:val="2"/>
        <w:spacing w:before="93"/>
        <w:rPr>
          <w:rFonts w:ascii="仿宋" w:hAnsi="仿宋" w:eastAsia="仿宋"/>
          <w:sz w:val="32"/>
          <w:szCs w:val="32"/>
        </w:rPr>
      </w:pPr>
    </w:p>
    <w:p w14:paraId="0756625F">
      <w:pPr>
        <w:spacing w:line="600" w:lineRule="exact"/>
        <w:ind w:firstLine="320" w:firstLineChars="100"/>
        <w:rPr>
          <w:rFonts w:ascii="仿宋" w:hAnsi="仿宋" w:eastAsia="仿宋"/>
          <w:b/>
          <w:sz w:val="32"/>
          <w:szCs w:val="32"/>
        </w:rPr>
      </w:pPr>
      <w:r>
        <w:rPr>
          <w:rFonts w:hint="eastAsia" w:ascii="仿宋" w:hAnsi="仿宋" w:eastAsia="仿宋"/>
          <w:sz w:val="32"/>
          <w:szCs w:val="32"/>
        </w:rPr>
        <w:t>（图4：财政拨款收、支决算总计变动情况）（柱状图）</w:t>
      </w:r>
    </w:p>
    <w:p w14:paraId="7A6EA048">
      <w:pPr>
        <w:spacing w:line="600" w:lineRule="exact"/>
        <w:ind w:firstLine="640" w:firstLineChars="200"/>
        <w:outlineLvl w:val="1"/>
        <w:rPr>
          <w:rStyle w:val="25"/>
          <w:rFonts w:ascii="黑体" w:hAnsi="黑体" w:eastAsia="黑体"/>
          <w:b w:val="0"/>
        </w:rPr>
      </w:pPr>
      <w:bookmarkStart w:id="15" w:name="_Toc15396607"/>
      <w:bookmarkStart w:id="16" w:name="_Toc15377209"/>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15"/>
      <w:bookmarkEnd w:id="16"/>
    </w:p>
    <w:p w14:paraId="49920DE4">
      <w:pPr>
        <w:spacing w:line="600" w:lineRule="exact"/>
        <w:ind w:firstLine="643" w:firstLineChars="200"/>
        <w:outlineLvl w:val="2"/>
        <w:rPr>
          <w:rFonts w:ascii="仿宋" w:hAnsi="仿宋" w:eastAsia="仿宋"/>
          <w:b/>
          <w:sz w:val="32"/>
          <w:szCs w:val="32"/>
        </w:rPr>
      </w:pPr>
      <w:bookmarkStart w:id="17" w:name="_Toc15377210"/>
      <w:r>
        <w:rPr>
          <w:rFonts w:hint="eastAsia" w:ascii="仿宋" w:hAnsi="仿宋" w:eastAsia="仿宋"/>
          <w:b/>
          <w:sz w:val="32"/>
          <w:szCs w:val="32"/>
        </w:rPr>
        <w:t>（一）一般公共预算财政拨款支出决算总体情况</w:t>
      </w:r>
      <w:bookmarkEnd w:id="17"/>
    </w:p>
    <w:p w14:paraId="422B7EE7">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21年一般公共预算财政拨款支出252.19万元，占本年支出合计的100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20年相比，一般公共预算财政拨款支出增加37.13万元，增长17.26</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000000"/>
          <w:sz w:val="32"/>
          <w:szCs w:val="32"/>
        </w:rPr>
        <w:t>教师工资增加，收入费用略微增加。</w:t>
      </w:r>
    </w:p>
    <w:p w14:paraId="5E6BC5D9">
      <w:pPr>
        <w:spacing w:line="600" w:lineRule="exact"/>
        <w:ind w:firstLine="640" w:firstLineChars="200"/>
        <w:rPr>
          <w:rFonts w:ascii="仿宋" w:hAnsi="仿宋" w:eastAsia="仿宋"/>
          <w:sz w:val="32"/>
          <w:szCs w:val="32"/>
        </w:rPr>
      </w:pPr>
    </w:p>
    <w:p w14:paraId="6319D063">
      <w:pPr>
        <w:spacing w:line="600" w:lineRule="exact"/>
        <w:ind w:firstLine="640" w:firstLineChars="200"/>
        <w:rPr>
          <w:rFonts w:ascii="仿宋" w:hAnsi="仿宋" w:eastAsia="仿宋"/>
          <w:sz w:val="32"/>
          <w:szCs w:val="32"/>
        </w:rPr>
      </w:pPr>
    </w:p>
    <w:p w14:paraId="68B5F3E6">
      <w:pPr>
        <w:pStyle w:val="2"/>
        <w:spacing w:before="93"/>
        <w:rPr>
          <w:rFonts w:ascii="仿宋" w:hAnsi="仿宋" w:eastAsia="仿宋"/>
          <w:sz w:val="32"/>
          <w:szCs w:val="32"/>
        </w:rPr>
      </w:pPr>
    </w:p>
    <w:p w14:paraId="20B180EA">
      <w:pPr>
        <w:pStyle w:val="2"/>
        <w:spacing w:before="93"/>
        <w:rPr>
          <w:rFonts w:ascii="仿宋" w:hAnsi="仿宋" w:eastAsia="仿宋"/>
          <w:sz w:val="32"/>
          <w:szCs w:val="32"/>
        </w:rPr>
      </w:pPr>
    </w:p>
    <w:p w14:paraId="5CBC02C5">
      <w:pPr>
        <w:pStyle w:val="2"/>
        <w:spacing w:before="93"/>
        <w:rPr>
          <w:rFonts w:ascii="仿宋" w:hAnsi="仿宋" w:eastAsia="仿宋"/>
          <w:sz w:val="32"/>
          <w:szCs w:val="32"/>
        </w:rPr>
      </w:pPr>
      <w:r>
        <w:drawing>
          <wp:anchor distT="0" distB="0" distL="114300" distR="114300" simplePos="0" relativeHeight="251663360" behindDoc="0" locked="0" layoutInCell="1" allowOverlap="1">
            <wp:simplePos x="0" y="0"/>
            <wp:positionH relativeFrom="column">
              <wp:posOffset>4445</wp:posOffset>
            </wp:positionH>
            <wp:positionV relativeFrom="paragraph">
              <wp:posOffset>19685</wp:posOffset>
            </wp:positionV>
            <wp:extent cx="5074920" cy="2743835"/>
            <wp:effectExtent l="4445" t="4445" r="10795" b="10160"/>
            <wp:wrapNone/>
            <wp:docPr id="1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021FF66C">
      <w:pPr>
        <w:pStyle w:val="2"/>
        <w:spacing w:before="93"/>
        <w:rPr>
          <w:rFonts w:ascii="仿宋" w:hAnsi="仿宋" w:eastAsia="仿宋"/>
          <w:sz w:val="32"/>
          <w:szCs w:val="32"/>
        </w:rPr>
      </w:pPr>
    </w:p>
    <w:p w14:paraId="6A9AAE5A">
      <w:pPr>
        <w:pStyle w:val="2"/>
        <w:spacing w:before="93"/>
        <w:rPr>
          <w:rFonts w:ascii="仿宋" w:hAnsi="仿宋" w:eastAsia="仿宋"/>
          <w:sz w:val="32"/>
          <w:szCs w:val="32"/>
        </w:rPr>
      </w:pPr>
    </w:p>
    <w:p w14:paraId="1E8D98F6">
      <w:pPr>
        <w:pStyle w:val="2"/>
        <w:spacing w:before="93"/>
        <w:rPr>
          <w:rFonts w:ascii="仿宋" w:hAnsi="仿宋" w:eastAsia="仿宋"/>
          <w:sz w:val="32"/>
          <w:szCs w:val="32"/>
        </w:rPr>
      </w:pPr>
    </w:p>
    <w:p w14:paraId="4606CC03">
      <w:pPr>
        <w:pStyle w:val="2"/>
        <w:spacing w:before="93"/>
        <w:rPr>
          <w:rFonts w:ascii="仿宋" w:hAnsi="仿宋" w:eastAsia="仿宋"/>
          <w:sz w:val="32"/>
          <w:szCs w:val="32"/>
        </w:rPr>
      </w:pPr>
    </w:p>
    <w:p w14:paraId="33D48A33">
      <w:pPr>
        <w:pStyle w:val="2"/>
        <w:spacing w:before="93"/>
        <w:rPr>
          <w:rFonts w:ascii="仿宋" w:hAnsi="仿宋" w:eastAsia="仿宋"/>
          <w:sz w:val="32"/>
          <w:szCs w:val="32"/>
        </w:rPr>
      </w:pPr>
    </w:p>
    <w:p w14:paraId="3917FF1F">
      <w:pPr>
        <w:spacing w:line="600" w:lineRule="exact"/>
        <w:rPr>
          <w:rFonts w:ascii="仿宋" w:hAnsi="仿宋" w:eastAsia="仿宋"/>
          <w:color w:val="FF0000"/>
          <w:sz w:val="32"/>
          <w:szCs w:val="32"/>
        </w:rPr>
      </w:pPr>
      <w:r>
        <w:rPr>
          <w:rFonts w:hint="eastAsia" w:ascii="仿宋" w:hAnsi="仿宋" w:eastAsia="仿宋"/>
          <w:sz w:val="32"/>
          <w:szCs w:val="32"/>
        </w:rPr>
        <w:t>（图5：一般公共预算财政拨款支出决算变动情况）（柱状图）</w:t>
      </w:r>
    </w:p>
    <w:p w14:paraId="16F12691">
      <w:pPr>
        <w:spacing w:line="600" w:lineRule="exact"/>
        <w:ind w:firstLine="643" w:firstLineChars="200"/>
        <w:outlineLvl w:val="2"/>
        <w:rPr>
          <w:rFonts w:ascii="仿宋" w:hAnsi="仿宋" w:eastAsia="仿宋"/>
          <w:b/>
          <w:sz w:val="32"/>
          <w:szCs w:val="32"/>
        </w:rPr>
      </w:pPr>
      <w:bookmarkStart w:id="18" w:name="_Toc15377211"/>
      <w:r>
        <w:rPr>
          <w:rFonts w:hint="eastAsia" w:ascii="仿宋" w:hAnsi="仿宋" w:eastAsia="仿宋"/>
          <w:b/>
          <w:sz w:val="32"/>
          <w:szCs w:val="32"/>
        </w:rPr>
        <w:t>（二）一般公共预算财政拨款支出决算结构情况</w:t>
      </w:r>
      <w:bookmarkEnd w:id="18"/>
    </w:p>
    <w:p w14:paraId="77A0E898">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21年一般公共预算财政拨款支出252.19万元，主要用于以下方面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sz w:val="32"/>
          <w:szCs w:val="32"/>
        </w:rPr>
        <w:t>206.79万元，占82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支出15.91万元，占6.31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11.18万元，占4.43</w:t>
      </w:r>
      <w:r>
        <w:rPr>
          <w:rFonts w:ascii="仿宋" w:hAnsi="仿宋" w:eastAsia="仿宋"/>
          <w:sz w:val="32"/>
          <w:szCs w:val="32"/>
        </w:rPr>
        <w:t>%</w:t>
      </w:r>
      <w:r>
        <w:rPr>
          <w:rFonts w:hint="eastAsia" w:ascii="仿宋" w:hAnsi="仿宋" w:eastAsia="仿宋"/>
          <w:sz w:val="32"/>
          <w:szCs w:val="32"/>
        </w:rPr>
        <w:t>；住房保障支出18.31万元，占7.26</w:t>
      </w:r>
      <w:r>
        <w:rPr>
          <w:rFonts w:ascii="仿宋" w:hAnsi="仿宋" w:eastAsia="仿宋"/>
          <w:sz w:val="32"/>
          <w:szCs w:val="32"/>
        </w:rPr>
        <w:t>%</w:t>
      </w:r>
      <w:r>
        <w:rPr>
          <w:rFonts w:hint="eastAsia" w:ascii="仿宋" w:hAnsi="仿宋" w:eastAsia="仿宋"/>
          <w:sz w:val="32"/>
          <w:szCs w:val="32"/>
        </w:rPr>
        <w:t>。</w:t>
      </w:r>
    </w:p>
    <w:p w14:paraId="47C30504">
      <w:pPr>
        <w:spacing w:line="600" w:lineRule="exact"/>
        <w:ind w:firstLine="640"/>
        <w:rPr>
          <w:rFonts w:ascii="仿宋" w:hAnsi="仿宋" w:eastAsia="仿宋"/>
          <w:sz w:val="32"/>
          <w:szCs w:val="32"/>
        </w:rPr>
      </w:pPr>
      <w:r>
        <w:drawing>
          <wp:anchor distT="0" distB="0" distL="114300" distR="114300" simplePos="0" relativeHeight="251664384" behindDoc="0" locked="0" layoutInCell="1" allowOverlap="1">
            <wp:simplePos x="0" y="0"/>
            <wp:positionH relativeFrom="column">
              <wp:posOffset>810260</wp:posOffset>
            </wp:positionH>
            <wp:positionV relativeFrom="paragraph">
              <wp:posOffset>6985</wp:posOffset>
            </wp:positionV>
            <wp:extent cx="4096385" cy="2690495"/>
            <wp:effectExtent l="4445" t="5080" r="13970" b="17145"/>
            <wp:wrapNone/>
            <wp:docPr id="23"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0B5B581C">
      <w:pPr>
        <w:pStyle w:val="2"/>
        <w:spacing w:before="93"/>
        <w:rPr>
          <w:rFonts w:ascii="仿宋" w:hAnsi="仿宋" w:eastAsia="仿宋"/>
          <w:sz w:val="32"/>
          <w:szCs w:val="32"/>
        </w:rPr>
      </w:pPr>
    </w:p>
    <w:p w14:paraId="6F91D928">
      <w:pPr>
        <w:pStyle w:val="2"/>
        <w:spacing w:before="93"/>
        <w:rPr>
          <w:rFonts w:ascii="仿宋" w:hAnsi="仿宋" w:eastAsia="仿宋"/>
          <w:sz w:val="32"/>
          <w:szCs w:val="32"/>
        </w:rPr>
      </w:pPr>
    </w:p>
    <w:p w14:paraId="33F43840">
      <w:pPr>
        <w:pStyle w:val="2"/>
        <w:spacing w:before="93"/>
        <w:rPr>
          <w:rFonts w:ascii="仿宋" w:hAnsi="仿宋" w:eastAsia="仿宋"/>
          <w:sz w:val="32"/>
          <w:szCs w:val="32"/>
        </w:rPr>
      </w:pPr>
    </w:p>
    <w:p w14:paraId="0D91279A">
      <w:pPr>
        <w:pStyle w:val="2"/>
        <w:spacing w:before="93"/>
        <w:rPr>
          <w:rFonts w:ascii="仿宋" w:hAnsi="仿宋" w:eastAsia="仿宋"/>
          <w:sz w:val="32"/>
          <w:szCs w:val="32"/>
        </w:rPr>
      </w:pPr>
    </w:p>
    <w:p w14:paraId="5FB49554">
      <w:pPr>
        <w:spacing w:line="600" w:lineRule="exact"/>
        <w:ind w:firstLine="640" w:firstLineChars="200"/>
        <w:rPr>
          <w:rFonts w:ascii="仿宋" w:hAnsi="仿宋" w:eastAsia="仿宋"/>
          <w:color w:val="FF0000"/>
          <w:sz w:val="32"/>
          <w:szCs w:val="32"/>
        </w:rPr>
      </w:pPr>
    </w:p>
    <w:p w14:paraId="48204824">
      <w:pPr>
        <w:spacing w:line="600" w:lineRule="exact"/>
        <w:ind w:firstLine="320" w:firstLineChars="100"/>
        <w:rPr>
          <w:rFonts w:ascii="仿宋" w:hAnsi="仿宋" w:eastAsia="仿宋"/>
          <w:sz w:val="32"/>
          <w:szCs w:val="32"/>
        </w:rPr>
      </w:pPr>
      <w:r>
        <w:rPr>
          <w:rFonts w:hint="eastAsia" w:ascii="仿宋" w:hAnsi="仿宋" w:eastAsia="仿宋"/>
          <w:sz w:val="32"/>
          <w:szCs w:val="32"/>
        </w:rPr>
        <w:t>（图6：一般公共预算财政拨款支出决算结构）（饼状图）</w:t>
      </w:r>
    </w:p>
    <w:p w14:paraId="3E0BDB7B">
      <w:pPr>
        <w:spacing w:line="600" w:lineRule="exact"/>
        <w:ind w:firstLine="643" w:firstLineChars="200"/>
        <w:outlineLvl w:val="2"/>
        <w:rPr>
          <w:rFonts w:ascii="仿宋" w:hAnsi="仿宋" w:eastAsia="仿宋"/>
          <w:b/>
          <w:sz w:val="32"/>
          <w:szCs w:val="32"/>
        </w:rPr>
      </w:pPr>
      <w:bookmarkStart w:id="19" w:name="_Toc15377212"/>
      <w:r>
        <w:rPr>
          <w:rFonts w:hint="eastAsia" w:ascii="仿宋" w:hAnsi="仿宋" w:eastAsia="仿宋"/>
          <w:b/>
          <w:sz w:val="32"/>
          <w:szCs w:val="32"/>
        </w:rPr>
        <w:t>（三）一般公共预算财政拨款支出决算具体情况</w:t>
      </w:r>
      <w:bookmarkEnd w:id="19"/>
    </w:p>
    <w:p w14:paraId="7A6D95FB">
      <w:pPr>
        <w:spacing w:line="600" w:lineRule="exact"/>
        <w:ind w:firstLine="643" w:firstLineChars="200"/>
        <w:outlineLvl w:val="2"/>
        <w:rPr>
          <w:rFonts w:ascii="仿宋" w:hAnsi="仿宋" w:eastAsia="仿宋"/>
          <w:b/>
          <w:sz w:val="32"/>
          <w:szCs w:val="32"/>
        </w:rPr>
      </w:pPr>
      <w:bookmarkStart w:id="20" w:name="_Toc15377213"/>
      <w:bookmarkStart w:id="21" w:name="_Toc15378460"/>
      <w:bookmarkStart w:id="22" w:name="_Toc15377444"/>
      <w:r>
        <w:rPr>
          <w:rFonts w:hint="eastAsia" w:ascii="仿宋" w:hAnsi="仿宋" w:eastAsia="仿宋"/>
          <w:b/>
          <w:sz w:val="32"/>
          <w:szCs w:val="32"/>
        </w:rPr>
        <w:t>2021年一般公共预算支出决算数为252.19万元</w:t>
      </w:r>
      <w:r>
        <w:rPr>
          <w:rFonts w:hint="eastAsia" w:ascii="仿宋" w:hAnsi="仿宋" w:eastAsia="仿宋"/>
          <w:sz w:val="32"/>
          <w:szCs w:val="32"/>
        </w:rPr>
        <w:t>，</w:t>
      </w:r>
      <w:r>
        <w:rPr>
          <w:rStyle w:val="14"/>
          <w:rFonts w:hint="eastAsia" w:ascii="仿宋" w:hAnsi="仿宋" w:eastAsia="仿宋"/>
          <w:bCs/>
          <w:sz w:val="32"/>
          <w:szCs w:val="32"/>
        </w:rPr>
        <w:t>完成预算100</w:t>
      </w:r>
      <w:r>
        <w:rPr>
          <w:rStyle w:val="14"/>
          <w:rFonts w:ascii="仿宋" w:hAnsi="仿宋" w:eastAsia="仿宋"/>
          <w:bCs/>
          <w:sz w:val="32"/>
          <w:szCs w:val="32"/>
        </w:rPr>
        <w:t>%</w:t>
      </w:r>
      <w:r>
        <w:rPr>
          <w:rStyle w:val="14"/>
          <w:rFonts w:hint="eastAsia" w:ascii="仿宋" w:hAnsi="仿宋" w:eastAsia="仿宋"/>
          <w:bCs/>
          <w:sz w:val="32"/>
          <w:szCs w:val="32"/>
        </w:rPr>
        <w:t>。其中：</w:t>
      </w:r>
      <w:bookmarkEnd w:id="20"/>
      <w:bookmarkEnd w:id="21"/>
      <w:bookmarkEnd w:id="22"/>
    </w:p>
    <w:p w14:paraId="2E78483F">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lang w:val="en-US" w:eastAsia="zh-CN"/>
        </w:rPr>
        <w:t>1</w:t>
      </w:r>
      <w:r>
        <w:rPr>
          <w:rStyle w:val="14"/>
          <w:rFonts w:hint="eastAsia" w:ascii="仿宋" w:hAnsi="仿宋" w:eastAsia="仿宋"/>
          <w:bCs/>
          <w:sz w:val="32"/>
          <w:szCs w:val="32"/>
        </w:rPr>
        <w:t>.教育（类）教育支出（款）普通教育（项）学前教育</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Fonts w:hint="eastAsia" w:ascii="仿宋" w:hAnsi="仿宋" w:eastAsia="仿宋"/>
          <w:color w:val="000000"/>
          <w:sz w:val="32"/>
          <w:szCs w:val="32"/>
        </w:rPr>
        <w:t>206.79</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14:paraId="01B7F5F3">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lang w:val="en-US" w:eastAsia="zh-CN"/>
        </w:rPr>
        <w:t>2</w:t>
      </w:r>
      <w:r>
        <w:rPr>
          <w:rStyle w:val="14"/>
          <w:rFonts w:ascii="仿宋" w:hAnsi="仿宋" w:eastAsia="仿宋"/>
          <w:bCs/>
          <w:sz w:val="32"/>
          <w:szCs w:val="32"/>
        </w:rPr>
        <w:t>.</w:t>
      </w:r>
      <w:r>
        <w:rPr>
          <w:rStyle w:val="14"/>
          <w:rFonts w:hint="eastAsia" w:ascii="仿宋" w:hAnsi="仿宋" w:eastAsia="仿宋"/>
          <w:bCs/>
          <w:sz w:val="32"/>
          <w:szCs w:val="32"/>
        </w:rPr>
        <w:t>社会保障和就业（类）社会保障和就业支出（款）行政事业单位养老支出（项）</w:t>
      </w:r>
      <w:r>
        <w:rPr>
          <w:rStyle w:val="14"/>
          <w:rFonts w:hint="eastAsia" w:ascii="仿宋" w:hAnsi="仿宋" w:eastAsia="仿宋" w:cstheme="minorBidi"/>
          <w:bCs/>
          <w:sz w:val="32"/>
          <w:szCs w:val="32"/>
        </w:rPr>
        <w:t>机关事业单位基本养老保险缴费支出</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Fonts w:hint="eastAsia" w:ascii="仿宋" w:hAnsi="仿宋" w:eastAsia="仿宋"/>
          <w:color w:val="000000"/>
          <w:sz w:val="32"/>
          <w:szCs w:val="32"/>
        </w:rPr>
        <w:t>15.91</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14:paraId="1D94D59F">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lang w:val="en-US" w:eastAsia="zh-CN"/>
        </w:rPr>
        <w:t>3</w:t>
      </w:r>
      <w:r>
        <w:rPr>
          <w:rStyle w:val="14"/>
          <w:rFonts w:ascii="仿宋" w:hAnsi="仿宋" w:eastAsia="仿宋"/>
          <w:bCs/>
          <w:sz w:val="32"/>
          <w:szCs w:val="32"/>
        </w:rPr>
        <w:t>.</w:t>
      </w:r>
      <w:r>
        <w:rPr>
          <w:rFonts w:hint="eastAsia" w:ascii="仿宋" w:hAnsi="仿宋" w:eastAsia="仿宋"/>
          <w:b/>
          <w:bCs/>
          <w:sz w:val="32"/>
          <w:szCs w:val="32"/>
        </w:rPr>
        <w:t>卫生健康</w:t>
      </w:r>
      <w:r>
        <w:rPr>
          <w:rStyle w:val="14"/>
          <w:rFonts w:hint="eastAsia" w:ascii="仿宋" w:hAnsi="仿宋" w:eastAsia="仿宋"/>
          <w:bCs/>
          <w:sz w:val="32"/>
          <w:szCs w:val="32"/>
        </w:rPr>
        <w:t>（类）卫生健康支出（款）行政事业单位医疗（项）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Fonts w:hint="eastAsia" w:ascii="仿宋" w:hAnsi="仿宋" w:eastAsia="仿宋"/>
          <w:color w:val="000000"/>
          <w:sz w:val="32"/>
          <w:szCs w:val="32"/>
        </w:rPr>
        <w:t>11.18</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14:paraId="7DA686FC">
      <w:pPr>
        <w:spacing w:line="600" w:lineRule="exact"/>
        <w:ind w:firstLine="643" w:firstLineChars="200"/>
        <w:rPr>
          <w:rFonts w:ascii="仿宋" w:hAnsi="仿宋" w:eastAsia="仿宋"/>
          <w:b/>
          <w:sz w:val="32"/>
          <w:szCs w:val="32"/>
        </w:rPr>
      </w:pPr>
      <w:r>
        <w:rPr>
          <w:rStyle w:val="14"/>
          <w:rFonts w:hint="eastAsia" w:ascii="仿宋" w:hAnsi="仿宋" w:eastAsia="仿宋"/>
          <w:sz w:val="32"/>
          <w:szCs w:val="32"/>
          <w:lang w:val="en-US" w:eastAsia="zh-CN"/>
        </w:rPr>
        <w:t>4</w:t>
      </w:r>
      <w:r>
        <w:rPr>
          <w:rStyle w:val="14"/>
          <w:rFonts w:hint="eastAsia" w:ascii="仿宋" w:hAnsi="仿宋" w:eastAsia="仿宋"/>
          <w:sz w:val="32"/>
          <w:szCs w:val="32"/>
        </w:rPr>
        <w:t>.</w:t>
      </w:r>
      <w:r>
        <w:rPr>
          <w:rStyle w:val="14"/>
          <w:rFonts w:hint="eastAsia" w:ascii="仿宋" w:hAnsi="仿宋" w:eastAsia="仿宋"/>
          <w:bCs/>
          <w:sz w:val="32"/>
          <w:szCs w:val="32"/>
        </w:rPr>
        <w:t>住房和保障（类）住房保障支出（款）住房改革支出（项）住房公积金</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Fonts w:hint="eastAsia" w:ascii="仿宋" w:hAnsi="仿宋" w:eastAsia="仿宋"/>
          <w:color w:val="000000"/>
          <w:sz w:val="32"/>
          <w:szCs w:val="32"/>
        </w:rPr>
        <w:t>18.31</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14:paraId="551E3928">
      <w:pPr>
        <w:tabs>
          <w:tab w:val="right" w:pos="8306"/>
        </w:tabs>
        <w:spacing w:line="600" w:lineRule="exact"/>
        <w:ind w:firstLine="640"/>
        <w:outlineLvl w:val="1"/>
        <w:rPr>
          <w:rFonts w:ascii="黑体" w:eastAsia="黑体"/>
          <w:sz w:val="32"/>
          <w:szCs w:val="32"/>
        </w:rPr>
      </w:pPr>
      <w:bookmarkStart w:id="23" w:name="_Toc15396608"/>
      <w:bookmarkStart w:id="24" w:name="_Toc15377214"/>
    </w:p>
    <w:p w14:paraId="0CA6F5F8">
      <w:pPr>
        <w:tabs>
          <w:tab w:val="right" w:pos="8306"/>
        </w:tabs>
        <w:spacing w:line="600" w:lineRule="exact"/>
        <w:ind w:firstLine="640"/>
        <w:outlineLvl w:val="1"/>
        <w:rPr>
          <w:rStyle w:val="25"/>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23"/>
      <w:bookmarkEnd w:id="24"/>
      <w:r>
        <w:rPr>
          <w:rStyle w:val="25"/>
          <w:rFonts w:ascii="黑体" w:hAnsi="黑体" w:eastAsia="黑体"/>
          <w:b w:val="0"/>
        </w:rPr>
        <w:tab/>
      </w:r>
    </w:p>
    <w:p w14:paraId="3BA176F4">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21年一般公共预算财政拨款基本支出184.95万元，其中：</w:t>
      </w:r>
    </w:p>
    <w:p w14:paraId="4DA9A45F">
      <w:pPr>
        <w:spacing w:line="600" w:lineRule="exact"/>
        <w:ind w:firstLine="645"/>
        <w:rPr>
          <w:rFonts w:ascii="仿宋" w:hAnsi="仿宋" w:eastAsia="仿宋"/>
          <w:b/>
          <w:sz w:val="32"/>
          <w:szCs w:val="32"/>
        </w:rPr>
      </w:pPr>
      <w:r>
        <w:rPr>
          <w:rFonts w:hint="eastAsia" w:ascii="仿宋" w:hAnsi="仿宋" w:eastAsia="仿宋"/>
          <w:sz w:val="32"/>
          <w:szCs w:val="32"/>
        </w:rPr>
        <w:t>人员经费172.15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12.8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770E8139">
      <w:pPr>
        <w:spacing w:line="600" w:lineRule="exact"/>
        <w:ind w:firstLine="640"/>
        <w:outlineLvl w:val="1"/>
        <w:rPr>
          <w:rFonts w:ascii="黑体" w:eastAsia="黑体"/>
          <w:sz w:val="32"/>
          <w:szCs w:val="32"/>
        </w:rPr>
      </w:pPr>
      <w:bookmarkStart w:id="25" w:name="_Toc15396609"/>
      <w:bookmarkStart w:id="26" w:name="_Toc15377215"/>
    </w:p>
    <w:p w14:paraId="2FA83924">
      <w:pPr>
        <w:spacing w:line="600" w:lineRule="exact"/>
        <w:ind w:firstLine="640"/>
        <w:outlineLvl w:val="1"/>
        <w:rPr>
          <w:rStyle w:val="25"/>
          <w:rFonts w:ascii="黑体" w:hAnsi="黑体" w:eastAsia="黑体"/>
          <w:b w:val="0"/>
        </w:rPr>
      </w:pPr>
      <w:r>
        <w:rPr>
          <w:rFonts w:hint="eastAsia" w:ascii="黑体" w:eastAsia="黑体"/>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25"/>
      <w:bookmarkEnd w:id="26"/>
    </w:p>
    <w:p w14:paraId="2CE9680F">
      <w:pPr>
        <w:spacing w:line="600" w:lineRule="exact"/>
        <w:ind w:firstLine="640"/>
        <w:outlineLvl w:val="2"/>
        <w:rPr>
          <w:rFonts w:ascii="仿宋" w:hAnsi="仿宋" w:eastAsia="仿宋"/>
          <w:b/>
          <w:sz w:val="32"/>
          <w:szCs w:val="32"/>
        </w:rPr>
      </w:pPr>
      <w:bookmarkStart w:id="27" w:name="_Toc15377216"/>
      <w:r>
        <w:rPr>
          <w:rFonts w:hint="eastAsia" w:ascii="仿宋" w:hAnsi="仿宋" w:eastAsia="仿宋"/>
          <w:b/>
          <w:sz w:val="32"/>
          <w:szCs w:val="32"/>
        </w:rPr>
        <w:t>（一）“三公”经费财政拨款支出决算总体情况说明</w:t>
      </w:r>
      <w:bookmarkEnd w:id="27"/>
    </w:p>
    <w:p w14:paraId="31C05D4F">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21年“三公”经费财政拨款支出决算为0万元，完成预算0</w:t>
      </w:r>
      <w:r>
        <w:rPr>
          <w:rFonts w:ascii="仿宋" w:hAnsi="仿宋" w:eastAsia="仿宋"/>
          <w:sz w:val="32"/>
          <w:szCs w:val="32"/>
        </w:rPr>
        <w:t>%</w:t>
      </w:r>
      <w:r>
        <w:rPr>
          <w:rFonts w:hint="eastAsia" w:ascii="仿宋" w:hAnsi="仿宋" w:eastAsia="仿宋"/>
          <w:sz w:val="32"/>
          <w:szCs w:val="32"/>
        </w:rPr>
        <w:t>。</w:t>
      </w:r>
    </w:p>
    <w:p w14:paraId="0DB684EF">
      <w:pPr>
        <w:spacing w:line="600" w:lineRule="exact"/>
        <w:ind w:firstLine="640"/>
        <w:outlineLvl w:val="2"/>
        <w:rPr>
          <w:rFonts w:ascii="仿宋" w:hAnsi="仿宋" w:eastAsia="仿宋"/>
          <w:b/>
          <w:sz w:val="32"/>
          <w:szCs w:val="32"/>
        </w:rPr>
      </w:pPr>
      <w:bookmarkStart w:id="28" w:name="_Toc15377217"/>
      <w:r>
        <w:rPr>
          <w:rFonts w:hint="eastAsia" w:ascii="仿宋" w:hAnsi="仿宋" w:eastAsia="仿宋"/>
          <w:b/>
          <w:sz w:val="32"/>
          <w:szCs w:val="32"/>
        </w:rPr>
        <w:t>（二）“三公”经费财政拨款支出决算具体情况说明</w:t>
      </w:r>
      <w:bookmarkEnd w:id="28"/>
    </w:p>
    <w:p w14:paraId="6AC78366">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14:paraId="74767FAA">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w:t>
      </w:r>
    </w:p>
    <w:p w14:paraId="55FD687B">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p>
    <w:p w14:paraId="47400F42">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14:paraId="5DA92A39">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14:paraId="29A95796">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其中：</w:t>
      </w:r>
    </w:p>
    <w:p w14:paraId="3FB02ABA">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万元。国内公务接待0批次，0人次（不包括陪同人员），共计支出0万元。</w:t>
      </w:r>
    </w:p>
    <w:p w14:paraId="5BF3CEB9">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p>
    <w:p w14:paraId="3B835D55">
      <w:pPr>
        <w:spacing w:line="600" w:lineRule="exact"/>
        <w:outlineLvl w:val="1"/>
        <w:rPr>
          <w:rFonts w:ascii="黑体" w:eastAsia="黑体"/>
          <w:sz w:val="32"/>
          <w:szCs w:val="32"/>
        </w:rPr>
      </w:pPr>
      <w:bookmarkStart w:id="29" w:name="_Toc15377218"/>
      <w:bookmarkStart w:id="30" w:name="_Toc15396610"/>
    </w:p>
    <w:p w14:paraId="73EDFFBF">
      <w:pPr>
        <w:spacing w:line="600" w:lineRule="exact"/>
        <w:ind w:firstLine="640"/>
        <w:outlineLvl w:val="1"/>
        <w:rPr>
          <w:rStyle w:val="25"/>
          <w:rFonts w:ascii="黑体" w:hAnsi="黑体" w:eastAsia="黑体"/>
        </w:rPr>
      </w:pPr>
      <w:r>
        <w:rPr>
          <w:rFonts w:hint="eastAsia" w:ascii="黑体" w:eastAsia="黑体"/>
          <w:sz w:val="32"/>
          <w:szCs w:val="32"/>
        </w:rPr>
        <w:t>八、</w:t>
      </w:r>
      <w:r>
        <w:rPr>
          <w:rStyle w:val="25"/>
          <w:rFonts w:hint="eastAsia" w:ascii="黑体" w:hAnsi="黑体" w:eastAsia="黑体"/>
          <w:b w:val="0"/>
        </w:rPr>
        <w:t>政府性基金预算支出决算情况说明</w:t>
      </w:r>
      <w:bookmarkEnd w:id="29"/>
      <w:bookmarkEnd w:id="30"/>
    </w:p>
    <w:p w14:paraId="3FB08FA8">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14:paraId="4253502D">
      <w:pPr>
        <w:spacing w:line="600" w:lineRule="exact"/>
        <w:ind w:firstLine="640"/>
        <w:rPr>
          <w:rFonts w:ascii="仿宋_GB2312" w:eastAsia="仿宋_GB2312"/>
          <w:sz w:val="32"/>
          <w:szCs w:val="32"/>
        </w:rPr>
      </w:pPr>
    </w:p>
    <w:p w14:paraId="7CFB029A">
      <w:pPr>
        <w:numPr>
          <w:ilvl w:val="0"/>
          <w:numId w:val="3"/>
        </w:numPr>
        <w:spacing w:line="600" w:lineRule="exact"/>
        <w:ind w:firstLine="640"/>
        <w:outlineLvl w:val="1"/>
        <w:rPr>
          <w:rStyle w:val="25"/>
          <w:rFonts w:ascii="黑体" w:hAnsi="黑体" w:eastAsia="黑体"/>
          <w:b w:val="0"/>
        </w:rPr>
      </w:pPr>
      <w:bookmarkStart w:id="31" w:name="_Toc15377219"/>
      <w:bookmarkStart w:id="32" w:name="_Toc15396611"/>
      <w:r>
        <w:rPr>
          <w:rStyle w:val="25"/>
          <w:rFonts w:hint="eastAsia" w:ascii="黑体" w:hAnsi="黑体" w:eastAsia="黑体"/>
          <w:b w:val="0"/>
        </w:rPr>
        <w:t>国有资本经营预算支出决算情况说明</w:t>
      </w:r>
      <w:bookmarkEnd w:id="31"/>
      <w:bookmarkEnd w:id="32"/>
    </w:p>
    <w:p w14:paraId="4390475F">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14:paraId="7FEBF83F">
      <w:pPr>
        <w:spacing w:line="580" w:lineRule="exact"/>
        <w:jc w:val="center"/>
        <w:rPr>
          <w:rFonts w:ascii="方正小标宋简体" w:hAnsi="方正小标宋简体" w:eastAsia="方正小标宋简体" w:cs="方正小标宋简体"/>
          <w:sz w:val="44"/>
          <w:szCs w:val="44"/>
        </w:rPr>
      </w:pPr>
    </w:p>
    <w:p w14:paraId="725F6041">
      <w:pPr>
        <w:numPr>
          <w:ilvl w:val="0"/>
          <w:numId w:val="3"/>
        </w:numPr>
        <w:spacing w:line="600" w:lineRule="exact"/>
        <w:ind w:firstLine="640"/>
        <w:outlineLvl w:val="1"/>
        <w:rPr>
          <w:rStyle w:val="25"/>
          <w:rFonts w:ascii="黑体" w:hAnsi="黑体" w:eastAsia="黑体"/>
          <w:b w:val="0"/>
        </w:rPr>
      </w:pPr>
      <w:bookmarkStart w:id="33" w:name="_Toc15396612"/>
      <w:bookmarkStart w:id="34" w:name="_Toc15377221"/>
      <w:r>
        <w:rPr>
          <w:rStyle w:val="25"/>
          <w:rFonts w:hint="eastAsia" w:ascii="黑体" w:hAnsi="黑体" w:eastAsia="黑体"/>
          <w:b w:val="0"/>
        </w:rPr>
        <w:t>其他重要事项的情况说明</w:t>
      </w:r>
      <w:bookmarkEnd w:id="33"/>
      <w:bookmarkEnd w:id="34"/>
    </w:p>
    <w:p w14:paraId="108CC2CF">
      <w:pPr>
        <w:spacing w:line="600" w:lineRule="exact"/>
        <w:ind w:firstLine="643" w:firstLineChars="200"/>
        <w:outlineLvl w:val="2"/>
        <w:rPr>
          <w:rFonts w:ascii="仿宋" w:hAnsi="仿宋" w:eastAsia="仿宋"/>
          <w:sz w:val="32"/>
          <w:szCs w:val="32"/>
        </w:rPr>
      </w:pPr>
      <w:bookmarkStart w:id="35" w:name="_Toc15377222"/>
      <w:r>
        <w:rPr>
          <w:rFonts w:hint="eastAsia" w:ascii="仿宋" w:hAnsi="仿宋" w:eastAsia="仿宋"/>
          <w:b/>
          <w:sz w:val="32"/>
          <w:szCs w:val="32"/>
        </w:rPr>
        <w:t>（一）机关运行经费支出情况</w:t>
      </w:r>
      <w:bookmarkEnd w:id="35"/>
    </w:p>
    <w:p w14:paraId="3500294E">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21年，机关运行经费支出0万元，与2020年持平。</w:t>
      </w:r>
    </w:p>
    <w:p w14:paraId="7157DA8B">
      <w:pPr>
        <w:autoSpaceDE w:val="0"/>
        <w:autoSpaceDN w:val="0"/>
        <w:adjustRightInd w:val="0"/>
        <w:spacing w:line="600" w:lineRule="exact"/>
        <w:ind w:firstLine="643" w:firstLineChars="200"/>
        <w:jc w:val="left"/>
        <w:outlineLvl w:val="2"/>
        <w:rPr>
          <w:rFonts w:ascii="仿宋" w:hAnsi="仿宋" w:eastAsia="仿宋"/>
          <w:b/>
          <w:sz w:val="32"/>
          <w:szCs w:val="32"/>
        </w:rPr>
      </w:pPr>
      <w:bookmarkStart w:id="36" w:name="_Toc15377223"/>
      <w:r>
        <w:rPr>
          <w:rFonts w:hint="eastAsia" w:ascii="仿宋" w:hAnsi="仿宋" w:eastAsia="仿宋"/>
          <w:b/>
          <w:sz w:val="32"/>
          <w:szCs w:val="32"/>
        </w:rPr>
        <w:t>（二）政府采购支出情况</w:t>
      </w:r>
      <w:bookmarkEnd w:id="36"/>
    </w:p>
    <w:p w14:paraId="28AECE2A">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14:paraId="3579AC54">
      <w:pPr>
        <w:autoSpaceDE w:val="0"/>
        <w:autoSpaceDN w:val="0"/>
        <w:adjustRightInd w:val="0"/>
        <w:spacing w:line="600" w:lineRule="exact"/>
        <w:ind w:firstLine="643" w:firstLineChars="200"/>
        <w:jc w:val="left"/>
        <w:outlineLvl w:val="2"/>
        <w:rPr>
          <w:rFonts w:ascii="仿宋" w:hAnsi="仿宋" w:eastAsia="仿宋"/>
          <w:b/>
          <w:sz w:val="32"/>
          <w:szCs w:val="32"/>
        </w:rPr>
      </w:pPr>
      <w:bookmarkStart w:id="37" w:name="_Toc15377224"/>
      <w:r>
        <w:rPr>
          <w:rFonts w:hint="eastAsia" w:ascii="仿宋" w:hAnsi="仿宋" w:eastAsia="仿宋"/>
          <w:b/>
          <w:sz w:val="32"/>
          <w:szCs w:val="32"/>
        </w:rPr>
        <w:t>（三）国有资产占有使用情况</w:t>
      </w:r>
      <w:bookmarkEnd w:id="37"/>
    </w:p>
    <w:p w14:paraId="451BAE0B">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日，二幼共有车辆0辆，其中：主要领导干部用车0辆、机要通信用车0辆、应急保障用车0辆、其他用车0辆，单价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14:paraId="7A2D4984">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5A02290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根据预算绩效管理要求，本部门（单位）在年初预算编制阶段，组织对1项目（</w:t>
      </w:r>
      <w:r>
        <w:rPr>
          <w:rFonts w:hint="eastAsia" w:ascii="仿宋" w:hAnsi="仿宋" w:eastAsia="仿宋" w:cs="仿宋"/>
          <w:color w:val="000000"/>
          <w:sz w:val="32"/>
          <w:szCs w:val="32"/>
        </w:rPr>
        <w:t>政府购买服务人员经费</w:t>
      </w:r>
      <w:r>
        <w:rPr>
          <w:rFonts w:hint="eastAsia" w:ascii="仿宋_GB2312" w:hAnsi="仿宋_GB2312" w:eastAsia="仿宋_GB2312" w:cs="仿宋_GB2312"/>
          <w:sz w:val="32"/>
          <w:szCs w:val="32"/>
        </w:rPr>
        <w:t>）开展了预算事前绩效评估，对1个项目编制了绩效目标，预算执行过程中，选取1个项目开展绩效监控，年终执行完毕后，对1个项目开展了绩效目标完成情况自评。</w:t>
      </w:r>
    </w:p>
    <w:p w14:paraId="64D21DF4">
      <w:pPr>
        <w:spacing w:line="580" w:lineRule="exact"/>
        <w:ind w:firstLine="640" w:firstLineChars="200"/>
        <w:rPr>
          <w:rFonts w:ascii="楷体_GB2312" w:hAnsi="楷体_GB2312" w:eastAsia="楷体_GB2312" w:cs="楷体_GB2312"/>
          <w:sz w:val="32"/>
          <w:szCs w:val="32"/>
        </w:rPr>
      </w:pPr>
    </w:p>
    <w:p w14:paraId="327CD647">
      <w:pPr>
        <w:pStyle w:val="2"/>
        <w:spacing w:before="93"/>
        <w:rPr>
          <w:highlight w:val="yellow"/>
        </w:rPr>
      </w:pPr>
    </w:p>
    <w:p w14:paraId="2B155CFD">
      <w:pPr>
        <w:widowControl/>
        <w:jc w:val="left"/>
        <w:rPr>
          <w:rFonts w:ascii="仿宋_GB2312" w:eastAsia="仿宋_GB2312"/>
          <w:b/>
          <w:sz w:val="32"/>
          <w:szCs w:val="32"/>
        </w:rPr>
      </w:pPr>
      <w:r>
        <w:rPr>
          <w:rFonts w:ascii="仿宋_GB2312" w:eastAsia="仿宋_GB2312"/>
          <w:b/>
          <w:sz w:val="32"/>
          <w:szCs w:val="32"/>
        </w:rPr>
        <w:br w:type="page"/>
      </w:r>
    </w:p>
    <w:p w14:paraId="37D95EB8">
      <w:pPr>
        <w:numPr>
          <w:ilvl w:val="0"/>
          <w:numId w:val="4"/>
        </w:numPr>
        <w:spacing w:line="600" w:lineRule="exact"/>
        <w:ind w:firstLine="660" w:firstLineChars="150"/>
        <w:jc w:val="center"/>
        <w:outlineLvl w:val="0"/>
        <w:rPr>
          <w:rStyle w:val="30"/>
          <w:rFonts w:ascii="黑体" w:hAnsi="黑体" w:eastAsia="黑体"/>
          <w:b w:val="0"/>
        </w:rPr>
      </w:pPr>
      <w:bookmarkStart w:id="38" w:name="_Toc15377225"/>
      <w:bookmarkStart w:id="39" w:name="_Toc15396613"/>
      <w:bookmarkStart w:id="40" w:name="_Toc15377226"/>
      <w:r>
        <w:rPr>
          <w:rFonts w:hint="eastAsia" w:ascii="黑体" w:hAnsi="黑体" w:eastAsia="黑体"/>
          <w:color w:val="000000"/>
          <w:sz w:val="44"/>
          <w:szCs w:val="44"/>
        </w:rPr>
        <w:t>名</w:t>
      </w:r>
      <w:r>
        <w:rPr>
          <w:rStyle w:val="30"/>
          <w:rFonts w:hint="eastAsia" w:ascii="黑体" w:hAnsi="黑体" w:eastAsia="黑体"/>
          <w:b w:val="0"/>
        </w:rPr>
        <w:t>词解释</w:t>
      </w:r>
      <w:bookmarkEnd w:id="38"/>
      <w:bookmarkEnd w:id="39"/>
    </w:p>
    <w:p w14:paraId="12C0BBC3">
      <w:pPr>
        <w:spacing w:line="600" w:lineRule="exact"/>
        <w:jc w:val="left"/>
        <w:rPr>
          <w:rFonts w:ascii="宋体"/>
          <w:b/>
          <w:color w:val="000000"/>
          <w:sz w:val="44"/>
          <w:szCs w:val="44"/>
        </w:rPr>
      </w:pPr>
    </w:p>
    <w:p w14:paraId="5A059757">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01661403">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14:paraId="4D855966">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其他收入：指单位取得的除上述收入以外的各项收入。</w:t>
      </w:r>
    </w:p>
    <w:p w14:paraId="0D58DBB6">
      <w:pPr>
        <w:pStyle w:val="22"/>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4</w:t>
      </w:r>
      <w:r>
        <w:rPr>
          <w:rFonts w:ascii="仿宋_GB2312" w:eastAsia="仿宋_GB2312"/>
          <w:sz w:val="32"/>
          <w:szCs w:val="32"/>
          <w:highlight w:val="none"/>
        </w:rPr>
        <w:t>.</w:t>
      </w:r>
      <w:r>
        <w:rPr>
          <w:rFonts w:hint="eastAsia" w:ascii="仿宋_GB2312" w:eastAsia="仿宋_GB2312"/>
          <w:sz w:val="32"/>
          <w:szCs w:val="32"/>
          <w:highlight w:val="none"/>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72528B74">
      <w:pPr>
        <w:pStyle w:val="22"/>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5</w:t>
      </w:r>
      <w:r>
        <w:rPr>
          <w:rFonts w:ascii="仿宋_GB2312" w:eastAsia="仿宋_GB2312"/>
          <w:sz w:val="32"/>
          <w:szCs w:val="32"/>
          <w:highlight w:val="none"/>
        </w:rPr>
        <w:t>.</w:t>
      </w:r>
      <w:r>
        <w:rPr>
          <w:rFonts w:hint="eastAsia" w:ascii="仿宋_GB2312" w:eastAsia="仿宋_GB2312"/>
          <w:sz w:val="32"/>
          <w:szCs w:val="32"/>
          <w:highlight w:val="none"/>
        </w:rPr>
        <w:t>年初结转和结余：指以前年度尚未完成、结转到本年按有关规定继续使用的资金。</w:t>
      </w:r>
    </w:p>
    <w:p w14:paraId="01ABB306">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教育（类）教育支出（款）普通教育（项）学前教育：指反映各部门举办的学前教育支出。政府各部门对社会中介组织等举办的小学的资助，如各类捐赠、补贴等，也在本科目中反映。</w:t>
      </w:r>
    </w:p>
    <w:p w14:paraId="72B8A75C">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社会保障和就业（类）行政事业单位养老支出（款）机关事业单位基本养老保险缴费支出（项）：指反映机关事业单位实施养老保险制度由单位缴纳的基本养老保险费支出。</w:t>
      </w:r>
    </w:p>
    <w:p w14:paraId="05115F17">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社会保障和就业（类）行政事业单位养老支出（款）机关事业单位年金支出（项）：指反映机关事业单位实施养老保险制度由单位实际缴纳的职业年金支出。</w:t>
      </w:r>
    </w:p>
    <w:p w14:paraId="2BD623FF">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医疗卫生与计划生育（类）卫生健康支出（款）行政事业单位医疗（项）事业单位医疗：指反映财政部门集中安排的事业单位基本医疗保险缴纳经费，未参加医疗保险的事业单位的公费医疗经费，按国家规定享受离休人员的医疗经费。</w:t>
      </w:r>
    </w:p>
    <w:p w14:paraId="1A007404">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医疗卫生与计划生育（类）卫生健康支出（款）行政事业单位医疗（项）公务员补助：指反映财政部门集中安排的公务员医疗补助经费。</w:t>
      </w:r>
    </w:p>
    <w:p w14:paraId="2B7B86DB">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Fonts w:hint="eastAsia" w:ascii="仿宋_GB2312" w:eastAsia="仿宋_GB2312"/>
          <w:color w:val="000000"/>
          <w:sz w:val="32"/>
          <w:szCs w:val="32"/>
        </w:rPr>
        <w:t>住房保障（类）住房保障支出（款）住房改革支出（项）住房公积金：指反映行政事业单位按人力资源和社会保障部、财政部规定的基本工资和津贴补贴以及规定比例为职工缴纳的住房公积金。</w:t>
      </w:r>
    </w:p>
    <w:p w14:paraId="498B145B">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7FE74649">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14:paraId="0F740047">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14:paraId="79D830D9">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50CE790">
      <w:pPr>
        <w:spacing w:line="600" w:lineRule="exact"/>
        <w:ind w:firstLine="640" w:firstLineChars="200"/>
        <w:jc w:val="left"/>
        <w:outlineLvl w:val="0"/>
        <w:rPr>
          <w:rFonts w:ascii="宋体"/>
          <w:b/>
          <w:sz w:val="44"/>
          <w:szCs w:val="44"/>
        </w:rPr>
      </w:pPr>
      <w:r>
        <w:rPr>
          <w:rFonts w:hint="eastAsia" w:ascii="仿宋_GB2312" w:eastAsia="仿宋_GB2312"/>
          <w:sz w:val="32"/>
          <w:szCs w:val="32"/>
        </w:rPr>
        <w:t>1</w:t>
      </w: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ascii="宋体"/>
          <w:b/>
          <w:sz w:val="44"/>
          <w:szCs w:val="44"/>
        </w:rPr>
        <w:br w:type="page"/>
      </w:r>
      <w:bookmarkStart w:id="41" w:name="_Toc15396614"/>
    </w:p>
    <w:p w14:paraId="3DC3BE2A">
      <w:pPr>
        <w:spacing w:line="600" w:lineRule="exact"/>
        <w:ind w:firstLine="3080" w:firstLineChars="700"/>
        <w:jc w:val="left"/>
        <w:outlineLvl w:val="0"/>
        <w:rPr>
          <w:rStyle w:val="24"/>
          <w:rFonts w:ascii="黑体" w:hAnsi="黑体" w:eastAsia="黑体"/>
          <w:b w:val="0"/>
        </w:rPr>
      </w:pPr>
      <w:r>
        <w:rPr>
          <w:rFonts w:hint="eastAsia" w:ascii="黑体" w:hAnsi="黑体" w:eastAsia="黑体"/>
          <w:sz w:val="44"/>
          <w:szCs w:val="44"/>
        </w:rPr>
        <w:t>第</w:t>
      </w:r>
      <w:r>
        <w:rPr>
          <w:rStyle w:val="24"/>
          <w:rFonts w:hint="eastAsia" w:ascii="黑体" w:hAnsi="黑体" w:eastAsia="黑体"/>
          <w:b w:val="0"/>
        </w:rPr>
        <w:t>四部分 附件</w:t>
      </w:r>
      <w:bookmarkEnd w:id="41"/>
    </w:p>
    <w:p w14:paraId="5D619F4A">
      <w:pPr>
        <w:spacing w:line="600" w:lineRule="exact"/>
        <w:jc w:val="left"/>
        <w:outlineLvl w:val="0"/>
        <w:rPr>
          <w:rFonts w:ascii="仿宋_GB2312" w:hAnsi="仿宋_GB2312" w:eastAsia="仿宋_GB2312" w:cs="仿宋_GB2312"/>
          <w:sz w:val="32"/>
          <w:szCs w:val="32"/>
        </w:rPr>
      </w:pPr>
      <w:r>
        <w:rPr>
          <w:rFonts w:hint="eastAsia" w:ascii="黑体" w:hAnsi="黑体" w:eastAsia="黑体" w:cs="黑体"/>
          <w:sz w:val="32"/>
          <w:szCs w:val="32"/>
        </w:rPr>
        <w:t>附件</w:t>
      </w:r>
    </w:p>
    <w:tbl>
      <w:tblPr>
        <w:tblStyle w:val="12"/>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041"/>
        <w:gridCol w:w="1236"/>
        <w:gridCol w:w="2545"/>
        <w:gridCol w:w="236"/>
      </w:tblGrid>
      <w:tr w14:paraId="635320F9">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14:paraId="28409655">
            <w:pPr>
              <w:widowControl/>
              <w:jc w:val="center"/>
              <w:textAlignment w:val="center"/>
              <w:rPr>
                <w:rFonts w:ascii="宋体" w:hAnsi="宋体" w:cs="宋体"/>
                <w:b/>
                <w:sz w:val="32"/>
                <w:szCs w:val="32"/>
              </w:rPr>
            </w:pPr>
            <w:bookmarkStart w:id="42" w:name="_Toc15396618"/>
            <w:r>
              <w:rPr>
                <w:rFonts w:hint="eastAsia" w:ascii="宋体" w:hAnsi="宋体" w:cs="宋体"/>
                <w:b/>
                <w:sz w:val="32"/>
                <w:szCs w:val="32"/>
              </w:rPr>
              <w:t>2021年部门预算项目绩效目标自评</w:t>
            </w:r>
          </w:p>
        </w:tc>
        <w:tc>
          <w:tcPr>
            <w:tcW w:w="236" w:type="dxa"/>
            <w:tcBorders>
              <w:top w:val="nil"/>
              <w:left w:val="nil"/>
              <w:bottom w:val="nil"/>
              <w:right w:val="nil"/>
            </w:tcBorders>
            <w:shd w:val="clear" w:color="auto" w:fill="auto"/>
            <w:vAlign w:val="center"/>
          </w:tcPr>
          <w:p w14:paraId="3DB60D19">
            <w:pPr>
              <w:widowControl/>
              <w:jc w:val="center"/>
              <w:textAlignment w:val="center"/>
              <w:rPr>
                <w:rFonts w:ascii="宋体" w:hAnsi="宋体" w:cs="宋体"/>
                <w:b/>
                <w:kern w:val="0"/>
                <w:sz w:val="32"/>
                <w:szCs w:val="32"/>
              </w:rPr>
            </w:pPr>
          </w:p>
        </w:tc>
      </w:tr>
      <w:tr w14:paraId="14C201AE">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D56EC">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38078">
            <w:pPr>
              <w:widowControl/>
              <w:spacing w:line="320" w:lineRule="exact"/>
              <w:textAlignment w:val="center"/>
              <w:rPr>
                <w:rFonts w:ascii="宋体" w:hAnsi="宋体" w:cs="宋体"/>
                <w:sz w:val="24"/>
              </w:rPr>
            </w:pPr>
            <w:r>
              <w:rPr>
                <w:rFonts w:hint="eastAsia" w:ascii="宋体" w:hAnsi="宋体" w:cs="宋体"/>
                <w:szCs w:val="21"/>
              </w:rPr>
              <w:t>西区教育和体育局 128001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484F">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A8FB">
            <w:pPr>
              <w:widowControl/>
              <w:spacing w:line="320" w:lineRule="exact"/>
              <w:jc w:val="center"/>
              <w:textAlignment w:val="center"/>
              <w:rPr>
                <w:rFonts w:ascii="宋体" w:hAnsi="宋体" w:cs="宋体"/>
                <w:sz w:val="24"/>
              </w:rPr>
            </w:pPr>
            <w:r>
              <w:rPr>
                <w:rFonts w:hint="eastAsia" w:ascii="宋体" w:hAnsi="宋体" w:cs="宋体"/>
                <w:szCs w:val="21"/>
              </w:rPr>
              <w:t>攀枝花市西区第二幼儿园</w:t>
            </w:r>
          </w:p>
        </w:tc>
      </w:tr>
      <w:tr w14:paraId="4ED11105">
        <w:tblPrEx>
          <w:tblCellMar>
            <w:top w:w="0" w:type="dxa"/>
            <w:left w:w="108" w:type="dxa"/>
            <w:bottom w:w="0" w:type="dxa"/>
            <w:right w:w="108" w:type="dxa"/>
          </w:tblCellMar>
        </w:tblPrEx>
        <w:trPr>
          <w:gridAfter w:val="1"/>
          <w:wAfter w:w="236" w:type="dxa"/>
          <w:trHeight w:val="522"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1DDE1">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182B">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DE89">
            <w:pPr>
              <w:widowControl/>
              <w:spacing w:line="320" w:lineRule="exact"/>
              <w:jc w:val="left"/>
              <w:textAlignment w:val="center"/>
              <w:rPr>
                <w:rFonts w:ascii="宋体" w:hAnsi="宋体" w:cs="宋体"/>
                <w:sz w:val="24"/>
              </w:rPr>
            </w:pPr>
            <w:r>
              <w:rPr>
                <w:rFonts w:hint="eastAsia" w:ascii="宋体" w:hAnsi="宋体" w:cs="宋体"/>
                <w:sz w:val="24"/>
              </w:rPr>
              <w:t>45.38万元</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C014">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6C1C">
            <w:pPr>
              <w:widowControl/>
              <w:spacing w:line="320" w:lineRule="exact"/>
              <w:jc w:val="left"/>
              <w:textAlignment w:val="center"/>
              <w:rPr>
                <w:rFonts w:ascii="宋体" w:hAnsi="宋体" w:cs="宋体"/>
                <w:sz w:val="24"/>
              </w:rPr>
            </w:pPr>
            <w:r>
              <w:rPr>
                <w:rFonts w:hint="eastAsia" w:ascii="宋体" w:hAnsi="宋体" w:cs="宋体"/>
                <w:sz w:val="24"/>
              </w:rPr>
              <w:t>45.38万元</w:t>
            </w:r>
          </w:p>
        </w:tc>
      </w:tr>
      <w:tr w14:paraId="114E96C0">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540D0">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988F">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4C5B5258">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E5A3">
            <w:pPr>
              <w:widowControl/>
              <w:spacing w:line="320" w:lineRule="exact"/>
              <w:jc w:val="left"/>
              <w:textAlignment w:val="center"/>
              <w:rPr>
                <w:rFonts w:ascii="宋体" w:hAnsi="宋体" w:cs="宋体"/>
                <w:sz w:val="24"/>
              </w:rPr>
            </w:pPr>
            <w:r>
              <w:rPr>
                <w:rFonts w:hint="eastAsia" w:ascii="宋体" w:hAnsi="宋体" w:cs="宋体"/>
                <w:sz w:val="24"/>
              </w:rPr>
              <w:t>45.38万元</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269D">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346077A8">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3298">
            <w:pPr>
              <w:widowControl/>
              <w:spacing w:line="320" w:lineRule="exact"/>
              <w:textAlignment w:val="center"/>
              <w:rPr>
                <w:rFonts w:ascii="宋体" w:hAnsi="宋体" w:cs="宋体"/>
                <w:sz w:val="24"/>
              </w:rPr>
            </w:pPr>
            <w:r>
              <w:rPr>
                <w:rFonts w:hint="eastAsia" w:ascii="宋体" w:hAnsi="宋体" w:cs="宋体"/>
                <w:sz w:val="24"/>
              </w:rPr>
              <w:t>45.38万元</w:t>
            </w:r>
          </w:p>
        </w:tc>
      </w:tr>
      <w:tr w14:paraId="1EC9C281">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CCEF2">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D2CB">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62CE">
            <w:pPr>
              <w:widowControl/>
              <w:spacing w:line="320" w:lineRule="exact"/>
              <w:jc w:val="left"/>
              <w:textAlignment w:val="center"/>
              <w:rPr>
                <w:rFonts w:ascii="宋体" w:hAnsi="宋体" w:cs="宋体"/>
                <w:sz w:val="24"/>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8A15">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3B2D">
            <w:pPr>
              <w:widowControl/>
              <w:spacing w:line="320" w:lineRule="exact"/>
              <w:jc w:val="center"/>
              <w:textAlignment w:val="center"/>
              <w:rPr>
                <w:rFonts w:ascii="宋体" w:hAnsi="宋体" w:cs="宋体"/>
                <w:sz w:val="24"/>
              </w:rPr>
            </w:pPr>
          </w:p>
        </w:tc>
      </w:tr>
      <w:tr w14:paraId="5FA9BAAE">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3DA02A">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14:paraId="709C7986">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8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D2E0F2">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9B770">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14:paraId="0EDF044B">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0BE3B">
            <w:pPr>
              <w:spacing w:line="320" w:lineRule="exact"/>
              <w:jc w:val="center"/>
              <w:rPr>
                <w:rFonts w:ascii="宋体" w:hAnsi="宋体" w:cs="宋体"/>
                <w:sz w:val="24"/>
              </w:rPr>
            </w:pPr>
          </w:p>
        </w:tc>
        <w:tc>
          <w:tcPr>
            <w:tcW w:w="3818" w:type="dxa"/>
            <w:gridSpan w:val="3"/>
            <w:tcBorders>
              <w:top w:val="single" w:color="000000" w:sz="4" w:space="0"/>
              <w:left w:val="single" w:color="000000" w:sz="4" w:space="0"/>
              <w:bottom w:val="single" w:color="000000" w:sz="4" w:space="0"/>
              <w:right w:val="single" w:color="000000" w:sz="4" w:space="0"/>
            </w:tcBorders>
            <w:shd w:val="clear" w:color="auto" w:fill="auto"/>
          </w:tcPr>
          <w:p w14:paraId="08F4C3BA">
            <w:pPr>
              <w:widowControl/>
              <w:spacing w:line="320" w:lineRule="exact"/>
              <w:jc w:val="left"/>
              <w:textAlignment w:val="top"/>
              <w:rPr>
                <w:rFonts w:ascii="宋体" w:hAnsi="宋体" w:cs="宋体"/>
                <w:sz w:val="24"/>
              </w:rPr>
            </w:pPr>
            <w:r>
              <w:rPr>
                <w:rFonts w:hint="eastAsia" w:ascii="宋体" w:hAnsi="宋体" w:cs="宋体"/>
                <w:color w:val="000000"/>
                <w:sz w:val="24"/>
              </w:rPr>
              <w:t>使用政府购买人员经费保障学校正常运行</w:t>
            </w:r>
          </w:p>
        </w:tc>
        <w:tc>
          <w:tcPr>
            <w:tcW w:w="3781" w:type="dxa"/>
            <w:gridSpan w:val="2"/>
            <w:tcBorders>
              <w:top w:val="single" w:color="000000" w:sz="4" w:space="0"/>
              <w:left w:val="single" w:color="000000" w:sz="4" w:space="0"/>
              <w:bottom w:val="single" w:color="000000" w:sz="4" w:space="0"/>
              <w:right w:val="single" w:color="000000" w:sz="4" w:space="0"/>
            </w:tcBorders>
            <w:shd w:val="clear" w:color="auto" w:fill="auto"/>
          </w:tcPr>
          <w:p w14:paraId="4815BD81">
            <w:pPr>
              <w:widowControl/>
              <w:spacing w:line="320" w:lineRule="exact"/>
              <w:jc w:val="left"/>
              <w:textAlignment w:val="top"/>
              <w:rPr>
                <w:rFonts w:ascii="宋体" w:hAnsi="宋体" w:cs="宋体"/>
                <w:sz w:val="24"/>
              </w:rPr>
            </w:pPr>
            <w:r>
              <w:rPr>
                <w:rFonts w:hint="eastAsia" w:ascii="宋体" w:hAnsi="宋体" w:cs="宋体"/>
                <w:color w:val="000000"/>
                <w:sz w:val="24"/>
              </w:rPr>
              <w:t>使用政府购买人员经费，已保障学校正常运行</w:t>
            </w:r>
          </w:p>
        </w:tc>
      </w:tr>
      <w:tr w14:paraId="6ABE8E35">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14:paraId="5C816C55">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1AB82D98">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1B80CC9A">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9257">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2ED973D3">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8FFD">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3CCE9E96">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D778">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B308">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335BFF06">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14:paraId="710A27A7">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333404">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5528DD52">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EAD92A">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049C">
            <w:pPr>
              <w:widowControl/>
              <w:jc w:val="center"/>
              <w:textAlignment w:val="center"/>
              <w:rPr>
                <w:rFonts w:ascii="仿宋_GB2312" w:hAnsi="仿宋_GB2312" w:eastAsia="仿宋_GB2312" w:cs="仿宋_GB2312"/>
                <w:szCs w:val="21"/>
              </w:rPr>
            </w:pPr>
            <w:r>
              <w:rPr>
                <w:rFonts w:hint="eastAsia" w:ascii="宋体" w:hAnsi="宋体" w:cs="宋体"/>
                <w:color w:val="000000"/>
                <w:kern w:val="0"/>
                <w:szCs w:val="21"/>
              </w:rPr>
              <w:t>45.38万元</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5036">
            <w:pPr>
              <w:widowControl/>
              <w:jc w:val="center"/>
              <w:textAlignment w:val="center"/>
              <w:rPr>
                <w:rFonts w:ascii="仿宋_GB2312" w:hAnsi="仿宋_GB2312" w:eastAsia="仿宋_GB2312" w:cs="仿宋_GB2312"/>
                <w:szCs w:val="21"/>
              </w:rPr>
            </w:pPr>
            <w:r>
              <w:rPr>
                <w:rFonts w:hint="eastAsia" w:ascii="宋体" w:hAnsi="宋体" w:cs="宋体"/>
                <w:color w:val="000000"/>
                <w:szCs w:val="21"/>
              </w:rPr>
              <w:t>使用政府购买社会服务人员经费45.38万元</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999B">
            <w:pPr>
              <w:widowControl/>
              <w:jc w:val="center"/>
              <w:textAlignment w:val="center"/>
              <w:rPr>
                <w:rFonts w:ascii="仿宋_GB2312" w:hAnsi="仿宋_GB2312" w:eastAsia="仿宋_GB2312" w:cs="仿宋_GB2312"/>
                <w:szCs w:val="21"/>
              </w:rPr>
            </w:pPr>
            <w:r>
              <w:rPr>
                <w:rFonts w:hint="eastAsia" w:ascii="宋体" w:hAnsi="宋体" w:cs="宋体"/>
                <w:color w:val="000000"/>
                <w:szCs w:val="21"/>
              </w:rPr>
              <w:t>政府购买社会服务人员经费45.38万元已全部使用</w:t>
            </w:r>
          </w:p>
        </w:tc>
      </w:tr>
      <w:tr w14:paraId="0E4D748E">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14:paraId="353F6E2A">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5018061">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B07FE4">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21CD">
            <w:pPr>
              <w:widowControl/>
              <w:jc w:val="center"/>
              <w:textAlignment w:val="center"/>
              <w:rPr>
                <w:rFonts w:ascii="仿宋_GB2312" w:hAnsi="仿宋_GB2312" w:eastAsia="仿宋_GB2312" w:cs="仿宋_GB2312"/>
                <w:szCs w:val="21"/>
              </w:rPr>
            </w:pPr>
            <w:r>
              <w:rPr>
                <w:rFonts w:hint="eastAsia" w:ascii="宋体" w:hAnsi="宋体" w:cs="宋体"/>
                <w:color w:val="000000"/>
                <w:szCs w:val="21"/>
              </w:rPr>
              <w:t>保质保量招聘13名临聘人员</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E543">
            <w:pPr>
              <w:widowControl/>
              <w:jc w:val="center"/>
              <w:textAlignment w:val="center"/>
              <w:rPr>
                <w:rFonts w:ascii="仿宋_GB2312" w:hAnsi="仿宋_GB2312" w:eastAsia="仿宋_GB2312" w:cs="仿宋_GB2312"/>
                <w:szCs w:val="21"/>
              </w:rPr>
            </w:pPr>
            <w:r>
              <w:rPr>
                <w:rFonts w:hint="eastAsia" w:ascii="宋体" w:hAnsi="宋体" w:cs="宋体"/>
                <w:color w:val="000000"/>
                <w:szCs w:val="21"/>
              </w:rPr>
              <w:t>预期指标招聘13名临聘人员</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975E">
            <w:pPr>
              <w:widowControl/>
              <w:jc w:val="center"/>
              <w:textAlignment w:val="center"/>
              <w:rPr>
                <w:rFonts w:ascii="仿宋_GB2312" w:hAnsi="仿宋_GB2312" w:eastAsia="仿宋_GB2312" w:cs="仿宋_GB2312"/>
                <w:szCs w:val="21"/>
              </w:rPr>
            </w:pPr>
            <w:r>
              <w:rPr>
                <w:rFonts w:hint="eastAsia" w:ascii="宋体" w:hAnsi="宋体" w:cs="宋体"/>
                <w:color w:val="000000"/>
                <w:szCs w:val="21"/>
              </w:rPr>
              <w:t>已完成13名临聘人员招聘</w:t>
            </w:r>
          </w:p>
        </w:tc>
      </w:tr>
      <w:tr w14:paraId="0607D788">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14:paraId="4F7ADB4C">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D10CD1F">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CFEF4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92E3">
            <w:pPr>
              <w:widowControl/>
              <w:jc w:val="center"/>
              <w:textAlignment w:val="center"/>
              <w:rPr>
                <w:rFonts w:ascii="仿宋_GB2312" w:hAnsi="仿宋_GB2312" w:eastAsia="仿宋_GB2312" w:cs="仿宋_GB2312"/>
                <w:szCs w:val="21"/>
              </w:rPr>
            </w:pPr>
            <w:r>
              <w:rPr>
                <w:rFonts w:hint="eastAsia" w:ascii="宋体" w:hAnsi="宋体" w:cs="宋体"/>
                <w:color w:val="000000"/>
                <w:szCs w:val="21"/>
              </w:rPr>
              <w:t>2020年全年内完成</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3CF2">
            <w:pPr>
              <w:widowControl/>
              <w:jc w:val="center"/>
              <w:textAlignment w:val="center"/>
              <w:rPr>
                <w:rFonts w:ascii="仿宋_GB2312" w:hAnsi="仿宋_GB2312" w:eastAsia="仿宋_GB2312" w:cs="仿宋_GB2312"/>
                <w:szCs w:val="21"/>
              </w:rPr>
            </w:pPr>
            <w:r>
              <w:rPr>
                <w:rFonts w:hint="eastAsia" w:ascii="宋体" w:hAnsi="宋体" w:cs="宋体"/>
                <w:color w:val="000000"/>
                <w:szCs w:val="21"/>
              </w:rPr>
              <w:t>2020年全年内完成</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2310">
            <w:pPr>
              <w:widowControl/>
              <w:jc w:val="center"/>
              <w:textAlignment w:val="center"/>
              <w:rPr>
                <w:rFonts w:ascii="仿宋_GB2312" w:hAnsi="仿宋_GB2312" w:eastAsia="仿宋_GB2312" w:cs="仿宋_GB2312"/>
                <w:szCs w:val="21"/>
              </w:rPr>
            </w:pPr>
            <w:r>
              <w:rPr>
                <w:rFonts w:hint="eastAsia" w:ascii="宋体" w:hAnsi="宋体" w:cs="宋体"/>
                <w:color w:val="000000"/>
                <w:szCs w:val="21"/>
              </w:rPr>
              <w:t>2020年内已完成</w:t>
            </w:r>
          </w:p>
        </w:tc>
      </w:tr>
      <w:tr w14:paraId="6B56E296">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14:paraId="287F0C99">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3FE14F0">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1B0FA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0328">
            <w:pPr>
              <w:widowControl/>
              <w:jc w:val="center"/>
              <w:textAlignment w:val="center"/>
              <w:rPr>
                <w:rFonts w:ascii="宋体" w:cs="宋体"/>
                <w:color w:val="000000"/>
                <w:szCs w:val="21"/>
              </w:rPr>
            </w:pPr>
            <w:r>
              <w:rPr>
                <w:rFonts w:hint="eastAsia" w:ascii="宋体" w:hAnsi="宋体" w:cs="宋体"/>
                <w:color w:val="000000"/>
                <w:kern w:val="0"/>
                <w:szCs w:val="21"/>
              </w:rPr>
              <w:t>45.38万元</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8053">
            <w:pPr>
              <w:widowControl/>
              <w:jc w:val="center"/>
              <w:textAlignment w:val="center"/>
              <w:rPr>
                <w:rFonts w:ascii="宋体" w:cs="宋体"/>
                <w:color w:val="000000"/>
                <w:szCs w:val="21"/>
              </w:rPr>
            </w:pPr>
            <w:r>
              <w:rPr>
                <w:rFonts w:hint="eastAsia" w:ascii="宋体" w:hAnsi="宋体" w:cs="宋体"/>
                <w:color w:val="000000"/>
                <w:szCs w:val="21"/>
              </w:rPr>
              <w:t>总成本控制在45.38万元内</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98F2">
            <w:pPr>
              <w:widowControl/>
              <w:jc w:val="center"/>
              <w:textAlignment w:val="center"/>
              <w:rPr>
                <w:rFonts w:ascii="宋体" w:cs="宋体"/>
                <w:color w:val="000000"/>
                <w:szCs w:val="21"/>
              </w:rPr>
            </w:pPr>
            <w:r>
              <w:rPr>
                <w:rFonts w:hint="eastAsia" w:ascii="宋体" w:hAnsi="宋体" w:cs="宋体"/>
                <w:color w:val="000000"/>
                <w:szCs w:val="21"/>
              </w:rPr>
              <w:t>最终成本为45.38万元</w:t>
            </w:r>
          </w:p>
        </w:tc>
      </w:tr>
      <w:tr w14:paraId="4E3FABCE">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14:paraId="721741A0">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FD662A">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1BA792">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14:paraId="73134930">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B969">
            <w:pPr>
              <w:widowControl/>
              <w:jc w:val="center"/>
              <w:textAlignment w:val="center"/>
              <w:rPr>
                <w:rFonts w:ascii="宋体" w:cs="宋体"/>
                <w:color w:val="000000"/>
                <w:szCs w:val="21"/>
              </w:rPr>
            </w:pPr>
            <w:r>
              <w:rPr>
                <w:rFonts w:hint="eastAsia" w:ascii="宋体" w:hAnsi="宋体" w:cs="宋体"/>
                <w:color w:val="000000"/>
                <w:szCs w:val="21"/>
              </w:rPr>
              <w:t>服务对象满意度：满意</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FD51">
            <w:pPr>
              <w:widowControl/>
              <w:jc w:val="center"/>
              <w:textAlignment w:val="center"/>
              <w:rPr>
                <w:rFonts w:ascii="宋体" w:cs="宋体"/>
                <w:color w:val="000000"/>
                <w:szCs w:val="21"/>
              </w:rPr>
            </w:pPr>
            <w:r>
              <w:rPr>
                <w:rFonts w:hint="eastAsia" w:ascii="宋体" w:hAnsi="宋体" w:cs="宋体"/>
                <w:color w:val="000000"/>
                <w:szCs w:val="21"/>
              </w:rPr>
              <w:t>服务对象满意度：满意</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AE1A">
            <w:pPr>
              <w:widowControl/>
              <w:jc w:val="center"/>
              <w:textAlignment w:val="center"/>
              <w:rPr>
                <w:rFonts w:ascii="宋体" w:cs="宋体"/>
                <w:color w:val="000000"/>
                <w:szCs w:val="21"/>
              </w:rPr>
            </w:pPr>
            <w:r>
              <w:rPr>
                <w:rFonts w:hint="eastAsia" w:ascii="宋体" w:cs="宋体"/>
                <w:color w:val="000000"/>
                <w:szCs w:val="21"/>
              </w:rPr>
              <w:t>服务对象满意</w:t>
            </w:r>
          </w:p>
        </w:tc>
      </w:tr>
    </w:tbl>
    <w:p w14:paraId="12080A3D">
      <w:pPr>
        <w:spacing w:line="600" w:lineRule="exact"/>
        <w:jc w:val="center"/>
        <w:outlineLvl w:val="0"/>
        <w:rPr>
          <w:rFonts w:ascii="黑体" w:hAnsi="黑体" w:eastAsia="黑体"/>
          <w:sz w:val="44"/>
          <w:szCs w:val="44"/>
        </w:rPr>
      </w:pPr>
    </w:p>
    <w:p w14:paraId="6C1BFB20">
      <w:pPr>
        <w:pStyle w:val="2"/>
        <w:spacing w:before="93"/>
        <w:rPr>
          <w:rFonts w:ascii="黑体" w:hAnsi="黑体" w:eastAsia="黑体"/>
          <w:sz w:val="44"/>
          <w:szCs w:val="44"/>
        </w:rPr>
      </w:pPr>
    </w:p>
    <w:p w14:paraId="67088F5B">
      <w:pPr>
        <w:spacing w:line="600" w:lineRule="exact"/>
        <w:jc w:val="both"/>
        <w:outlineLvl w:val="0"/>
        <w:rPr>
          <w:rFonts w:ascii="黑体" w:hAnsi="黑体" w:eastAsia="黑体"/>
          <w:sz w:val="44"/>
          <w:szCs w:val="44"/>
        </w:rPr>
      </w:pPr>
    </w:p>
    <w:p w14:paraId="37B4C55C">
      <w:pPr>
        <w:pStyle w:val="2"/>
      </w:pPr>
    </w:p>
    <w:p w14:paraId="14748392">
      <w:pPr>
        <w:spacing w:line="600" w:lineRule="exact"/>
        <w:jc w:val="center"/>
        <w:outlineLvl w:val="0"/>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bookmarkEnd w:id="40"/>
      <w:bookmarkEnd w:id="42"/>
      <w:bookmarkStart w:id="43" w:name="_Toc15396619"/>
    </w:p>
    <w:p w14:paraId="407262CA">
      <w:pPr>
        <w:pStyle w:val="4"/>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bookmarkEnd w:id="43"/>
    </w:p>
    <w:p w14:paraId="54EC3387">
      <w:pPr>
        <w:pStyle w:val="4"/>
        <w:rPr>
          <w:rFonts w:ascii="仿宋" w:hAnsi="仿宋" w:eastAsia="仿宋"/>
        </w:rPr>
      </w:pPr>
      <w:bookmarkStart w:id="44" w:name="_Toc15396620"/>
      <w:r>
        <w:rPr>
          <w:rFonts w:hint="eastAsia" w:ascii="仿宋" w:hAnsi="仿宋" w:eastAsia="仿宋"/>
          <w:b w:val="0"/>
        </w:rPr>
        <w:t>二、收</w:t>
      </w:r>
      <w:r>
        <w:rPr>
          <w:rStyle w:val="25"/>
          <w:rFonts w:hint="eastAsia" w:ascii="仿宋" w:hAnsi="仿宋" w:eastAsia="仿宋"/>
          <w:b w:val="0"/>
          <w:bCs w:val="0"/>
        </w:rPr>
        <w:t>入决算表</w:t>
      </w:r>
      <w:bookmarkEnd w:id="44"/>
    </w:p>
    <w:p w14:paraId="7300DCB9">
      <w:pPr>
        <w:pStyle w:val="4"/>
        <w:rPr>
          <w:rFonts w:ascii="仿宋" w:hAnsi="仿宋" w:eastAsia="仿宋"/>
        </w:rPr>
      </w:pPr>
      <w:bookmarkStart w:id="45"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45"/>
    </w:p>
    <w:p w14:paraId="4AAFE9EF">
      <w:pPr>
        <w:pStyle w:val="4"/>
        <w:rPr>
          <w:rFonts w:ascii="仿宋" w:hAnsi="仿宋" w:eastAsia="仿宋"/>
          <w:b w:val="0"/>
        </w:rPr>
      </w:pPr>
      <w:bookmarkStart w:id="46"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46"/>
    </w:p>
    <w:p w14:paraId="6078075A">
      <w:pPr>
        <w:pStyle w:val="4"/>
        <w:rPr>
          <w:rStyle w:val="25"/>
          <w:rFonts w:ascii="仿宋" w:hAnsi="仿宋" w:eastAsia="仿宋"/>
          <w:b w:val="0"/>
          <w:bCs w:val="0"/>
        </w:rPr>
      </w:pPr>
      <w:bookmarkStart w:id="47"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47"/>
      <w:bookmarkStart w:id="48" w:name="_Toc15396624"/>
    </w:p>
    <w:p w14:paraId="63DD6BA9">
      <w:pPr>
        <w:pStyle w:val="4"/>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48"/>
    </w:p>
    <w:p w14:paraId="101CC03A">
      <w:pPr>
        <w:pStyle w:val="4"/>
        <w:rPr>
          <w:rFonts w:ascii="仿宋" w:hAnsi="仿宋" w:eastAsia="仿宋"/>
        </w:rPr>
      </w:pPr>
      <w:bookmarkStart w:id="49"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49"/>
    </w:p>
    <w:p w14:paraId="0F0EF42C">
      <w:pPr>
        <w:pStyle w:val="4"/>
        <w:rPr>
          <w:rFonts w:ascii="仿宋" w:hAnsi="仿宋" w:eastAsia="仿宋"/>
        </w:rPr>
      </w:pPr>
      <w:bookmarkStart w:id="50"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50"/>
    </w:p>
    <w:p w14:paraId="099480C2">
      <w:pPr>
        <w:pStyle w:val="4"/>
        <w:rPr>
          <w:rFonts w:ascii="仿宋" w:hAnsi="仿宋" w:eastAsia="仿宋"/>
        </w:rPr>
      </w:pPr>
      <w:bookmarkStart w:id="51"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51"/>
    </w:p>
    <w:p w14:paraId="6BC8C155">
      <w:pPr>
        <w:pStyle w:val="4"/>
        <w:rPr>
          <w:rFonts w:ascii="仿宋" w:hAnsi="仿宋" w:eastAsia="仿宋"/>
        </w:rPr>
      </w:pPr>
      <w:bookmarkStart w:id="52" w:name="_Toc15396628"/>
      <w:r>
        <w:rPr>
          <w:rStyle w:val="25"/>
          <w:rFonts w:hint="eastAsia" w:ascii="仿宋" w:hAnsi="仿宋" w:eastAsia="仿宋"/>
          <w:b w:val="0"/>
          <w:bCs w:val="0"/>
        </w:rPr>
        <w:t>十、</w:t>
      </w:r>
      <w:r>
        <w:rPr>
          <w:rFonts w:hint="eastAsia" w:ascii="仿宋" w:hAnsi="仿宋" w:eastAsia="仿宋"/>
          <w:b w:val="0"/>
        </w:rPr>
        <w:t>一</w:t>
      </w:r>
      <w:r>
        <w:rPr>
          <w:rStyle w:val="25"/>
          <w:rFonts w:hint="eastAsia" w:ascii="仿宋" w:hAnsi="仿宋" w:eastAsia="仿宋"/>
          <w:b w:val="0"/>
          <w:bCs w:val="0"/>
        </w:rPr>
        <w:t>般公共预算财政拨款“三公”经费支出决算表</w:t>
      </w:r>
      <w:bookmarkEnd w:id="52"/>
    </w:p>
    <w:p w14:paraId="5A3B2ACF">
      <w:pPr>
        <w:pStyle w:val="4"/>
        <w:rPr>
          <w:rFonts w:ascii="仿宋" w:hAnsi="仿宋" w:eastAsia="仿宋"/>
        </w:rPr>
      </w:pPr>
      <w:bookmarkStart w:id="53" w:name="_Toc15396629"/>
      <w:r>
        <w:rPr>
          <w:rStyle w:val="25"/>
          <w:rFonts w:hint="eastAsia" w:ascii="仿宋" w:hAnsi="仿宋" w:eastAsia="仿宋"/>
          <w:b w:val="0"/>
          <w:bCs w:val="0"/>
        </w:rPr>
        <w:t>十一、</w:t>
      </w:r>
      <w:r>
        <w:rPr>
          <w:rFonts w:hint="eastAsia" w:ascii="仿宋" w:hAnsi="仿宋" w:eastAsia="仿宋"/>
          <w:b w:val="0"/>
        </w:rPr>
        <w:t>政</w:t>
      </w:r>
      <w:r>
        <w:rPr>
          <w:rStyle w:val="25"/>
          <w:rFonts w:hint="eastAsia" w:ascii="仿宋" w:hAnsi="仿宋" w:eastAsia="仿宋"/>
          <w:b w:val="0"/>
          <w:bCs w:val="0"/>
        </w:rPr>
        <w:t>府性基金预算财政拨款收入支出决算表</w:t>
      </w:r>
      <w:bookmarkEnd w:id="53"/>
    </w:p>
    <w:p w14:paraId="078B1795">
      <w:pPr>
        <w:pStyle w:val="4"/>
        <w:rPr>
          <w:rFonts w:ascii="仿宋" w:hAnsi="仿宋" w:eastAsia="仿宋"/>
        </w:rPr>
      </w:pPr>
      <w:bookmarkStart w:id="54" w:name="_Toc15396630"/>
      <w:r>
        <w:rPr>
          <w:rStyle w:val="25"/>
          <w:rFonts w:hint="eastAsia" w:ascii="仿宋" w:hAnsi="仿宋" w:eastAsia="仿宋"/>
          <w:b w:val="0"/>
          <w:bCs w:val="0"/>
        </w:rPr>
        <w:t>十二、</w:t>
      </w:r>
      <w:r>
        <w:rPr>
          <w:rFonts w:hint="eastAsia" w:ascii="仿宋" w:hAnsi="仿宋" w:eastAsia="仿宋"/>
          <w:b w:val="0"/>
        </w:rPr>
        <w:t>政</w:t>
      </w:r>
      <w:r>
        <w:rPr>
          <w:rStyle w:val="25"/>
          <w:rFonts w:hint="eastAsia" w:ascii="仿宋" w:hAnsi="仿宋" w:eastAsia="仿宋"/>
          <w:b w:val="0"/>
          <w:bCs w:val="0"/>
        </w:rPr>
        <w:t>府性基金预算财政拨款“三公”经费支出决算表</w:t>
      </w:r>
      <w:bookmarkEnd w:id="54"/>
    </w:p>
    <w:p w14:paraId="0F5FC172">
      <w:pPr>
        <w:pStyle w:val="4"/>
        <w:rPr>
          <w:rStyle w:val="25"/>
          <w:rFonts w:ascii="仿宋" w:hAnsi="仿宋" w:eastAsia="仿宋"/>
          <w:b w:val="0"/>
          <w:bCs w:val="0"/>
        </w:rPr>
      </w:pPr>
      <w:bookmarkStart w:id="55" w:name="_Toc15396631"/>
      <w:r>
        <w:rPr>
          <w:rStyle w:val="25"/>
          <w:rFonts w:hint="eastAsia" w:ascii="仿宋" w:hAnsi="仿宋" w:eastAsia="仿宋"/>
          <w:b w:val="0"/>
          <w:bCs w:val="0"/>
        </w:rPr>
        <w:t>十三、</w:t>
      </w:r>
      <w:r>
        <w:rPr>
          <w:rFonts w:hint="eastAsia" w:ascii="仿宋" w:hAnsi="仿宋" w:eastAsia="仿宋"/>
          <w:b w:val="0"/>
        </w:rPr>
        <w:t>国</w:t>
      </w:r>
      <w:r>
        <w:rPr>
          <w:rStyle w:val="25"/>
          <w:rFonts w:hint="eastAsia" w:ascii="仿宋" w:hAnsi="仿宋" w:eastAsia="仿宋"/>
          <w:b w:val="0"/>
          <w:bCs w:val="0"/>
        </w:rPr>
        <w:t>有资本经营预算财政拨款收入支出决算表</w:t>
      </w:r>
      <w:bookmarkEnd w:id="55"/>
    </w:p>
    <w:p w14:paraId="4415975C">
      <w:pPr>
        <w:rPr>
          <w:rFonts w:eastAsia="仿宋"/>
        </w:rPr>
      </w:pPr>
      <w:r>
        <w:rPr>
          <w:rStyle w:val="25"/>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1B689D68">
        <w:pPr>
          <w:pStyle w:val="8"/>
          <w:jc w:val="center"/>
        </w:pPr>
        <w:r>
          <w:fldChar w:fldCharType="begin"/>
        </w:r>
        <w:r>
          <w:instrText xml:space="preserve">PAGE   \* MERGEFORMAT</w:instrText>
        </w:r>
        <w:r>
          <w:fldChar w:fldCharType="separate"/>
        </w:r>
        <w:r>
          <w:rPr>
            <w:lang w:val="zh-CN"/>
          </w:rPr>
          <w:t>19</w:t>
        </w:r>
        <w:r>
          <w:fldChar w:fldCharType="end"/>
        </w:r>
      </w:p>
    </w:sdtContent>
  </w:sdt>
  <w:p w14:paraId="0AA2BBB0">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42D22">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788F65E8"/>
    <w:multiLevelType w:val="singleLevel"/>
    <w:tmpl w:val="788F65E8"/>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YyMDcyYjBhZmJkNDg0ZDBhMWNjMDJmY2FmNjY5Nz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0745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95A8F"/>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C17623"/>
    <w:rsid w:val="0A2032A3"/>
    <w:rsid w:val="0B8A37D8"/>
    <w:rsid w:val="0BBC3A5D"/>
    <w:rsid w:val="0E743E81"/>
    <w:rsid w:val="10C055FF"/>
    <w:rsid w:val="118107EC"/>
    <w:rsid w:val="11DD6519"/>
    <w:rsid w:val="12B207DE"/>
    <w:rsid w:val="16BB723D"/>
    <w:rsid w:val="18015F3F"/>
    <w:rsid w:val="1940328F"/>
    <w:rsid w:val="1A165D71"/>
    <w:rsid w:val="1BE8440E"/>
    <w:rsid w:val="1D155CEE"/>
    <w:rsid w:val="20F57F95"/>
    <w:rsid w:val="240371BF"/>
    <w:rsid w:val="25C741E6"/>
    <w:rsid w:val="27842671"/>
    <w:rsid w:val="29B05105"/>
    <w:rsid w:val="29FD04D3"/>
    <w:rsid w:val="2ABE7A3E"/>
    <w:rsid w:val="2EFA178C"/>
    <w:rsid w:val="30B46D73"/>
    <w:rsid w:val="319F7F4E"/>
    <w:rsid w:val="39AE70AB"/>
    <w:rsid w:val="3C0C0783"/>
    <w:rsid w:val="3F9F3A96"/>
    <w:rsid w:val="42D43B0B"/>
    <w:rsid w:val="44552CB2"/>
    <w:rsid w:val="47A7594D"/>
    <w:rsid w:val="493C27E9"/>
    <w:rsid w:val="496F39ED"/>
    <w:rsid w:val="49FF41D3"/>
    <w:rsid w:val="4B495D2E"/>
    <w:rsid w:val="4BE068DB"/>
    <w:rsid w:val="4BF6002B"/>
    <w:rsid w:val="4ECE2238"/>
    <w:rsid w:val="51DB4B86"/>
    <w:rsid w:val="521B7B79"/>
    <w:rsid w:val="55333C3E"/>
    <w:rsid w:val="56492CAA"/>
    <w:rsid w:val="5DDD2514"/>
    <w:rsid w:val="605F400D"/>
    <w:rsid w:val="63EE58D3"/>
    <w:rsid w:val="64CA39A1"/>
    <w:rsid w:val="65B16952"/>
    <w:rsid w:val="69F230FA"/>
    <w:rsid w:val="6A400270"/>
    <w:rsid w:val="6C4A05C8"/>
    <w:rsid w:val="6D207E8B"/>
    <w:rsid w:val="6DD0005D"/>
    <w:rsid w:val="72734D90"/>
    <w:rsid w:val="77064179"/>
    <w:rsid w:val="77571460"/>
    <w:rsid w:val="79E7B28D"/>
    <w:rsid w:val="7B84284C"/>
    <w:rsid w:val="7BB84D32"/>
    <w:rsid w:val="7CD65B0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标题 1 Char1"/>
    <w:basedOn w:val="13"/>
    <w:link w:val="3"/>
    <w:qFormat/>
    <w:locked/>
    <w:uiPriority w:val="9"/>
    <w:rPr>
      <w:rFonts w:ascii="Times New Roman" w:hAnsi="Times New Roman"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Users\Administrator\Desktop\&#20915;&#31639;&#20844;&#24320;&#30011;&#22270;&#34920;&#26684;.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Users\Administrator\Desktop\&#20915;&#31639;&#20844;&#24320;&#30011;&#22270;&#34920;&#26684;.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Users\Administrator\Desktop\&#20915;&#31639;&#20844;&#24320;&#30011;&#22270;&#34920;&#26684;.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Users\Administrator\Desktop\&#20915;&#31639;&#20844;&#24320;&#30011;&#22270;&#34920;&#26684;.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Users\Administrator\Desktop\&#20915;&#31639;&#20844;&#24320;&#30011;&#22270;&#34920;&#26684;.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D:\Users\Administrator\Desktop\&#20915;&#31639;&#20844;&#24320;&#30011;&#22270;&#34920;&#2668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[决算公开画图表格.xlsx]Sheet1!$A$3</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[决算公开画图表格.xlsx]Sheet1!$B$2:$C$2</c:f>
              <c:strCache>
                <c:ptCount val="2"/>
                <c:pt idx="0">
                  <c:v>收入</c:v>
                </c:pt>
                <c:pt idx="1">
                  <c:v>支出</c:v>
                </c:pt>
              </c:strCache>
            </c:strRef>
          </c:cat>
          <c:val>
            <c:numRef>
              <c:f>[决算公开画图表格.xlsx]Sheet1!$B$3:$C$3</c:f>
              <c:numCache>
                <c:formatCode>General</c:formatCode>
                <c:ptCount val="2"/>
                <c:pt idx="0">
                  <c:v>245.75</c:v>
                </c:pt>
                <c:pt idx="1">
                  <c:v>245.75</c:v>
                </c:pt>
              </c:numCache>
            </c:numRef>
          </c:val>
        </c:ser>
        <c:ser>
          <c:idx val="1"/>
          <c:order val="1"/>
          <c:tx>
            <c:strRef>
              <c:f>[决算公开画图表格.xlsx]Sheet1!$A$4</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[决算公开画图表格.xlsx]Sheet1!$B$2:$C$2</c:f>
              <c:strCache>
                <c:ptCount val="2"/>
                <c:pt idx="0">
                  <c:v>收入</c:v>
                </c:pt>
                <c:pt idx="1">
                  <c:v>支出</c:v>
                </c:pt>
              </c:strCache>
            </c:strRef>
          </c:cat>
          <c:val>
            <c:numRef>
              <c:f>[决算公开画图表格.xlsx]Sheet1!$B$4:$C$4</c:f>
              <c:numCache>
                <c:formatCode>General</c:formatCode>
                <c:ptCount val="2"/>
                <c:pt idx="0">
                  <c:v>252.19</c:v>
                </c:pt>
                <c:pt idx="1">
                  <c:v>252.19</c:v>
                </c:pt>
              </c:numCache>
            </c:numRef>
          </c:val>
        </c:ser>
        <c:dLbls>
          <c:showLegendKey val="0"/>
          <c:showVal val="1"/>
          <c:showCatName val="0"/>
          <c:showSerName val="0"/>
          <c:showPercent val="0"/>
          <c:showBubbleSize val="0"/>
        </c:dLbls>
        <c:gapWidth val="219"/>
        <c:overlap val="-27"/>
        <c:axId val="86987520"/>
        <c:axId val="86989056"/>
      </c:barChart>
      <c:catAx>
        <c:axId val="869875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989056"/>
        <c:crosses val="autoZero"/>
        <c:auto val="1"/>
        <c:lblAlgn val="ctr"/>
        <c:lblOffset val="100"/>
        <c:noMultiLvlLbl val="0"/>
      </c:catAx>
      <c:valAx>
        <c:axId val="86989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987520"/>
        <c:crosses val="autoZero"/>
        <c:crossBetween val="between"/>
      </c:valAx>
      <c:spPr>
        <a:noFill/>
        <a:ln>
          <a:noFill/>
        </a:ln>
        <a:effectLst/>
      </c:spPr>
    </c:plotArea>
    <c:legend>
      <c:legendPos val="b"/>
      <c:layout>
        <c:manualLayout>
          <c:xMode val="edge"/>
          <c:yMode val="edge"/>
          <c:x val="0.370629370629371"/>
          <c:y val="0.90125868055555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4395826-5dc0-4876-8d74-a4d09b8f04b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[决算公开画图表格.xlsx]Sheet1!$I$28:$I$29</c:f>
              <c:strCache>
                <c:ptCount val="2"/>
                <c:pt idx="0">
                  <c:v>一般财政拨款收入252.19万元</c:v>
                </c:pt>
                <c:pt idx="1">
                  <c:v>其他收入0万元</c:v>
                </c:pt>
              </c:strCache>
            </c:strRef>
          </c:cat>
          <c:val>
            <c:numRef>
              <c:f>[决算公开画图表格.xlsx]Sheet1!$J$28:$J$29</c:f>
              <c:numCache>
                <c:formatCode>0.00%</c:formatCode>
                <c:ptCount val="2"/>
                <c:pt idx="0">
                  <c:v>0.99996</c:v>
                </c:pt>
                <c:pt idx="1">
                  <c:v>4e-5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6bbc7469-bf1a-4fe2-a60c-57a6f2382d7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[决算公开画图表格.xlsx]Sheet1!$N$36:$N$37</c:f>
              <c:strCache>
                <c:ptCount val="2"/>
                <c:pt idx="0">
                  <c:v>基本支出184.95万元</c:v>
                </c:pt>
                <c:pt idx="1">
                  <c:v>项目支出67.24万元</c:v>
                </c:pt>
              </c:strCache>
            </c:strRef>
          </c:cat>
          <c:val>
            <c:numRef>
              <c:f>[决算公开画图表格.xlsx]Sheet1!$O$36:$O$37</c:f>
              <c:numCache>
                <c:formatCode>0.00%</c:formatCode>
                <c:ptCount val="2"/>
                <c:pt idx="0">
                  <c:v>0.7334</c:v>
                </c:pt>
                <c:pt idx="1">
                  <c:v>0.2666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bcae3faf-8b54-4ba1-b1be-6d7d1787121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manualLayout>
          <c:layoutTarget val="inner"/>
          <c:xMode val="edge"/>
          <c:yMode val="edge"/>
          <c:x val="0.0610555555555556"/>
          <c:y val="0.152083333333333"/>
          <c:w val="0.882"/>
          <c:h val="0.606574074074074"/>
        </c:manualLayout>
      </c:layout>
      <c:barChart>
        <c:barDir val="col"/>
        <c:grouping val="clustered"/>
        <c:varyColors val="0"/>
        <c:ser>
          <c:idx val="0"/>
          <c:order val="0"/>
          <c:tx>
            <c:strRef>
              <c:f>[决算公开画图表格.xlsx]Sheet1!$F$61</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[决算公开画图表格.xlsx]Sheet1!$G$60:$H$60</c:f>
              <c:strCache>
                <c:ptCount val="2"/>
                <c:pt idx="0">
                  <c:v>财政拨款收入</c:v>
                </c:pt>
                <c:pt idx="1">
                  <c:v>财政拨款支出</c:v>
                </c:pt>
              </c:strCache>
            </c:strRef>
          </c:cat>
          <c:val>
            <c:numRef>
              <c:f>[决算公开画图表格.xlsx]Sheet1!$G$61:$H$61</c:f>
              <c:numCache>
                <c:formatCode>General</c:formatCode>
                <c:ptCount val="2"/>
                <c:pt idx="0">
                  <c:v>215.06</c:v>
                </c:pt>
                <c:pt idx="1">
                  <c:v>215.06</c:v>
                </c:pt>
              </c:numCache>
            </c:numRef>
          </c:val>
        </c:ser>
        <c:ser>
          <c:idx val="1"/>
          <c:order val="1"/>
          <c:tx>
            <c:strRef>
              <c:f>[决算公开画图表格.xlsx]Sheet1!$F$62</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[决算公开画图表格.xlsx]Sheet1!$G$60:$H$60</c:f>
              <c:strCache>
                <c:ptCount val="2"/>
                <c:pt idx="0">
                  <c:v>财政拨款收入</c:v>
                </c:pt>
                <c:pt idx="1">
                  <c:v>财政拨款支出</c:v>
                </c:pt>
              </c:strCache>
            </c:strRef>
          </c:cat>
          <c:val>
            <c:numRef>
              <c:f>[决算公开画图表格.xlsx]Sheet1!$G$62:$H$62</c:f>
              <c:numCache>
                <c:formatCode>General</c:formatCode>
                <c:ptCount val="2"/>
                <c:pt idx="0">
                  <c:v>252.19</c:v>
                </c:pt>
                <c:pt idx="1">
                  <c:v>252.19</c:v>
                </c:pt>
              </c:numCache>
            </c:numRef>
          </c:val>
        </c:ser>
        <c:dLbls>
          <c:showLegendKey val="0"/>
          <c:showVal val="1"/>
          <c:showCatName val="0"/>
          <c:showSerName val="0"/>
          <c:showPercent val="0"/>
          <c:showBubbleSize val="0"/>
        </c:dLbls>
        <c:gapWidth val="219"/>
        <c:overlap val="-27"/>
        <c:axId val="87599360"/>
        <c:axId val="87760896"/>
      </c:barChart>
      <c:catAx>
        <c:axId val="8759936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760896"/>
        <c:crosses val="autoZero"/>
        <c:auto val="1"/>
        <c:lblAlgn val="ctr"/>
        <c:lblOffset val="100"/>
        <c:noMultiLvlLbl val="0"/>
      </c:catAx>
      <c:valAx>
        <c:axId val="87760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59936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559c6dc-1b4b-40f4-9ca9-27c1f560f71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manualLayout>
          <c:xMode val="edge"/>
          <c:yMode val="edge"/>
          <c:x val="0.190780327030327"/>
          <c:y val="0.0303819444444444"/>
        </c:manualLayout>
      </c:layout>
      <c:overlay val="0"/>
      <c:spPr>
        <a:noFill/>
        <a:ln>
          <a:noFill/>
        </a:ln>
        <a:effectLst/>
      </c:spPr>
    </c:title>
    <c:autoTitleDeleted val="0"/>
    <c:plotArea>
      <c:layout>
        <c:manualLayout>
          <c:layoutTarget val="inner"/>
          <c:xMode val="edge"/>
          <c:yMode val="edge"/>
          <c:x val="0.0997557997557998"/>
          <c:y val="0.150824652777778"/>
          <c:w val="0.87032967032967"/>
          <c:h val="0.645920138888889"/>
        </c:manualLayout>
      </c:layout>
      <c:barChart>
        <c:barDir val="col"/>
        <c:grouping val="clustered"/>
        <c:varyColors val="0"/>
        <c:ser>
          <c:idx val="0"/>
          <c:order val="0"/>
          <c:tx>
            <c:strRef>
              <c:f>[决算公开画图表格.xlsx]Sheet1!$L$64</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[决算公开画图表格.xlsx]Sheet1!$M$63:$O$63</c:f>
              <c:strCache>
                <c:ptCount val="3"/>
                <c:pt idx="0">
                  <c:v>一般公共预算财政拨款支出</c:v>
                </c:pt>
              </c:strCache>
            </c:strRef>
          </c:cat>
          <c:val>
            <c:numRef>
              <c:f>[决算公开画图表格.xlsx]Sheet1!$M$64:$O$64</c:f>
              <c:numCache>
                <c:formatCode>General</c:formatCode>
                <c:ptCount val="3"/>
                <c:pt idx="0">
                  <c:v>215.06</c:v>
                </c:pt>
              </c:numCache>
            </c:numRef>
          </c:val>
        </c:ser>
        <c:ser>
          <c:idx val="1"/>
          <c:order val="1"/>
          <c:tx>
            <c:strRef>
              <c:f>[决算公开画图表格.xlsx]Sheet1!$L$65</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[决算公开画图表格.xlsx]Sheet1!$M$63:$O$63</c:f>
              <c:strCache>
                <c:ptCount val="3"/>
                <c:pt idx="0">
                  <c:v>一般公共预算财政拨款支出</c:v>
                </c:pt>
              </c:strCache>
            </c:strRef>
          </c:cat>
          <c:val>
            <c:numRef>
              <c:f>[决算公开画图表格.xlsx]Sheet1!$M$65:$O$65</c:f>
              <c:numCache>
                <c:formatCode>General</c:formatCode>
                <c:ptCount val="3"/>
                <c:pt idx="0">
                  <c:v>252.19</c:v>
                </c:pt>
              </c:numCache>
            </c:numRef>
          </c:val>
        </c:ser>
        <c:dLbls>
          <c:showLegendKey val="0"/>
          <c:showVal val="1"/>
          <c:showCatName val="0"/>
          <c:showSerName val="0"/>
          <c:showPercent val="0"/>
          <c:showBubbleSize val="0"/>
        </c:dLbls>
        <c:gapWidth val="219"/>
        <c:overlap val="-27"/>
        <c:axId val="87786624"/>
        <c:axId val="87788160"/>
      </c:barChart>
      <c:catAx>
        <c:axId val="8778662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788160"/>
        <c:crosses val="autoZero"/>
        <c:auto val="1"/>
        <c:lblAlgn val="ctr"/>
        <c:lblOffset val="100"/>
        <c:noMultiLvlLbl val="0"/>
      </c:catAx>
      <c:valAx>
        <c:axId val="87788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78662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6b29a68-fe2f-4baf-885c-b939bbcf6f6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manualLayout>
          <c:layoutTarget val="inner"/>
          <c:xMode val="edge"/>
          <c:yMode val="edge"/>
          <c:x val="0.334890714617889"/>
          <c:y val="0.201411375973566"/>
          <c:w val="0.344169896140133"/>
          <c:h val="0.524012272834553"/>
        </c:manualLayout>
      </c:layout>
      <c:pieChart>
        <c:varyColors val="1"/>
        <c:ser>
          <c:idx val="0"/>
          <c:order val="0"/>
          <c:tx>
            <c:strRef>
              <c:f>[决算公开画图表格.xlsx]Sheet1!$F$86</c:f>
              <c:strCache>
                <c:ptCount val="1"/>
                <c:pt idx="0">
                  <c:v>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[决算公开画图表格.xlsx]Sheet1!$E$87:$E$90</c:f>
              <c:strCache>
                <c:ptCount val="4"/>
                <c:pt idx="0">
                  <c:v>教育支出206.79万元</c:v>
                </c:pt>
                <c:pt idx="1">
                  <c:v>社会保障和就业15.91万元</c:v>
                </c:pt>
                <c:pt idx="2">
                  <c:v>卫生健康支出11.18万元</c:v>
                </c:pt>
                <c:pt idx="3">
                  <c:v>住房保障支出18.31万元</c:v>
                </c:pt>
              </c:strCache>
            </c:strRef>
          </c:cat>
          <c:val>
            <c:numRef>
              <c:f>[决算公开画图表格.xlsx]Sheet1!$F$87:$F$90</c:f>
              <c:numCache>
                <c:formatCode>0.00%</c:formatCode>
                <c:ptCount val="4"/>
                <c:pt idx="0">
                  <c:v>0.82</c:v>
                </c:pt>
                <c:pt idx="1">
                  <c:v>0.0631</c:v>
                </c:pt>
                <c:pt idx="2">
                  <c:v>0.0443</c:v>
                </c:pt>
                <c:pt idx="3">
                  <c:v>0.0726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e9a94895-3dff-4e27-a0e7-f52ae42e026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21</Pages>
  <Words>546</Words>
  <Characters>587</Characters>
  <Lines>7</Lines>
  <Paragraphs>14</Paragraphs>
  <TotalTime>14</TotalTime>
  <ScaleCrop>false</ScaleCrop>
  <LinksUpToDate>false</LinksUpToDate>
  <CharactersWithSpaces>626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autumn1402125686</cp:lastModifiedBy>
  <cp:lastPrinted>2022-08-06T02:23:00Z</cp:lastPrinted>
  <dcterms:modified xsi:type="dcterms:W3CDTF">2024-12-24T10:27:15Z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ADDE7DE90F3E4747A93238ECD20BA493</vt:lpwstr>
  </property>
</Properties>
</file>