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color w:val="000000"/>
          <w:kern w:val="0"/>
          <w:sz w:val="44"/>
          <w:szCs w:val="44"/>
        </w:rPr>
        <w:t>攀枝花市西区公共服务事项基本目录（2021版）</w:t>
      </w:r>
    </w:p>
    <w:p>
      <w:pPr>
        <w:widowControl/>
        <w:jc w:val="center"/>
        <w:textAlignment w:val="center"/>
        <w:rPr>
          <w:rFonts w:ascii="黑体" w:hAnsi="宋体" w:eastAsia="黑体" w:cs="黑体"/>
          <w:color w:val="000000"/>
          <w:kern w:val="0"/>
          <w:szCs w:val="21"/>
        </w:rPr>
      </w:pPr>
    </w:p>
    <w:tbl>
      <w:tblPr>
        <w:tblStyle w:val="5"/>
        <w:tblW w:w="14499" w:type="dxa"/>
        <w:jc w:val="center"/>
        <w:tblLayout w:type="fixed"/>
        <w:tblCellMar>
          <w:top w:w="0" w:type="dxa"/>
          <w:left w:w="108" w:type="dxa"/>
          <w:bottom w:w="0" w:type="dxa"/>
          <w:right w:w="108" w:type="dxa"/>
        </w:tblCellMar>
      </w:tblPr>
      <w:tblGrid>
        <w:gridCol w:w="1420"/>
        <w:gridCol w:w="652"/>
        <w:gridCol w:w="1553"/>
        <w:gridCol w:w="757"/>
        <w:gridCol w:w="1854"/>
        <w:gridCol w:w="708"/>
        <w:gridCol w:w="83"/>
        <w:gridCol w:w="708"/>
        <w:gridCol w:w="3469"/>
        <w:gridCol w:w="708"/>
        <w:gridCol w:w="1063"/>
        <w:gridCol w:w="708"/>
        <w:gridCol w:w="108"/>
        <w:gridCol w:w="708"/>
      </w:tblGrid>
      <w:tr>
        <w:tblPrEx>
          <w:tblCellMar>
            <w:top w:w="0" w:type="dxa"/>
            <w:left w:w="108" w:type="dxa"/>
            <w:bottom w:w="0" w:type="dxa"/>
            <w:right w:w="108" w:type="dxa"/>
          </w:tblCellMar>
        </w:tblPrEx>
        <w:trPr>
          <w:trHeight w:val="468" w:hRule="atLeast"/>
          <w:tblHeader/>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业务部门</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项号</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事项名称</w:t>
            </w:r>
          </w:p>
        </w:tc>
        <w:tc>
          <w:tcPr>
            <w:tcW w:w="1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服务类型</w:t>
            </w:r>
          </w:p>
        </w:tc>
        <w:tc>
          <w:tcPr>
            <w:tcW w:w="41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设定依据</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服务对象</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办理层级</w:t>
            </w:r>
          </w:p>
        </w:tc>
      </w:tr>
      <w:tr>
        <w:tblPrEx>
          <w:tblCellMar>
            <w:top w:w="0" w:type="dxa"/>
            <w:left w:w="108" w:type="dxa"/>
            <w:bottom w:w="0" w:type="dxa"/>
            <w:right w:w="108" w:type="dxa"/>
          </w:tblCellMar>
        </w:tblPrEx>
        <w:trPr>
          <w:trHeight w:val="942" w:hRule="atLeast"/>
          <w:tblHeader/>
          <w:jc w:val="center"/>
        </w:trPr>
        <w:tc>
          <w:tcPr>
            <w:tcW w:w="14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65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主项名称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子项项号</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子项名称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依申请类</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主动行使类</w:t>
            </w:r>
          </w:p>
        </w:tc>
        <w:tc>
          <w:tcPr>
            <w:tcW w:w="4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1616"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区教育和体育局</w:t>
            </w: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教育资助</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义务教育家庭经济困难学生生活补助查询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《四川省人民政府办公厅关于印发〈四川省教育领域省与市县财政事权和支出责任划分改革方案〉的通知》（川办发〔2020〕64号）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普通高中国家助学金、免学费查询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《四川省财政厅 四川省教育厅关于建立普通高中家庭经济困难学生国家资助制度的实施意见》（川财教〔2010〕330号）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学前教育减免保教费查询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《四川省财政厅 四川省教育厅关于加大财政投入支持学前教育发展的通知》（川财教〔2011〕224号）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81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中等职业学校学生国家助学金查询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《四川省财政厅 四川省发展和改革委员会 四川省教育厅 四川省人力资源和社会保障厅关于全面实行中等职业教育免学费政策进一步完善国家助学金制度的通知》（川财教〔2012〕298号）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区教育和体育局</w:t>
            </w: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教育资助</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学生资助政策咨询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《中华人民共和国政府信息公开条例》（国务院令第711号）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教育考试服务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招生考试政策咨询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《中华人民共和国政府信息公开条例》（国务院令第711号）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普通话培训</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《中华人民共和国国家通用语言文字法》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普通话证书查询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《普通话水平测试管理规定》（教育部令第16号）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教师资格相关政策咨询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教师资格相关政策咨询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《教师资格条例》（国务院令第188号）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《〈教师资格条例〉实施办法》（教育部令第10号）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szCs w:val="22"/>
              </w:rPr>
            </w:pPr>
          </w:p>
        </w:tc>
        <w:tc>
          <w:tcPr>
            <w:tcW w:w="65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000000"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中小学教师职称评聘政策咨询</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中小学教师职称评聘政策咨询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《四川省中小学教师职称申报评审基本条件》（川教〔2020〕85号）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szCs w:val="22"/>
              </w:rPr>
            </w:pPr>
            <w:r>
              <w:rPr>
                <w:rFonts w:hint="eastAsia" w:ascii="Times New Roman" w:hAnsi="Times New Roman" w:eastAsia="仿宋_GB2312" w:cs="Times New Roman"/>
                <w:color w:val="000000"/>
                <w:kern w:val="0"/>
                <w:sz w:val="21"/>
                <w:szCs w:val="21"/>
              </w:rPr>
              <w:t>区教育和体育局</w:t>
            </w:r>
          </w:p>
        </w:tc>
        <w:tc>
          <w:tcPr>
            <w:tcW w:w="652" w:type="dxa"/>
            <w:vMerge w:val="restart"/>
            <w:tcBorders>
              <w:top w:val="single" w:color="auto" w:sz="4" w:space="0"/>
              <w:left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auto" w:sz="4" w:space="0"/>
              <w:left w:val="single" w:color="000000"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学生入学、学籍异动政策咨询及办理</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学前教育、义务教育阶段入学政策咨询及办理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《中华人民共和国义务教育法》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szCs w:val="22"/>
              </w:rPr>
            </w:pPr>
          </w:p>
        </w:tc>
        <w:tc>
          <w:tcPr>
            <w:tcW w:w="652" w:type="dxa"/>
            <w:vMerge w:val="continue"/>
            <w:tcBorders>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辖区学校中小学学生学籍管理服务（注册、毕业、学历认证等）</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 xml:space="preserve">《中华人民共和国义务教育法》   </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《教育部关于印发〈中小学生学籍管理办法〉的通知》（教基一〔2013〕7号）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szCs w:val="22"/>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szCs w:val="22"/>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义务教育阶段学生学籍异动政策咨询及办理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《中华人民共和国义务教育法》                          《教育部关于印发〈中小学生学籍管理办法〉的通知》（教基一〔2013〕7号）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2"/>
                <w:szCs w:val="22"/>
              </w:rPr>
            </w:pPr>
          </w:p>
        </w:tc>
        <w:tc>
          <w:tcPr>
            <w:tcW w:w="65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学校办学基本情况咨询</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学校办学基本情况咨询</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《中华人民共和国教育法》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szCs w:val="22"/>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进城务工人员随迁子女接受义务教育入学申请办理</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进城务工人员随迁子女接受义务教育入学申请办理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《四川省〈中华人民共和国义务教育法〉实施办法》（四川省第十二届人民代表大会常务委员会公告第19号）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区教育和体育局</w:t>
            </w:r>
          </w:p>
        </w:tc>
        <w:tc>
          <w:tcPr>
            <w:tcW w:w="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教师资格证补发、换发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教师资格证补发、换发</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《〈教师资格条例〉实施办法》（教育部令第10号）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区科技局</w:t>
            </w:r>
          </w:p>
        </w:tc>
        <w:tc>
          <w:tcPr>
            <w:tcW w:w="65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科技政策咨询服务</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科技政策咨询服务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《四川省科技进步条例》（四川省第十二届人民代表大会常务委员会公告第69号）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市公安局西区分局</w:t>
            </w:r>
          </w:p>
        </w:tc>
        <w:tc>
          <w:tcPr>
            <w:tcW w:w="652"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户政业务办理</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居民身份证办理（包括临时身份证）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w:t>
            </w:r>
            <w:r>
              <w:rPr>
                <w:rFonts w:hint="eastAsia" w:ascii="Times New Roman" w:hAnsi="Times New Roman" w:eastAsia="仿宋_GB2312" w:cs="Times New Roman"/>
                <w:color w:val="000000"/>
                <w:kern w:val="0"/>
                <w:sz w:val="21"/>
                <w:szCs w:val="21"/>
                <w:lang w:eastAsia="zh-CN"/>
              </w:rPr>
              <w:t>居民</w:t>
            </w:r>
            <w:r>
              <w:rPr>
                <w:rFonts w:hint="eastAsia" w:ascii="Times New Roman" w:hAnsi="Times New Roman" w:eastAsia="仿宋_GB2312" w:cs="Times New Roman"/>
                <w:color w:val="000000"/>
                <w:kern w:val="0"/>
                <w:sz w:val="21"/>
                <w:szCs w:val="21"/>
              </w:rPr>
              <w:t>身份证法》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居民身份证省内异地办理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《公安部关于建立〈居民身份证异地受理挂失申报和丢失招领制度的意见〉的通知》（公通字〔2015〕34号）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居民身份证跨省异地办理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《公安部关于建立〈居民身份证异地受理挂失申报和丢失招领制度的意见〉的通知》（公通字〔2015〕34号）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居民身份证挂失申报、丢失招领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《公安部关</w:t>
            </w:r>
            <w:bookmarkStart w:id="0" w:name="_GoBack"/>
            <w:bookmarkEnd w:id="0"/>
            <w:r>
              <w:rPr>
                <w:rFonts w:hint="eastAsia" w:ascii="Times New Roman" w:hAnsi="Times New Roman" w:eastAsia="仿宋_GB2312" w:cs="Times New Roman"/>
                <w:color w:val="000000"/>
                <w:kern w:val="0"/>
                <w:sz w:val="21"/>
                <w:szCs w:val="21"/>
              </w:rPr>
              <w:t>于建立〈居民身份证异地受理挂失申报和丢失招领制度的意见〉的通知》（公通字〔2015〕34号）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市公安局西区分局</w:t>
            </w:r>
          </w:p>
        </w:tc>
        <w:tc>
          <w:tcPr>
            <w:tcW w:w="65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派出所出具证明</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户口登记项目内容变更更正证明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注销户口证明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亲属关系证明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被拐儿童身份证明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捡拾弃婴（儿童）报案证明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市公安局西区分局</w:t>
            </w:r>
          </w:p>
        </w:tc>
        <w:tc>
          <w:tcPr>
            <w:tcW w:w="65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派出所出具证明</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非正常死亡证明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临时身份证明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无犯罪记录证明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《公安部等部委关于印发〈关于改进和规范公安派出所出具证明工作的意见〉的通知》（公通字〔2016〕21号）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居住证办理</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居住证办理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《居住证暂行条例》（国务院令第663号）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交通记录证明</w:t>
            </w:r>
          </w:p>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由当地公安机关核发的机动车驾驶证并有3年以上驾龄、并安全行车、无重大交通事故责任记录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《出租汽车驾驶员从业资格管理规定》（交通运输部令2016年第63号）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w:t>
            </w:r>
          </w:p>
        </w:tc>
      </w:tr>
      <w:tr>
        <w:tblPrEx>
          <w:tblCellMar>
            <w:top w:w="0" w:type="dxa"/>
            <w:left w:w="108" w:type="dxa"/>
            <w:bottom w:w="0" w:type="dxa"/>
            <w:right w:w="108" w:type="dxa"/>
          </w:tblCellMar>
        </w:tblPrEx>
        <w:trPr>
          <w:trHeight w:val="198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r>
              <w:rPr>
                <w:rFonts w:hint="eastAsia" w:ascii="Times New Roman" w:hAnsi="Times New Roman" w:eastAsia="仿宋_GB2312" w:cs="Times New Roman"/>
                <w:color w:val="000000"/>
                <w:kern w:val="0"/>
                <w:sz w:val="21"/>
                <w:szCs w:val="21"/>
              </w:rPr>
              <w:t>市公安局西区分局</w:t>
            </w:r>
          </w:p>
        </w:tc>
        <w:tc>
          <w:tcPr>
            <w:tcW w:w="652"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交通记录证明</w:t>
            </w:r>
          </w:p>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出具已聘用或者拟聘用驾驶人员的3年内无重大以上交通责任事故的证明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《道路旅客运输及客运站管理规定》（交通运输部令2020年第17号）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出具的相关人员安全驾驶经历证明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《机动车驾驶员培训管理规定》（交通运输部令2016年第51号）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特种行业备案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旧货业备案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《公安部关于深化娱乐服务场所和特种行业治安管理改革进一步依法加强事中事后监管的工作意见》（公治〔2017〕529号）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旧手机交易业备案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《公安部关于深化娱乐服务场所和特种行业治安管理改革进一步依法加强事中事后监管的工作意见》（公治〔2017〕529号）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开锁业备案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《公安部关于深化娱乐服务场所和特种行业治安管理改革进一步依法加强事中事后监管的工作意见》（公治〔2017〕529号）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区民政局</w:t>
            </w:r>
          </w:p>
          <w:p>
            <w:pPr>
              <w:jc w:val="center"/>
              <w:rPr>
                <w:rFonts w:ascii="宋体" w:hAnsi="宋体" w:eastAsia="宋体" w:cs="宋体"/>
                <w:color w:val="000000"/>
                <w:sz w:val="22"/>
                <w:szCs w:val="22"/>
              </w:rPr>
            </w:pP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出具社会组织开立验资账户通知书</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出具社会团体开立验资账户通知书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《中国人民银行成都分行 四川省民政厅关于规范社会组织开立临时存款账户有关事项的通知》（成银发〔2016〕79号）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出具民办非企业单位开立验资账户通知书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《中国人民银行成都分行 四川省民政厅关于规范社会组织开立临时存款账户有关事项的通知》（成银发〔2016〕79号）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社会组织档案查询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社会组织档案查询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《民政部 国家档案局关于印发〈社会组织登记档案管理办法〉的通知》（民发〔2010〕101号）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社会组织评估</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社会组织评估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《社会组织评估管理办法》（民政部令第39号）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婚姻登记预约</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结婚登记预约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《四川省〈婚姻登记工作规范〉实施细则》（川民发〔2019〕44号）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845"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1553" w:type="dxa"/>
            <w:vMerge w:val="continue"/>
            <w:tcBorders>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离婚登记预约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《四川省〈婚姻登记工作规范〉实施细则》（川民发〔2019〕44号）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区民政局</w:t>
            </w:r>
          </w:p>
          <w:p>
            <w:pPr>
              <w:jc w:val="center"/>
              <w:rPr>
                <w:rFonts w:ascii="宋体" w:hAnsi="宋体" w:eastAsia="宋体" w:cs="宋体"/>
                <w:color w:val="000000"/>
                <w:sz w:val="22"/>
                <w:szCs w:val="22"/>
              </w:rPr>
            </w:pPr>
          </w:p>
        </w:tc>
        <w:tc>
          <w:tcPr>
            <w:tcW w:w="65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养老机构等级评定和划分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养老机构等级评定和划分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《中华人民共和国老年人权益保障法》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《国务院办公厅关于推进养老服务发展的意见》（国办发〔2019〕5号）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80周岁以上老年人高龄津贴发放</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80周岁以上老年人高龄津贴发放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《省老龄办 省民政厅 省财政厅〈关于建立80周岁以上老年人高龄津贴制度的通知〉》（川老龄办〔2017〕45号）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城市生活无着流浪乞讨人员救助</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城市生活无着流浪乞讨人员救助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《城市生活无着的流浪乞讨人员救助管理办法》（国务院令第381号）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社会救助管理服务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最低生活保障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《社会救助暂行办法》（国务院令第649号）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65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临时救助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《社会救助暂行办法》（国务院令第649号）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特困人员救助供养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《社会救助暂行办法》（国务院令第649号）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r>
              <w:rPr>
                <w:rFonts w:hint="eastAsia" w:ascii="Times New Roman" w:hAnsi="Times New Roman" w:eastAsia="仿宋_GB2312" w:cs="Times New Roman"/>
                <w:color w:val="000000"/>
                <w:kern w:val="0"/>
                <w:sz w:val="21"/>
                <w:szCs w:val="21"/>
              </w:rPr>
              <w:t>区民政局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养老机构设立备案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养老机构设立备案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《养老机构管理办法》（民政部令第66号）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残疾人两项补贴</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困难残疾人生活补贴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《国务院关于全面建立困难残疾人生活补贴和重度残疾人护理补贴制度的意见》（国发〔2015〕52号）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重度残疾人护理补贴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《国务院关于全面建立困难残疾人生活补贴和重度残疾人护理补贴制度的意见》（国发〔2015〕52号）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11</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儿童福利</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孤儿救助资格认定及基本生活费发放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《国务院办公厅关于加强孤儿保障工作的意见》（国办发〔2010〕54号）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《民政部 财政部关于发放孤儿基本生活费的通知》（民发〔2010〕161号）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艾滋病病毒感染儿童基本生活费发放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《民政部 财政部关于发放艾滋病病毒感染儿童基本生活费的通知》（民发〔2012〕179号）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98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区民政局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11</w:t>
            </w:r>
          </w:p>
        </w:tc>
        <w:tc>
          <w:tcPr>
            <w:tcW w:w="155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儿童福利</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事实无人抚养儿童认定及基本生活补贴发放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《民政部 最高人民法院 最高人民检察院 发展改革委 教育部 公安部 司法部 财政部 国家医保局 共青团中央 全国妇联 中国残联关于进一步加强事实无人抚养儿童保障工作的意见》（民发〔2019〕62号）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家庭经济困难儿童提供最低生活保障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《国务院关于加强困境儿童保障工作的意见》（国发〔2016〕36号）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12</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儿童服务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农村留守儿童关爱保护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《国务院关于加强农村留守儿童关爱保护工作的意见》（国发〔2016〕13号）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乡（镇）</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13</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惠民殡葬救助</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惠民殡葬救助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 xml:space="preserve">《 攀枝花市民政局 攀枝花市财政局关于印发 〈攀枝花市惠民殡葬政策实施办法的通知》（攀民政〔2021〕97号 ）                            </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《攀枝花市民政局 攀枝花市财政局关于印发〈攀枝花市惠民殡葬政策实施办法补充规定〉的通知》（攀民政〔2021〕6号）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区司法局</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村（社区）法律顾问基本信息查询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村（社区）法律顾问基本信息查询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公证服务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公证机构及公证员信息查询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公证业务预约办理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律师及律所业务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律师及律所信息查询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区司法局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律师及律所业务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律师及律所业务咨询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律师及律所投诉指引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司法鉴定服务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司法鉴定机构及司法鉴定人信息查询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司法鉴定咨询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区司法局</w:t>
            </w: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司法鉴定服务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司法鉴定投诉指引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基层法律服务所及基层法律服务工作者信息查询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基层法律服务所及基层法律服务工作者信息查询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人民调解业务信息查询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人民调解业务信息查询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《司法部关于推进公共法律服务平台建设的意见》（司发〔2017〕9号）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304" w:hRule="atLeast"/>
          <w:jc w:val="center"/>
        </w:trPr>
        <w:tc>
          <w:tcPr>
            <w:tcW w:w="142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区财政局</w:t>
            </w: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会计专业技术人员继续教育服务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会计专业技术人员继续教育办理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人力资源社会保障部关于印发〈会计专业技术人员继续教育规定〉的通知》（财会〔2018〕10号）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区财政局</w:t>
            </w: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会计专业技术人员继续教育服务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会计专业技术人员继续教育信息查询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人力资源社会保障部关于印发〈会计专业技术人员继续教育规定〉的通知》（财会〔2018〕10号）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社会保险登记</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企业社会保险登记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机关事业单位社会保险登记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工程建设项目办理工伤保险参保登记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参保单位注销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社会保险登记</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职工参保登记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城乡居民养老保险参保登记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灵活就业人员企业职工基本养老保险参保登记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缴费人员减少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社会保险参保信息维护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单位基本信息变更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社会保险参保信息维护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个人基本信息变更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定期待遇发放账户维护申请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社会保险缴费申报</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社会保险缴费申报与变更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《社会保险费征缴暂行条例》（国务院令第259号）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社会保险费断缴补缴申报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《社会保险费征缴暂行条例》（国务院令第259号）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社会保险缴费申报</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社会保险费欠费补缴申报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《社会保险费征缴暂行条例》（国务院令第259号）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社会保险费缴纳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机关事业单位职业年金缴纳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《国务院办公厅关于印发机关事业单位职业年金办法的通知》（国办发〔2015〕18号）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非营利法人、特别法人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社会保险参保缴费记录查询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单位社保参保证明查询打印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个人权益记录查询打印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养老保险服务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达到法定退休年龄缴费不满15年社保权益申请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《实施〈中华人民共和国社会保险法〉若干规定》（人力资源社会保障部令第13号）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养老保险服务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职工退休申请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城乡居民养老保险待遇申领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暂停养老保险待遇申请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恢复养老保险待遇申请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8"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养老保险服务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养老保险个人账户储存额一次性申领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参保人员养老保险死亡待遇申领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《实施〈中华人民共和国社会保险法〉若干规定》（人力资源和社会保障部令第13号）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企业职工养老保险病残津贴申领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企业职工基本养老保险关系转移接续</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养老保险服务</w:t>
            </w:r>
          </w:p>
        </w:tc>
        <w:tc>
          <w:tcPr>
            <w:tcW w:w="75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97</w:t>
            </w:r>
          </w:p>
        </w:tc>
        <w:tc>
          <w:tcPr>
            <w:tcW w:w="185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机关事业单位基本养老保险关系转移接续（含职业年金）</w:t>
            </w: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自然人、非营利法人、特别法人</w:t>
            </w:r>
          </w:p>
        </w:tc>
        <w:tc>
          <w:tcPr>
            <w:tcW w:w="8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98</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城乡居民基本养老保险关系转移接续申请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《人力资源社会保障部关于印发〈城乡居民基本养老保险经办规程〉的通知》（人社部发〔2014〕23号）</w:t>
            </w:r>
          </w:p>
        </w:tc>
        <w:tc>
          <w:tcPr>
            <w:tcW w:w="17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99</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机关事业单位基本养老保险与企业职工基本养老保险互转</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企业职工基本养老保险与城乡居民基本养老保险互转</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养老保险服务</w:t>
            </w: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101</w:t>
            </w:r>
          </w:p>
        </w:tc>
        <w:tc>
          <w:tcPr>
            <w:tcW w:w="18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军地养老保险关系转移接续申请</w:t>
            </w:r>
          </w:p>
        </w:tc>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《人力资源社会保障部等部委〈关于军人退役基本养老保险关系转移接续有关问题的通知〉》（后财〔2015〕1726号）</w:t>
            </w:r>
          </w:p>
        </w:tc>
        <w:tc>
          <w:tcPr>
            <w:tcW w:w="177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领取养老金人员待遇资格认证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《劳动和社会保障部办公厅〈关于进一步规范基本养老金社会化发放工作的通知〉》（劳社厅发〔2001〕8号）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养老保险供养亲属领取待遇资格认证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《中共中央办公厅 国务院办公厅转发劳动和社会保障部等部门〈关于积极推进企业退休人员社会化管理服务工作的意见〉的通知》（中办发〔2003〕16号）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工伤事故备案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《人力资源社会保障部关于印发工伤保险经办规程的通知》（人社部发〔2012〕11号）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工伤认定申请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劳动能力鉴定申请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工伤预防项目申报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协议医疗机构的申请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协议康复机构的申请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辅助器具配置协议机构的申请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工伤异地居住（就医）申请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《人力资源社会保障部关于印发工伤保险经办规程的通知》（人社部发〔2012〕11号）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旧伤复发申请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《人力资源社会保障部关于印发工伤保险经办规程的通知》（人社部发〔2012〕11号）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转诊转院到异地就医申请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《人力资源社会保障部关于印发工伤保险经办规程的通知》（人社部发〔2012〕11号）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工伤康复申请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工伤康复治疗期延长申请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《人力资源社会保障部关于印发工伤保险经办规程的通知》（人社部发〔2012〕11号）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辅助器具配置更换申请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停工留薪期确认和延长确认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工伤医疗（康复）费用申报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119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住院伙食补助费申领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转诊转院到异地就医待遇申领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121</w:t>
            </w:r>
          </w:p>
        </w:tc>
        <w:tc>
          <w:tcPr>
            <w:tcW w:w="185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劳动能力鉴定费用申报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122</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一次性工伤医疗补助金申请</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123</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辅助器具配置（更换）费用申报</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《工伤保险条例》（国务院令第586号）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124</w:t>
            </w:r>
          </w:p>
        </w:tc>
        <w:tc>
          <w:tcPr>
            <w:tcW w:w="18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伤残待遇申领（一次性伤残补助金、伤残津贴和生活护理费）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125</w:t>
            </w:r>
          </w:p>
        </w:tc>
        <w:tc>
          <w:tcPr>
            <w:tcW w:w="185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一次性工亡补助金（含生活困难，预支50%确认）、丧葬补助金申领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126</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供养亲属抚恤金申领</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127</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工伤保险待遇变更</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128</w:t>
            </w:r>
          </w:p>
        </w:tc>
        <w:tc>
          <w:tcPr>
            <w:tcW w:w="18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领取一级至四级伤残职工工伤保险长期待遇资格认证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《人力资源社会保障部办公厅关于印发〈领取社会保险待遇资格确认经办规程（暂行）〉的通知》（人社厅发〔2018〕107号）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领取因工死亡职工供养亲属待遇资格认证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《人力资源社会保障部办公厅关于印发〈领取社会保险待遇资格确认经办规程（暂行）〉的通知》（人社厅发〔2018〕107号）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130</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失业保险金申领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丧葬补助金和抚恤金申领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职业培训补贴申领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《失业保险条例》（国务院令第258号）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职业介绍补贴申领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《失业保险条例》（国务院令第258号）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失业保险关系转移接续</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《失业保险条例》（国务院令第258号）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稳岗返还申领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《国务院关于进一步做好新形势下就业创业工作的意见》（国发〔2015〕23号）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技能提升补贴申领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《国务院关于做好当前和今后一段时期就业创业工作的意见》（国发〔2017〕28号）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领取失业保险待遇期间生育补助金申请和发放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《四川省失业保险条例》（四川省第九届人民代表大会常务委员会第53号）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失业保险待遇发放账户维护申请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《失业保险金申领发放办法》（劳动和社会保障部令第8号）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企业年金方案备案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企业年金方案备案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《企业年金办法》（人力资源社会保障部 财政部令第36号）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企业年金方案备案</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企业年金方案重要条款变更备案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《企业年金办法》（人力资源社会保障部 财政部令第36号）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企业年金方案终止备案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《企业年金办法》（人力资源社会保障部 财政部令第36号）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社会保障卡启用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社会保障卡应用状态查询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145</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社会保障卡信息变更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146</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社会保障卡密码修改与重置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社会保障卡挂失与解挂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社会保障卡补领、换领、换发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149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社会保障卡注销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《人力资源社会保障部关于印发〈“中华人民共和国社会保障卡”管理办法〉的通知》（人社部发〔2011〕47号）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11</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职业介绍、职业指导和创业开业指导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职业介绍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《中华人民共和国就业促进法》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职业指导</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《中华人民共和国就业促进法》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12</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公共就业服务专项活动</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公共就业服务专项活动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《就业服务与就业管理规定》（劳动社会保障部令第28号）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职业供求信息、市场工资指导价位信息和职业培训信息发布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《中华人民共和国就业促进法》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13</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就业失业登记</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失业登记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《中华人民共和国就业促进法》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就业失业登记</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《中华人民共和国就业促进法》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14</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创业服务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《就业创业证》申领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《国务院关于进一步做好新形势下就业创业工作的意见》（国发〔2015〕23号）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创业补贴申领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《国务院关于做好当前和今后一段时期就业创业工作的意见》（国发〔2017〕28号）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创业担保贷款申请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《国务院关于进一步做好新形势下就业创业工作的意见》（国发〔2015〕23号）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159</w:t>
            </w:r>
          </w:p>
        </w:tc>
        <w:tc>
          <w:tcPr>
            <w:tcW w:w="185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创业专家咨询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《四川省人民政府关于做好当前和今后一段时期就业创业工作的实施意见》（川府发〔2017〕53号）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14</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创业服务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160</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创业项目查询</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《四川省人民政府关于进一步做好新形势下就业创业工作的意见》（川府发〔2015〕38号）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161</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大学生创业吸纳就业奖励申请</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《四川省人力资源和社会保障厅等部门关于进一步促进大学生就业创业的意见》（川人社发〔2016〕50号）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162</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在校大学生创业担保贷款贴息申请</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《四川省人民政府办公厅关于加大力度促进高校毕业生就业创业的意见》（川办发〔2014〕26号）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对就业困难人员（含建档立卡贫困劳动力）实施就业援助</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163</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就业困难人员认定</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《中华人民共和国就业促进法》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164</w:t>
            </w:r>
          </w:p>
        </w:tc>
        <w:tc>
          <w:tcPr>
            <w:tcW w:w="18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就业困难人员社会保险补贴申领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《国务院关于做好当前和今后一段时期就业创业工作的意见》（国发〔2017〕28号）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对就业困难人员（含建档立卡贫困劳动力）实施就业援助</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公益性岗位补贴申领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《国务院关于做好当前和今后一段时期就业创业工作的意见》（国发〔2017〕28号）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求职创业补贴申领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人力资源社会保障部关于印发〈就业补助资金管理办法〉的通知》（财社〔2019〕38号）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吸纳贫困劳动力就业奖补申领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《国务院关于做好当前和今后一段时期就业创业工作的意见》（国发〔2017〕28号）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零就业家庭认定申请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《国务院关于做好当前和今后一段时期就业创业工作的意见》（国发〔2017〕28号）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16</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高校毕业生就业服务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169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高校毕业生接收手续办理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《人力资源市场暂行条例》（国务院令第700号）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16</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高校毕业生就业服务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就业见习补贴申领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《国务院关于进一步做好新形势下就业创业工作的意见》（国发〔2015〕23号）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求职创业补贴申领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《国务院关于进一步做好新形势下就业创业工作的意见》（国发〔2015〕23号）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高校毕业生社保补贴申领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《国务院关于进一步做好新形势下就业创业工作的意见》（国发〔2015〕23号）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17</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职业培训</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职业培训补贴申领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《关于进一步做好职业技能提升行动专账资金使用管理工作的通知》（川人社办发〔2020〕30号）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17</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职业培训</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就业重点群体生活费（含交通费）补贴申请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《关于进一步做好职业技能提升行动专账资金使用管理工作的通知》（川人社办发〔2020〕30号）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18</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职业技能鉴定补贴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职业技能鉴定补贴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《关于进一步做好职业技能提升行动专账资金使用管理工作的通知》（川人社办发〔2020〕30号）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19</w:t>
            </w:r>
          </w:p>
        </w:tc>
        <w:tc>
          <w:tcPr>
            <w:tcW w:w="1553"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事业单位人事管理服务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事业单位拟聘人员备案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《事业单位人事管理条例》（国务院令第652号）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事业单位工作人员申诉、再申诉办理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《事业单位人事管理条例》（国务院令第652号）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流动人员人事档案管理服务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档案的接收和转递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《人力资源市场暂行条例》（国务院令第700号）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553" w:type="dxa"/>
            <w:vMerge w:val="restart"/>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流动人员人事档案管理服务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档案材料的收集、鉴别和归档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《人力资源市场暂行条例》（国务院令第700号）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提供档案查（借）阅服务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《人力资源市场暂行条例》（国务院令第700号）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依据档案记载出具相关证明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《人力资源市场暂行条例》（国务院令第700号）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提供政审（考察）服务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《人力资源市场暂行条例》（国务院令第700号）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流动人员人事档案管理服务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183</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档案的整理和保管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《人力资源市场暂行条例》（国务院令第700号）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21</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高技能人才服务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184</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高技能领军人才窗口服务申请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《中共中央办公厅 国务院办公厅印发关于提高技术工人待遇的意见的通知》（中办发〔2018〕16号）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22</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专业技术人员管理服务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185</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职称评审委员会备案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《职称评审管理暂行规定》（人力资源社会保障部令第40号）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23</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劳动关系协调</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186</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集体合同审查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《中华人民共和国劳动法》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劳动用工备案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《中共中央 国务院关于构建和谐劳动关系的意见》（中发〔2015〕10号）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23</w:t>
            </w:r>
          </w:p>
        </w:tc>
        <w:tc>
          <w:tcPr>
            <w:tcW w:w="1553"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劳动关系协调</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企业经济性裁员报告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《中华人民共和国劳动法》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189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录用未成年工登记备案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《中华人民共和国劳动法》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24</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劳动人事争议调解仲裁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劳动人事争议调解申请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《中华人民共和国劳动争议调解仲裁法》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24</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劳动人事争议调解仲裁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劳动人事争议仲裁申请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《中华人民共和国劳动争议调解仲裁法》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区人力资源社会保障局</w:t>
            </w: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25</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创业服务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市级创业孵化基地认定申请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《攀枝花市人力资源和社会保障局等五部门关于印发&lt;攀枝花市市级创业孵化基地认定管理暂行办法&gt;的通知》（攀人社发〔2021〕114号）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市自然资源和规划局西区分局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不动产登记资料查询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不动产登记资料查询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《不动产登记暂行条例》（国务院令第656号）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拟建项目压覆重要矿产资源查询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拟建项目范围内重要矿产资源分布和重要矿产资源矿业权设置情况查询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《中华人民共和国矿产资源法》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《中华人民共和国矿产资源法实施细则》（国务院令第152号）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《四川省自然资源厅关于建设项目压覆重要矿产资源自助查询的公告》（川自然资公告﹝2021﹞26号）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采矿权抵押备案</w:t>
            </w: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采矿权抵押备案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《国土资源部关于印发〈矿业权出让转让管理暂行规定〉的通知》（国土资发〔2000〕309号）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区住房城乡建设局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公共租赁住房服务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196</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公共租赁住房申请资格认定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《公共租赁住房管理办法》（住房城乡建设部令第11号）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197</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公共租赁住房申请资格取消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《公共租赁住房管理办法》（住房城乡建设部令第11号）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住房保障家庭租赁补贴发放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《公共租赁住房管理办法》（住房城乡建设部令第11号）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公租房租金缴纳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《公共租赁住房管理办法》（住房城乡建设部令第11号）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危旧房棚户区改造信息查询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危旧房棚户区改造信息查询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《国务院办公厅关于进一步加强棚户区改造工作的通知》（国办发〔2014〕36号）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农村危房改造农户档案信息查询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农村危房改造农户档案信息查询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《住房和城乡建设部 财政部 民政部 国家乡村振兴局关于做好农村低收入群体等重点对象住房安全保障工作的实施意见》（建村〔2021〕35号）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市公积金中心西区管理部</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住房公积金服务</w:t>
            </w:r>
          </w:p>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住房公积金汇缴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《住房公积金管理条例》（国务院令第262号）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住房公积金提取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《住房公积金管理条例》（国务院令第262号）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住房公积金贷款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《住房公积金管理条例》（国务院令第262号）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区农业农村和交通运输局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公路行业政策法规标准查询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普通公路行业政策制度查询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《中华人民共和国公路法》                                《中华人民共和国政府信息公开条例》（国务院令第711号）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普通公路行业技术标准查询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《中华人民共和国公路法》                                《中华人民共和国政府信息公开条例》（国务院令第711号）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区农业农村和交通运输局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公路项目及参建单位信息查询</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207</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普通公路项目信息（进度、资金补助政策等）查询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《中华人民共和国公路法》                                《中华人民共和国政府信息公开条例》（国务院令第711号）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208</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普通公路参建单位（设计、施工、监理等）相关资质、信用等级查询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《中华人民共和国公路法》                                《中华人民共和国政府信息公开条例》（国务院令第711号）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航道维护尺度发布</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209</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航道维护尺度发布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《中华人民共和国航道法》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拖拉机/联合收割机档案解除封存</w:t>
            </w: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拖拉机/联合收割机档案解除封存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《拖拉机联合收割机登记规定》（农业部令2018年第2号）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农村能源工程报废</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农村能源工程报废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《农业部办公厅关于规范户用沼气报废管理的通知》（农办科〔2013〕11号）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区农业农村和交通运输局</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养蜂证申领</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养蜂证申领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《养蜂管理办法（试行）》（农业部公告第1692号）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受理农村土地承包经营纠纷仲裁申请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受理农村土地承包经营纠纷仲裁申请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《中华人民共和国农村土地承包经营纠纷调解仲裁法》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区文广旅局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公共图书馆服务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公共图书馆查询服务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《中华人民共和国公共图书馆法》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公共图书馆借阅服务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《中华人民共和国公共图书馆法》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公共图书馆举办</w:t>
            </w:r>
          </w:p>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公益性讲座服务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《中华人民共和国公共图书馆法》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公共图书馆举办展览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《中华人民共和国公共图书馆法》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公共图书馆全民阅读推广活动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《中华人民共和国公共图书馆法》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区文广旅局</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文化馆服务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219</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文化馆娱乐活动室等公共空间设施场地的免费开放服务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《文化部 财政部关于推进全国美术馆、公共图书馆、文化馆（站）免费开放工作的意见》（文财务发〔2011〕5号）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220</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文化馆文化艺术辅导培训服务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《文化部 财政部关于推进全国美术馆、公共图书馆、文化馆（站）免费开放工作的意见》（文财务发〔2011〕5号）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221</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文化馆公益性群众文化活动服务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《文化部 财政部关于推进全国美术馆、公共图书馆、文化馆（站）免费开放工作的意见》（文财务发〔2011〕5号）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文化馆举办陈列展览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《文化部 财政部关于推进全国美术馆、公共图书馆、文化馆（站）免费开放工作的意见》（文财务发〔2011〕5号）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博物院提供公共文化服务</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场馆免费开放服务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《关于全国博物馆、纪念馆免费开放的通知》（中宣发〔2008〕2号）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区文广旅局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博物院提供公共文化服务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博物馆举办陈列展览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《中华人民共和国公共文化服务保障法》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《中华人民共和国文物保护法》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博物馆开展文化活动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《中华人民共和国公共文化服务保障法》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博物馆举办教育活动</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《中华人民共和国公共文化服务保障法》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《新时代公民道德建设实施纲要》</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区卫生健康局</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放射工作人员证办理</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放射工作人员证办理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《放射工作人员职业健康管理办法》（卫生部令第55号）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生育登记服务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生育登记服务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《四川省人口与计划生育条例》（四川省第十三届人民代表大会常务委员会公告第96号）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乡（镇）</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从业人员健康检查</w:t>
            </w:r>
          </w:p>
        </w:tc>
        <w:tc>
          <w:tcPr>
            <w:tcW w:w="75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公共场所直接为顾客服务人员健康检查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《国务院关于发布〈公共场所卫生管理条例〉的通知》（国发〔1987〕24号）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区卫生健康局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从业人员健康检查</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230</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供水单位直接从事管、供水人员健康检查</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《生活饮用水卫生监督管理办法》（住房和城乡建设部 国家卫生和计划生育委员会令第31号）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外出健康体检备案</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231</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外出健康体检备案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《卫生部关于印发〈健康体检管理暂行规定〉的通知》（卫医政发〔2009〕77号）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义诊活动备案</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232</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义诊活动备案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《卫生部关于组织义诊活动实行备案管理的通知》（卫医发〔2001〕365号）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医师定期考核结果备案</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医师定期考核结果备案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《卫生部关于印发〈医师定期考核管理办法〉的通知》（卫医发〔2007〕66号）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乙类公共场所备案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乙类公共场所备案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《四川省公共场所卫生管理办法》（四川省人民政府令第322号）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申领《四川省老年人优待证》</w:t>
            </w: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235</w:t>
            </w:r>
          </w:p>
        </w:tc>
        <w:tc>
          <w:tcPr>
            <w:tcW w:w="185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申领《四川省老年人优待证》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《四川省老年人权益保障条例》（四川省第十三届人民代表大会常务委员会公告第9号）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区卫生健康局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限制类医疗技术临床应用备案管理</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236</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限制类医疗技术临床应用备案管理</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《医疗技术临床应用管理办法》（国家卫生健康委令第1号）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《出生医学证明》首次签发</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237</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《出生医学证明》首次签发</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《中华人民共和国母婴保健法》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11</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《预防接种证》办理</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238</w:t>
            </w:r>
          </w:p>
        </w:tc>
        <w:tc>
          <w:tcPr>
            <w:tcW w:w="18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《预防接种证》办理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《中华人民共和国疫苗管理法》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市、县（区）、乡（镇）</w:t>
            </w:r>
          </w:p>
        </w:tc>
      </w:tr>
      <w:tr>
        <w:tblPrEx>
          <w:tblCellMar>
            <w:top w:w="0" w:type="dxa"/>
            <w:left w:w="108" w:type="dxa"/>
            <w:bottom w:w="0" w:type="dxa"/>
            <w:right w:w="108" w:type="dxa"/>
          </w:tblCellMar>
        </w:tblPrEx>
        <w:trPr>
          <w:trHeight w:val="1587" w:hRule="atLeast"/>
          <w:jc w:val="center"/>
        </w:trPr>
        <w:tc>
          <w:tcPr>
            <w:tcW w:w="14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12</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中医医疗机构医师定期考核结果备案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中医医疗机构医师定期考核结果备案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《卫生部关于印发〈医师定期考核管理办法〉的通知》（卫医发〔2007〕66号）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区卫生健康局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中医医疗机构限制类医疗技术临床应用备案</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中医医疗机构限制类医疗技术临床应用备案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《医疗技术临床应用管理办法》（国家卫生健康委令第1号）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14</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中医医疗机构开展外出健康体检备案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中医医疗机构开展外出健康体检备案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《卫生部关于印发〈健康体检管理暂行规定〉的通知》（卫医政发〔2009〕77号）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中医医疗机构义诊活动备案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中医医疗机构义诊活动备案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《卫生部关于组织义诊活动实行备案管理的通知》（卫医发〔2001〕365号）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2381" w:hRule="atLeast"/>
          <w:jc w:val="center"/>
        </w:trPr>
        <w:tc>
          <w:tcPr>
            <w:tcW w:w="1420"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区退役军人局</w:t>
            </w:r>
          </w:p>
        </w:tc>
        <w:tc>
          <w:tcPr>
            <w:tcW w:w="65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部分军队退役人员参加社保证明</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部分军队退役人员参加社保证明</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《关于进一步落实部分军队退役人员劳动保障政策的实施意见》（川劳社办〔2007〕61号）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《关于落实优抚对象和部分军队退役人员有关政策的实施意见》（川民发〔2007〕309号）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区退役军人局</w:t>
            </w:r>
          </w:p>
        </w:tc>
        <w:tc>
          <w:tcPr>
            <w:tcW w:w="6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军队无军籍退休退职职工接收安置</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军队无军籍退休退职职工接收安置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15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军队离退休干部、退休士官牺牲、病故后6个月工资给付</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军队离退休干部、退休士官牺牲、病故后6个月工资给付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81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退役军人教育培训</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退役军人教育培训</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《中华人民共和国退役军人保障法》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《军队转业干部安置暂行办法》（中发〔2001〕3号）《关于促进新时代退役军人就业创业工作的意见》（退役军人部发〔2018〕26号）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烈士证明书、军人因公牺牲证明书、病故军人证明书发放</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烈士证明书发放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《烈士褒扬条例》（国务院令第718号）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军人因公牺牲证明书、病故军人证明书发放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《军人抚恤优待条例》（国务院 中央军委令第602号发布，2019年国务院令第709号修订）</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区退役军人局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伤残证件换发、补发、变更</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249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伤残证件换发、补发、变更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《伤残抚恤管理办法》（退役军人事务部令第1号）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伤残抚恤关系接收、转移办理</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伤残抚恤关系接收、转移办理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《伤残抚恤管理办法》（退役军人事务部令第1号）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部分参战和参加核试验军队退役人员定期生活补助发放</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部分参战和参加核试验军队退役人员定期生活补助发放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部分农村籍退役士兵老年生活补助发放</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部分农村籍退役士兵老年生活补助发放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984" w:hRule="atLeast"/>
          <w:jc w:val="center"/>
        </w:trPr>
        <w:tc>
          <w:tcPr>
            <w:tcW w:w="142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区退役军人局</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部分烈士（含错杀后被平反人员）子女生活补助发放</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部分烈士（含错杀后被平反人员）子女生活补助发放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《民政部 财政部〈关于给部分烈士子女发放定期生活补助的通知〉》（民发〔2012〕27号）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11</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困难退役军人关爱帮扶专项基金资金帮扶</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困难退役军人关爱帮扶专项基金资金帮扶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《关于建立困难退役军人关爱帮扶专项基金的指导意见》（川退役军人发〔2019〕18号）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区应急管理局</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应急管理信息查询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应急管理信息查询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《中华人民共和国政府信息公开条例》（国务院令第711号）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地震信息服务</w:t>
            </w:r>
          </w:p>
        </w:tc>
        <w:tc>
          <w:tcPr>
            <w:tcW w:w="75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地震速报信息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《中华人民共和国防震减灾法》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区应急管理局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地震信息服务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257</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地震烈度信息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《中华人民共和国防震减灾法》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p>
            <w:pPr>
              <w:widowControl/>
              <w:jc w:val="center"/>
              <w:textAlignment w:val="center"/>
              <w:rPr>
                <w:rFonts w:hint="default" w:ascii="Times New Roman" w:hAnsi="Times New Roman" w:eastAsia="仿宋_GB2312" w:cs="Times New Roman"/>
                <w:color w:val="000000"/>
                <w:kern w:val="0"/>
                <w:sz w:val="21"/>
                <w:szCs w:val="21"/>
              </w:rPr>
            </w:pPr>
          </w:p>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地震灾害风险信息服务</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258</w:t>
            </w:r>
          </w:p>
        </w:tc>
        <w:tc>
          <w:tcPr>
            <w:tcW w:w="185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历史地震信息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《中华人民共和国防震减灾法》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地震活动断层信息服务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《中华人民共和国防震减灾法》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特别法人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地震风险区划基础信息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《中华人民共和国防震减灾法》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防震减灾科学普及服务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防震减灾科学普及服务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《中华人民共和国防震减灾法》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区市场监管局</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企业登记档案资料查询</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企业登记档案资料查询</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《市场监管总局登记注册局关于进一步做好企业登记档案资料工作的通知》（登注函字〔2020〕157号）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企业信息联络员备案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企业信息联络员备案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《四川省工商行政管理局关于印发〈四川省企业年度报告暂行办法〉、〈四川省企业信息联络员备案办法〉的通知》（川工商发〔2014〕182号）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24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区市场监管局</w:t>
            </w:r>
          </w:p>
        </w:tc>
        <w:tc>
          <w:tcPr>
            <w:tcW w:w="652" w:type="dxa"/>
            <w:vMerge w:val="restart"/>
            <w:tcBorders>
              <w:top w:val="single" w:color="000000" w:sz="4" w:space="0"/>
              <w:left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“守合同重信用企业”公示</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省级“守合同重信用企业”公示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《四川省合同监督条例》（四川省第十一届人民代表大会常务委员会公告第45号）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市级“守合同重信用企业”公示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《四川省合同监督条例》（四川省第十一届人民代表大会常务委员会公告第45号）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县级“守合同重信用企业”公示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《四川省合同监督条例》（四川省第十一届人民代表大会常务委员会公告第45号）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区市场监管局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消费纠纷调解</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消费纠纷调解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《中华人民共和国消费者权益保护法》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区林业局</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草原政策咨询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草原政策咨询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《中华人民共和国草原法》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野生动植物政策咨询</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269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野生动植物政策咨询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《中华人民共和国陆生野生动物保护实施条例》（国务院令第666号修订）</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《中华人民共和国野生植物保护条例》（国务院令第204号）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林业有害生物防治和检疫政策咨询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林业有害生物防治和检疫政策咨询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《森林病虫害防治条例》（国务院令第46号）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自然保护地政策咨询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自然保护地政策咨询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《中华人民共和国自然保护区条例》（国务院令第167号发布，国务院令第687号修订）</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区林业局</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国土绿化政策咨询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国土绿化政策咨询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《国务院关于开展全民义务植树运动的实施办法》（国发〔1982〕36号）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森林资源政策咨询</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森林资源政策咨询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《中华人民共和国森林法》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林木种苗技术指导及政策咨询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林木种苗技术指导及政策咨询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《四川省林木种子管理条例》（四川省第十一届人民代表大会常务委员会公告第11号）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森林草原防火宣传及咨询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森林草原防火宣传及咨询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《中华人民共和国森林法》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区林业局</w:t>
            </w: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防沙治沙政策咨询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防沙治沙政策咨询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《中华人民共和国防沙治沙法》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基本医疗保险参保和变更登记</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单位参保登记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510"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职工参保登记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城乡居民参保登记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280</w:t>
            </w:r>
          </w:p>
        </w:tc>
        <w:tc>
          <w:tcPr>
            <w:tcW w:w="185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单位参保信息变更登记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《社会保险费征缴暂行条例》（国务院令第259号）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281</w:t>
            </w:r>
          </w:p>
        </w:tc>
        <w:tc>
          <w:tcPr>
            <w:tcW w:w="1854"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职工参保信息变更登记</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基本医疗保险参保和变更登记</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282</w:t>
            </w:r>
          </w:p>
        </w:tc>
        <w:tc>
          <w:tcPr>
            <w:tcW w:w="1854"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城乡居民参保信息变更登记</w:t>
            </w:r>
          </w:p>
        </w:tc>
        <w:tc>
          <w:tcPr>
            <w:tcW w:w="70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《四川省人力资源和社会保障厅关于印发〈四川省城乡居民基本医疗保险经办规程〉的通知》（川人社办发〔2017〕974号）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283</w:t>
            </w:r>
          </w:p>
        </w:tc>
        <w:tc>
          <w:tcPr>
            <w:tcW w:w="185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参保人员电话号码新增和更改</w:t>
            </w: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284</w:t>
            </w:r>
          </w:p>
        </w:tc>
        <w:tc>
          <w:tcPr>
            <w:tcW w:w="185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医保电子凭证申领</w:t>
            </w:r>
          </w:p>
        </w:tc>
        <w:tc>
          <w:tcPr>
            <w:tcW w:w="708"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《国家医疗保障局办公室关于全面推广应用医保电子凭证的通知》（医保办发〔2020〕10号）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《国务院办公厅关于加快推进政务服务“跨省通办”的指导意见》（国办发〔2020〕35号）</w:t>
            </w:r>
          </w:p>
        </w:tc>
        <w:tc>
          <w:tcPr>
            <w:tcW w:w="1771"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基本医疗保险费征缴</w:t>
            </w:r>
          </w:p>
        </w:tc>
        <w:tc>
          <w:tcPr>
            <w:tcW w:w="757"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285</w:t>
            </w:r>
          </w:p>
        </w:tc>
        <w:tc>
          <w:tcPr>
            <w:tcW w:w="1854"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参保单位缴费基数申报</w:t>
            </w:r>
          </w:p>
        </w:tc>
        <w:tc>
          <w:tcPr>
            <w:tcW w:w="708"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《社会保险费征缴暂行条例》（国务院令第259号）</w:t>
            </w:r>
          </w:p>
        </w:tc>
        <w:tc>
          <w:tcPr>
            <w:tcW w:w="1771" w:type="dxa"/>
            <w:gridSpan w:val="2"/>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286</w:t>
            </w:r>
          </w:p>
        </w:tc>
        <w:tc>
          <w:tcPr>
            <w:tcW w:w="185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职工基本医疗保险费趸缴清算</w:t>
            </w:r>
          </w:p>
        </w:tc>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基本医疗保险参保信息查询和个人账户资金支取、划转</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参保单位参保信息查询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《社会保险费征缴暂行条例》（国务院令第259号）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参保人员参保信息查询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《社会保险费征缴暂行条例》（国务院令第259号）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2835"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289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参保人员个人账户资金一次性支取</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《国务院关于建立城镇职工基本医疗保险制度的决定》（国发〔1998〕44号）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《香港澳门台湾居民在内地（大陆）参加社会保险暂行办法》（人力资源社会保障部 国家医保局令第41号）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《在中国境内就业的外国人参加社会保险暂行办法》（人力资源社会保障部令第16号）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984"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基本医疗保险参保信息查询和个人账户资金支取、划转</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跨省异地长期备案人员个人账户资金划转</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《四川省医疗保障局等四部门关于完善城镇职工基本医疗保险个人账户使用有关政策的通知》（川医保发〔2018〕7号）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基本医疗保险关系转移接续</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出具《参保凭证》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转移接续手续办理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基本医疗保险参保人员异地就医备案</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异地安置退休人员备案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《四川省医疗保障局 四川省财政厅关于印发〈四川省医疗保险异地就医管理办法〉的通知》（川医保发〔2019〕16号）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异地长期居住人员备案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《四川省医疗保障局 四川省财政厅关于印发〈四川省医疗保险异地就医管理办法〉的通知》（川医保发〔2019〕16号）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246"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基本医疗保险参保人员异地就医备案</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常驻异地工作人员备案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《四川省医疗保障局 四川省财政厅关于印发〈四川省医疗保险异地就医管理办法〉的通知》（川医保发〔2019〕16号）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246"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异地转诊人员备案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《四川省医疗保障局 四川省财政厅关于印发〈四川省医疗保险异地就医管理办法〉的通知》（川医保发〔2019〕16号）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246"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异地急诊、抢救住院登记备案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《四川省医疗保障局 四川省财政厅关于印发〈四川省医疗保险异地就医管理办法〉的通知》（川医保发〔2019〕16号）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基本医疗保险参保人员享受门诊慢特病病种待遇认定</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基本医疗保险参保人员享受门诊慢特病病种待遇认定</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《劳动和社会保障部办公厅〈关于妥善解决医疗保险制度改革有关问题的指导意见〉》（劳社厅发〔2002〕8号）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《国家医疗保障局 财政部 国家税务总局〈关于做好2020年城乡居民基本医疗保障工作的通知〉》（医保发〔2020〕24号）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基本医疗保险参保人员享受门诊慢特病病种待遇认定</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城乡居民医保参保人员高血压、糖尿病病种待遇认定</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《国家医保局 财政部 国家卫生健康委 国家药监局〈关于完善城乡居民高血压糖尿病门诊用药保障机制的指导意见〉》（医保发〔2019〕54号）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835"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单行支付药品、高值药品支付管理病种待遇认定</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《人力资源社会保障部关于将36种药品纳入国家基本医疗保险、工伤保险和生育保险药品目录乙类范围的通知》（人社部发〔2017〕54号）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《国家医疗保障局关于将17种抗癌药纳入国家基本医疗保险、工伤保险和生育保险药品目录乙类范围的通知》（医保发〔2018〕17号）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基本医疗保险参保人员医疗费用手工（零星）报销</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门诊费用报销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住院费用报销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生育保险待遇核准支付</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产前检查费支付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生育保险待遇核准支付</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生育医疗费支付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计划生育医疗费支付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生育津贴支付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医疗救助对象待遇核准支付</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符合资助条件的救助对象参加城乡居民基本医疗保险个人缴费补贴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《社会救助暂行办法》（国务院令第649号）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医疗救助对象手工（零星）报销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《城乡医疗救助基金管理办法》（财社〔2013〕217号）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医药机构申请定点协议管理</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309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医疗机构申请定点协议管理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《医疗机构医疗保障定点管理暂行办法》（国家医疗保障局令第2号）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医药机构申请定点协议管理</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零售药店申请定点协议管理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《零售药店医疗保障定点管理暂行办法》（国家医疗保障局令第3号）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定点医药机构信息变更</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《医疗机构医疗保障定点管理暂行办法》（国家医疗保障局令第2号）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《零售药店医疗保障定点管理暂行办法》（国家医疗保障局令第3号）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定点医药机构申请暂停（终止）协议管理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《医疗机构医疗保障定点管理暂行办法》（国家医疗保障局令第2号）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《零售药店医疗保障定点管理暂行办法》（国家医疗保障局令第3号）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定点医药机构申请恢复协议管理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《医疗机构医疗保障定点管理暂行办法》（国家医疗保障局令第2号）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《零售药店医疗保障定点管理暂行办法》（国家医疗保障局令第3号）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区医保局</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医药机构申请定点协议管理</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定点医药机构开通异地就医直接结算业务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《国家医保局 财政部关于切实做好2019年跨省异地就医住院费用直接结算工作的通知》（医保发〔2019〕33号）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11</w:t>
            </w:r>
          </w:p>
        </w:tc>
        <w:tc>
          <w:tcPr>
            <w:tcW w:w="1553"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定点医药机构费用结算</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基本医疗保险定点医疗机构费用结算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基本医疗保险定点零售药店费用结算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《中华人民共和国社会保险法》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12</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门诊费用跨省直接结算</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门诊费用跨省直接结算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《国务院办公厅关于加快推进政务服务“跨省通办”的指导意见》（国办发〔2020〕35号）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区行政审批局（区采购服务中心）</w:t>
            </w: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公共资源交易信息发布</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政府采购信息发布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《中华人民共和国政府采购法》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基础信息报告</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319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自然人自主报告身份信息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《中华人民共和国个人所得税法》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608"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扣缴义务人报告自然人身份信息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《中华人民共和国个人所得税法》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《股权转让所得个人所得税管理办法（试行）》（国家税务总局公告2014年第67号）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《个人所得税扣缴申报管理办法（试行）》（国家税务总局公告2018年第61号）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解除相关人员关联关系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税务证件增补发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《中华人民共和国发票管理办法》（国务院令第709号）《税务登记管理办法》（国家税务总局令第7号、第36号、第44号、第48号修改）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制度信息报告</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存款账户账号报告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财务会计制度及核算软件备案报告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银税三方（委托）划缴协议</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《中华人民共和国税收征收管理法实施细则》（国务院令第362号）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资格信息报告</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选择按小规模纳税人纳税的情况说明</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《中华人民共和国增值税暂行条例实施细则》（财政部 国家税务总局令第50号公布，财政部 国家税务总局令第65号修订）《增值税一般纳税人登记管理办法》（国家税务总局令第43号公布）</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资格信息报告</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软件和集成电路产业企业所得税优惠事项资料报告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《企业所得税优惠政策事项办理办法》（国家税务总局公告2015年第76号公布，国家税务总局公告2018年第23号修改）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特殊事项报告</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软件产品增值税即征即退进项分摊方式资料报送与信息报告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国家税务总局关于软件产品增值税政策的通知》（财税〔2011〕100号）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欠税人处置不动产或大额资产报告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纳税人合并分立情况报告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608"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特殊事项报告</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个人所得税递延纳税报告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人力资源社会保障部 国家税务总局〈关于企业年金 职业年金个人所得税有关问题的通知〉》（财税〔2013〕103号）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《国家税务总局关于股权激励和技术入股所得税征管问题的公告》（国家税务总局公告2016年第62号）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科技成果转化暂不征收个人所得税备案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《国家税务总局关于3项个人所得税事项取消审批实施后续管理的公告》（国家税务总局公告2016年第5号）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3118"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个人所得税分期缴纳报告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 xml:space="preserve">《财政部 国家税务总局关于个人非货币性资产投资有关个人所得税政策的通知》（财税〔2015〕41号）  </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 xml:space="preserve">《财政部 国家税务总局关于将国家自主创新示范区有关税收试点政策推广到全国范围实施的通知》（财税〔2015〕116号）   </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《国家税务总局关于股权奖励和转增股本个人所得税征管问题的公告》（国家税务总局公告2015年第80号）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特殊事项报告</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个人所得税抵扣情况报告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《国家税务总局关于创业投资企业和天使投资个人税收政策有关问题的公告》（国家税务总局公告2018年第43号）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合伙制创业投资企业单一投资基金核算方式报告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税务总局 发展改革委 证监会关于创业投资企业个人合伙人所得税政策问题的通知》（财税〔2019〕8号）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2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综合税源信息报告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《国家税务总局关于修订城镇土地使用税和房产税申报表单的公告》（国家税务总局公告2019年第32号）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《国家税务总局关于修订土地增值税纳税申报表的通知》（税总函〔2016〕309号）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建筑业项目报告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国家税务总局关于全面推开营业税改征增值税试点的通知》（财税〔2016〕36号）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《不动产、建筑业营业税项目管理及发票使用管理暂行办法》（国税发〔2006〕128号）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特殊事项报告</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注销建筑业项目报告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国家税务总局关于全面推开营业税改征增值税试点的通知》（财税〔2016〕36号）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《不动产、建筑业营业税项目管理及发票使用管理暂行办法》（国税发〔2006〕128号）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不动产项目报告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国家税务总局关于全面推开营业税改征增值税试点的通知》（财税〔2016〕36号）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《不动产、建筑业营业税项目管理及发票使用管理暂行办法》（国税发〔2006〕128号）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注销不动产项目报告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国家税务总局关于全面推开营业税改征增值税试点的通知》（财税〔2016〕36号）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《国家税务总局关于印发〈不动产、建筑业营业税项目管理及发票使用管理暂行办法〉的通知》（国税发〔2006〕128号）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特殊事项报告</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房地产税收一体化信息报告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《房地产税收一体化管理业务规程》（国税发〔2007〕114号）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税收统计调查数据采集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发票领用</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发票领用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《中华人民共和国发票管理办法》（国务院令第587号）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344</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发票验（交）旧</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《中华人民共和国发票管理办法》（国务院令第587号）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《中华人民共和国发票管理办法实施细则》（国家税务总局令第25号公布，国家税务总局令第37号、第44号、第48号修改）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835"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发票领用</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发票缴销</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《中华人民共和国发票管理办法》（国务院令第587号）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《国家税务总局关于修订〈增值税专用发票使用规定〉的通知》（国税发〔2006〕156号）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《税务登记管理办法》（国家税务总局令第7号公布，国家税务总局令第36号、第44号、第48号修改）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608"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增值税税控系统专用设备初始发行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《国家税务总局关于修订〈增值税专用发票使用规定〉的通知》（国税发〔2006〕156号）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《国家税务总局关于全面推行增值税发票系统升级版有关问题的公告》（国家税务总局公告2015年第19号）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增值税税控系统专用设备变更发行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《国家税务总局关于修订〈增值税专用发票使用规定〉的通知》（国税发〔2006〕156号）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608"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auto"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发票领用</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348</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增值税税控系统专用设备注销发行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《国家税务总局关于修订〈增值税专用发票使用规定〉的通知》（国税发〔2006〕156号）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《国家税务总局关于统一小规模纳税人标准等若干增值税问题的公告》（国家税务总局公告2018年第18号）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835"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000000"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发票开具和保管</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349</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存根联数据采集</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《中华人民共和国发票管理办法》（国务院令第587号）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《国家税务总局关于全面推行增值税发票系统升级版有关问题的公告》（国家税务总局公告2015年第19号）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《国家税务总局关于印发〈增值税防伪税控系统管理办法〉的通知》（国税发〔1999〕221号）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608"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发票开具和保管</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红字增值税专用发票开具申请</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《中华人民共和国发票管理办法实施细则》（国家税务总局令第25号公布，国家税务总局令第37号、第44号、第48号修改）</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《国家税务总局关于红字增值税发票开具有关问题的公告》（国家税务总局公告2016年第47号）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发票遗失、损毁报告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《中华人民共和国发票管理办法》（国务院令第587号）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《中华人民共和国发票管理办法实施细则》（国家税务总局令第25号公布，国家税务总局令第37号、第44号、第48号修改）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临时开票权限办理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《国家税务总局关于国内旅客运输服务进项税抵扣等增值税征管问题的公告》（国家税务总局公告2019年第31号）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553"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财务会计报告报送</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财务会计报告报送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5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申报错误更正</w:t>
            </w: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申报错误更正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vMerge w:val="restart"/>
            <w:tcBorders>
              <w:top w:val="single" w:color="000000"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证明开具</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开具税收完税证明</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 xml:space="preserve">《中华人民共和国税收征收管理法实施细则》（国务院令第362号） </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《税收票证管理办法》（国家税务总局令第28号公布，国家税务总局令第48号修改）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开具个人所得税纳税记录</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《国家税务总局关于将个人所得税〈税收完税证明〉（文书式）调整为〈纳税记录〉有关事项的公告》（国家税务总局公告2018年第55号）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608"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w:t>
            </w:r>
          </w:p>
        </w:tc>
        <w:tc>
          <w:tcPr>
            <w:tcW w:w="155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证明开具</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转开印花税票销售凭证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《中华人民共和国印花税暂行条例》</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《税收票证管理办法》（国家税务总局令第28号公布，国家税务总局令第48号修改）</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《国家税务总局关于实施〈税收票证管理办法〉若干问题的公告》（国家税务总局公告2013年第34号）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涉税情况报告</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境内机构和个人发包工程作业或劳务项目备案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《非居民承包工程作业和提供劳务税收管理暂行办法》（国家税务总局令第19号公布）</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98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服务贸易等项目对外支付税务备案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 国家外汇管理局关于服务贸易等项目对外支付税务备案有关问题的公告》（国家税务总局 国家外汇管理局公告2013年第40号发布，国家税务总局公告2018年第31号修改）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381" w:hRule="atLeast"/>
          <w:jc w:val="center"/>
        </w:trPr>
        <w:tc>
          <w:tcPr>
            <w:tcW w:w="1420"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1553"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涉税情况报告</w:t>
            </w: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同期资料报告</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《中华人民共和国企业所得税法》</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《中华人民共和国企业所得税法实施条例》</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《国家税务总局关于完善关联申报和同期资料管理有关事项的公告》（国家税务总局公告2016年第42号）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非居民企业间接转让财产事项报告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《国家税务总局关于非居民企业间接转让财产企业所得税若干问题的公告》（国家税务总局公告2015年第7号）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2608" w:hRule="atLeast"/>
          <w:jc w:val="center"/>
        </w:trPr>
        <w:tc>
          <w:tcPr>
            <w:tcW w:w="1420"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非居民企业股权转让适用特殊性税务处理的备案</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《财政部 国家税务总局关于企业重组业务企业所得税处理若干问题的通知》（财税〔2009〕59号）</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《国家税务总局关于非居民企业股权转让适用特殊性税务处理有关问题的公告》（国家税务总局公告2013年第72号发布，国家税务总局公告2015年第22号修改）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11</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相互协商程序</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中国居民（国民）申请启动税务相互协商程序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《国家税务总局关于发布〈税收协定相互协商程序实施办法〉的公告》（国家税务总局公告2013年第56号发布，国家税务总局公告2018年第31号修改）</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12</w:t>
            </w:r>
          </w:p>
        </w:tc>
        <w:tc>
          <w:tcPr>
            <w:tcW w:w="155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涉税（费）咨询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电话咨询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面对面咨询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《中华人民共和国税收征收管理法》</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13</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涉税信息查询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社会公众涉税公开信息查询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《国家税务总局关于发布〈涉税信息查询管理办法〉的公告》（国家税务总局公告2016年第41号）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西区税务局</w:t>
            </w:r>
          </w:p>
        </w:tc>
        <w:tc>
          <w:tcPr>
            <w:tcW w:w="65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13</w:t>
            </w:r>
          </w:p>
        </w:tc>
        <w:tc>
          <w:tcPr>
            <w:tcW w:w="155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涉税信息查询</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纳税人涉税信息查询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《国家税务总局关于发布〈涉税信息查询管理办法〉的公告》（国家税务总局公告2016年第41号）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第三方涉税保密信息查询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《国家税务总局关于印发〈纳税人涉税保密信息管理暂行办法〉的通知》（国税发〔2008〕93号）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14</w:t>
            </w:r>
          </w:p>
        </w:tc>
        <w:tc>
          <w:tcPr>
            <w:tcW w:w="155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纳税服务投诉</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369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纳税服务投诉处理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《国家税务总局关于修订〈纳税服务投诉管理办法〉的公告》（国家税务总局公告2019年第27号）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自然人、营利法人、非营利法人、特别法人、非法人组织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1304" w:hRule="atLeast"/>
          <w:jc w:val="center"/>
        </w:trPr>
        <w:tc>
          <w:tcPr>
            <w:tcW w:w="14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区残联</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残疾人基本型辅助器具适配申请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残疾人基本型辅助器具适配申请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《辅助器具适配服务规范》（T/CARD 002.1-2020）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87" w:hRule="atLeast"/>
          <w:jc w:val="center"/>
        </w:trPr>
        <w:tc>
          <w:tcPr>
            <w:tcW w:w="142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区残联</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困难重度残疾人家庭无障碍改造申请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困难重度残疾人家庭无障碍改造申请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《无障碍环境建设条例》（国务院令第622号）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残疾儿童康复训练申请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残疾儿童康复训练申请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《四川省人民政府关于建立残疾儿童康复救助制度的实施意见》（川府发〔2018〕40号）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残疾人教育资助申请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残疾人教育资助申请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《国务院关于印发〈“十四五”残疾人保障和发展规划〉的通知》（国发〔2021〕10号）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残疾人托养服务申请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残疾人托养服务申请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《就业年龄段智力、精神及重度肢体残疾人托养服务规范》（GB/T 37516-2019）</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盲人保健按摩培训申请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盲人保健按摩培训申请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《国务院关于印发〈“十四五”残疾人保障和发展规划〉的通知》（国发〔2021〕10号）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市、县（区）</w:t>
            </w:r>
          </w:p>
        </w:tc>
      </w:tr>
      <w:tr>
        <w:tblPrEx>
          <w:tblCellMar>
            <w:top w:w="0" w:type="dxa"/>
            <w:left w:w="108" w:type="dxa"/>
            <w:bottom w:w="0" w:type="dxa"/>
            <w:right w:w="108" w:type="dxa"/>
          </w:tblCellMar>
        </w:tblPrEx>
        <w:trPr>
          <w:trHeight w:val="907" w:hRule="atLeast"/>
          <w:jc w:val="center"/>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区总工会</w:t>
            </w:r>
          </w:p>
        </w:tc>
        <w:tc>
          <w:tcPr>
            <w:tcW w:w="65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女职工大病互助保障</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《关于印发四川省职工保障互助会五个保障计划的通知》川工办发[2020]39号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31" w:hRule="atLeast"/>
          <w:jc w:val="center"/>
        </w:trPr>
        <w:tc>
          <w:tcPr>
            <w:tcW w:w="14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区总工会</w:t>
            </w:r>
          </w:p>
        </w:tc>
        <w:tc>
          <w:tcPr>
            <w:tcW w:w="65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155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困难职工家庭低收入申报</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生活救助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全总《困难职工档案管理办法》总工办发 〔2016〕36号、《四川省总工会困难职工档案管理暂行办法的通知》川工保字〔2018〕31号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31"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医疗救助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全总《困难职工档案管理办法》总工办发 〔2016〕36号、《四川省总工会困难职工档案管理暂行办法的通知》川工保字〔2018〕31号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531"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155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助学救助</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全总《困难职工档案管理办法》总工办发 〔2016〕36号、《四川省总工会困难职工档案管理暂行办法的通知》川工保字〔2018〕31号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1304"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工会统一</w:t>
            </w:r>
            <w:r>
              <w:rPr>
                <w:rFonts w:hint="eastAsia" w:ascii="Times New Roman" w:hAnsi="Times New Roman" w:eastAsia="仿宋_GB2312" w:cs="Times New Roman"/>
                <w:color w:val="000000"/>
                <w:kern w:val="0"/>
                <w:sz w:val="21"/>
                <w:szCs w:val="21"/>
                <w:lang w:eastAsia="zh-CN"/>
              </w:rPr>
              <w:t>社会</w:t>
            </w:r>
            <w:r>
              <w:rPr>
                <w:rFonts w:hint="eastAsia" w:ascii="Times New Roman" w:hAnsi="Times New Roman" w:eastAsia="仿宋_GB2312" w:cs="Times New Roman"/>
                <w:color w:val="000000"/>
                <w:kern w:val="0"/>
                <w:sz w:val="21"/>
                <w:szCs w:val="21"/>
              </w:rPr>
              <w:t>信用代码证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380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《关于启用新版工会法人资格证书的通知》攀总工发[2016]58号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自然人、特别法人、非法人组织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职业介绍、就业培训</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381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《关于做好2021年四川工会就业服务工作的通知》川工办字[2021]36号</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trHeight w:val="907" w:hRule="atLeast"/>
          <w:jc w:val="center"/>
        </w:trPr>
        <w:tc>
          <w:tcPr>
            <w:tcW w:w="14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区总工会</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川工之家会员信息认证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382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花惠卡办理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《四川省工会网上工作平台使用推广三年工作安排》</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自然人</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县（区）</w:t>
            </w: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Borders>
              <w:top w:val="nil"/>
              <w:left w:val="nil"/>
              <w:bottom w:val="nil"/>
              <w:right w:val="nil"/>
            </w:tcBorders>
            <w:shd w:val="clear" w:color="auto" w:fill="auto"/>
            <w:vAlign w:val="center"/>
          </w:tcPr>
          <w:p>
            <w:pPr>
              <w:widowControl/>
              <w:jc w:val="center"/>
              <w:textAlignment w:val="center"/>
              <w:rPr>
                <w:rFonts w:ascii="宋体" w:hAnsi="宋体" w:eastAsia="宋体" w:cs="宋体"/>
                <w:color w:val="000000"/>
                <w:kern w:val="0"/>
                <w:sz w:val="22"/>
                <w:szCs w:val="22"/>
              </w:rPr>
            </w:pP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注：标“★”为涉密。</w:t>
            </w:r>
          </w:p>
        </w:tc>
        <w:tc>
          <w:tcPr>
            <w:tcW w:w="757"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854" w:type="dxa"/>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791" w:type="dxa"/>
            <w:gridSpan w:val="2"/>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4177" w:type="dxa"/>
            <w:gridSpan w:val="2"/>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1771" w:type="dxa"/>
            <w:gridSpan w:val="2"/>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c>
          <w:tcPr>
            <w:tcW w:w="816" w:type="dxa"/>
            <w:gridSpan w:val="2"/>
            <w:tcBorders>
              <w:top w:val="nil"/>
              <w:left w:val="nil"/>
              <w:bottom w:val="nil"/>
              <w:right w:val="nil"/>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708" w:type="dxa"/>
          <w:trHeight w:val="297" w:hRule="atLeast"/>
          <w:jc w:val="center"/>
        </w:trPr>
        <w:tc>
          <w:tcPr>
            <w:tcW w:w="3625" w:type="dxa"/>
            <w:gridSpan w:val="3"/>
          </w:tcPr>
          <w:p>
            <w:pPr>
              <w:widowControl/>
              <w:jc w:val="center"/>
              <w:textAlignment w:val="center"/>
              <w:rPr>
                <w:rFonts w:ascii="宋体" w:hAnsi="宋体" w:eastAsia="宋体" w:cs="宋体"/>
                <w:color w:val="000000"/>
                <w:sz w:val="22"/>
                <w:szCs w:val="22"/>
              </w:rPr>
            </w:pPr>
          </w:p>
        </w:tc>
        <w:tc>
          <w:tcPr>
            <w:tcW w:w="757" w:type="dxa"/>
          </w:tcPr>
          <w:p>
            <w:pPr>
              <w:jc w:val="center"/>
              <w:rPr>
                <w:rFonts w:ascii="宋体" w:hAnsi="宋体" w:eastAsia="宋体" w:cs="宋体"/>
                <w:color w:val="000000"/>
                <w:sz w:val="22"/>
                <w:szCs w:val="22"/>
              </w:rPr>
            </w:pPr>
          </w:p>
        </w:tc>
        <w:tc>
          <w:tcPr>
            <w:tcW w:w="1854" w:type="dxa"/>
          </w:tcPr>
          <w:p>
            <w:pPr>
              <w:jc w:val="center"/>
              <w:rPr>
                <w:rFonts w:ascii="宋体" w:hAnsi="宋体" w:eastAsia="宋体" w:cs="宋体"/>
                <w:color w:val="000000"/>
                <w:sz w:val="22"/>
                <w:szCs w:val="22"/>
              </w:rPr>
            </w:pPr>
          </w:p>
        </w:tc>
        <w:tc>
          <w:tcPr>
            <w:tcW w:w="791" w:type="dxa"/>
            <w:gridSpan w:val="2"/>
          </w:tcPr>
          <w:p>
            <w:pPr>
              <w:jc w:val="center"/>
              <w:rPr>
                <w:rFonts w:ascii="宋体" w:hAnsi="宋体" w:eastAsia="宋体" w:cs="宋体"/>
                <w:color w:val="000000"/>
                <w:sz w:val="22"/>
                <w:szCs w:val="22"/>
              </w:rPr>
            </w:pPr>
          </w:p>
        </w:tc>
        <w:tc>
          <w:tcPr>
            <w:tcW w:w="4177" w:type="dxa"/>
            <w:gridSpan w:val="2"/>
          </w:tcPr>
          <w:p>
            <w:pPr>
              <w:jc w:val="center"/>
              <w:rPr>
                <w:rFonts w:ascii="宋体" w:hAnsi="宋体" w:eastAsia="宋体" w:cs="宋体"/>
                <w:color w:val="000000"/>
                <w:sz w:val="22"/>
                <w:szCs w:val="22"/>
              </w:rPr>
            </w:pPr>
          </w:p>
        </w:tc>
        <w:tc>
          <w:tcPr>
            <w:tcW w:w="1771" w:type="dxa"/>
            <w:gridSpan w:val="2"/>
          </w:tcPr>
          <w:p>
            <w:pPr>
              <w:jc w:val="center"/>
              <w:rPr>
                <w:rFonts w:ascii="宋体" w:hAnsi="宋体" w:eastAsia="宋体" w:cs="宋体"/>
                <w:color w:val="000000"/>
                <w:sz w:val="22"/>
                <w:szCs w:val="22"/>
              </w:rPr>
            </w:pPr>
          </w:p>
        </w:tc>
        <w:tc>
          <w:tcPr>
            <w:tcW w:w="816" w:type="dxa"/>
            <w:gridSpan w:val="2"/>
          </w:tcPr>
          <w:p>
            <w:pPr>
              <w:jc w:val="center"/>
              <w:rPr>
                <w:rFonts w:ascii="宋体" w:hAnsi="宋体" w:eastAsia="宋体" w:cs="宋体"/>
                <w:color w:val="000000"/>
                <w:sz w:val="22"/>
                <w:szCs w:val="22"/>
              </w:rPr>
            </w:pPr>
          </w:p>
        </w:tc>
      </w:tr>
    </w:tbl>
    <w:p>
      <w:pPr>
        <w:rPr>
          <w:rFonts w:ascii="Times New Roman" w:hAnsi="Times New Roman" w:eastAsia="仿宋_GB2312" w:cs="Times New Roman"/>
          <w:sz w:val="32"/>
          <w:szCs w:val="32"/>
        </w:rPr>
        <w:sectPr>
          <w:footerReference r:id="rId3" w:type="default"/>
          <w:pgSz w:w="16838" w:h="11906" w:orient="landscape"/>
          <w:pgMar w:top="2098" w:right="1474" w:bottom="1984" w:left="1587" w:header="851" w:footer="1417" w:gutter="0"/>
          <w:pgNumType w:fmt="numberInDash"/>
          <w:cols w:space="0" w:num="1"/>
          <w:rtlGutter w:val="0"/>
          <w:docGrid w:type="lines" w:linePitch="312" w:charSpace="0"/>
        </w:sectPr>
      </w:pPr>
    </w:p>
    <w:p>
      <w:pPr>
        <w:pStyle w:val="2"/>
        <w:ind w:left="0" w:leftChars="0" w:firstLine="0" w:firstLineChars="0"/>
        <w:rPr>
          <w:rFonts w:ascii="Times New Roman" w:hAnsi="Times New Roman" w:eastAsia="仿宋_GB2312" w:cs="Times New Roman"/>
          <w:sz w:val="32"/>
          <w:szCs w:val="32"/>
        </w:rPr>
        <w:sectPr>
          <w:footerReference r:id="rId4" w:type="default"/>
          <w:pgSz w:w="11906" w:h="16838"/>
          <w:pgMar w:top="1474" w:right="1984" w:bottom="1587" w:left="2098" w:header="851" w:footer="1417" w:gutter="0"/>
          <w:pgNumType w:fmt="numberInDash"/>
          <w:cols w:space="0" w:num="1"/>
          <w:rtlGutter w:val="0"/>
          <w:docGrid w:type="lines" w:linePitch="312" w:charSpace="0"/>
        </w:sect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line="240" w:lineRule="exact"/>
        <w:ind w:left="0" w:leftChars="0" w:firstLine="0" w:firstLineChars="0"/>
        <w:textAlignment w:val="auto"/>
        <w:rPr>
          <w:rFonts w:ascii="Times New Roman" w:hAnsi="Times New Roman" w:eastAsia="仿宋_GB2312" w:cs="Times New Roman"/>
          <w:sz w:val="32"/>
          <w:szCs w:val="32"/>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ODYxOGVhOGQ0NmM0YmUwMzBiYTllNjc3ZjMzOTUifQ=="/>
  </w:docVars>
  <w:rsids>
    <w:rsidRoot w:val="002919D7"/>
    <w:rsid w:val="00155C33"/>
    <w:rsid w:val="002919D7"/>
    <w:rsid w:val="00447C1D"/>
    <w:rsid w:val="006D4626"/>
    <w:rsid w:val="00882C06"/>
    <w:rsid w:val="00A52996"/>
    <w:rsid w:val="00EA07F5"/>
    <w:rsid w:val="03B24C65"/>
    <w:rsid w:val="04DD0B86"/>
    <w:rsid w:val="070A6728"/>
    <w:rsid w:val="085A3CA6"/>
    <w:rsid w:val="0B0A08A5"/>
    <w:rsid w:val="0B662000"/>
    <w:rsid w:val="0E2421F6"/>
    <w:rsid w:val="0F5A262C"/>
    <w:rsid w:val="1102547E"/>
    <w:rsid w:val="122860E6"/>
    <w:rsid w:val="13117BFA"/>
    <w:rsid w:val="132C5BEB"/>
    <w:rsid w:val="14662FC4"/>
    <w:rsid w:val="15200B29"/>
    <w:rsid w:val="172C37E3"/>
    <w:rsid w:val="176B7103"/>
    <w:rsid w:val="191539C7"/>
    <w:rsid w:val="192F2B88"/>
    <w:rsid w:val="19F65F3D"/>
    <w:rsid w:val="1A69350E"/>
    <w:rsid w:val="1A780A97"/>
    <w:rsid w:val="1B0A6CF3"/>
    <w:rsid w:val="1B5D4076"/>
    <w:rsid w:val="1BD30CDF"/>
    <w:rsid w:val="1CFD7940"/>
    <w:rsid w:val="1F477CBE"/>
    <w:rsid w:val="21A81EBE"/>
    <w:rsid w:val="23DE215B"/>
    <w:rsid w:val="254D2F31"/>
    <w:rsid w:val="256A15F9"/>
    <w:rsid w:val="25A0096A"/>
    <w:rsid w:val="265F239F"/>
    <w:rsid w:val="27882083"/>
    <w:rsid w:val="2C1954ED"/>
    <w:rsid w:val="2C73401B"/>
    <w:rsid w:val="2CA5521C"/>
    <w:rsid w:val="2D4F21A2"/>
    <w:rsid w:val="2EBB6E88"/>
    <w:rsid w:val="2FD61105"/>
    <w:rsid w:val="309900E6"/>
    <w:rsid w:val="313225C1"/>
    <w:rsid w:val="315809EE"/>
    <w:rsid w:val="32E97DF4"/>
    <w:rsid w:val="35181498"/>
    <w:rsid w:val="35F55077"/>
    <w:rsid w:val="363F72B0"/>
    <w:rsid w:val="37091E6D"/>
    <w:rsid w:val="37EF0296"/>
    <w:rsid w:val="38696918"/>
    <w:rsid w:val="391658D2"/>
    <w:rsid w:val="3DC762C2"/>
    <w:rsid w:val="3ED34FD8"/>
    <w:rsid w:val="3EEC0124"/>
    <w:rsid w:val="3FCC6EA3"/>
    <w:rsid w:val="3FDEC6C5"/>
    <w:rsid w:val="3FEF4077"/>
    <w:rsid w:val="40511292"/>
    <w:rsid w:val="410148B6"/>
    <w:rsid w:val="41090869"/>
    <w:rsid w:val="418D4040"/>
    <w:rsid w:val="45F85E74"/>
    <w:rsid w:val="4853107C"/>
    <w:rsid w:val="498E7357"/>
    <w:rsid w:val="51AD5CCC"/>
    <w:rsid w:val="534D7273"/>
    <w:rsid w:val="537B4DFA"/>
    <w:rsid w:val="546A72EE"/>
    <w:rsid w:val="5B5B0320"/>
    <w:rsid w:val="61563D8A"/>
    <w:rsid w:val="63263980"/>
    <w:rsid w:val="64A70AD0"/>
    <w:rsid w:val="662D373F"/>
    <w:rsid w:val="667F843B"/>
    <w:rsid w:val="6CE67B35"/>
    <w:rsid w:val="721F33DE"/>
    <w:rsid w:val="72BE2C18"/>
    <w:rsid w:val="73FF66AB"/>
    <w:rsid w:val="742D7E05"/>
    <w:rsid w:val="7610368B"/>
    <w:rsid w:val="7625174A"/>
    <w:rsid w:val="77FFA3E5"/>
    <w:rsid w:val="7AE069B4"/>
    <w:rsid w:val="7DC72EEF"/>
    <w:rsid w:val="9CE31C2E"/>
    <w:rsid w:val="BBFB382D"/>
    <w:rsid w:val="D7B7D3D8"/>
    <w:rsid w:val="DBBFA016"/>
    <w:rsid w:val="DCFDFD1E"/>
    <w:rsid w:val="FE4EC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31"/>
      <w:ind w:left="108"/>
      <w:jc w:val="left"/>
    </w:pPr>
    <w:rPr>
      <w:rFonts w:ascii="宋体" w:hAnsi="宋体"/>
      <w:kern w:val="0"/>
      <w:sz w:val="32"/>
      <w:szCs w:val="32"/>
      <w:lang w:eastAsia="en-US"/>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hint="eastAsia" w:ascii="宋体" w:hAnsi="宋体" w:eastAsia="宋体" w:cs="宋体"/>
      <w:color w:val="000000"/>
      <w:sz w:val="22"/>
      <w:szCs w:val="22"/>
      <w:u w:val="none"/>
    </w:rPr>
  </w:style>
  <w:style w:type="character" w:customStyle="1" w:styleId="9">
    <w:name w:val="font81"/>
    <w:basedOn w:val="7"/>
    <w:qFormat/>
    <w:uiPriority w:val="0"/>
    <w:rPr>
      <w:rFonts w:hint="eastAsia" w:ascii="宋体" w:hAnsi="宋体" w:eastAsia="宋体" w:cs="宋体"/>
      <w:color w:val="000000"/>
      <w:sz w:val="22"/>
      <w:szCs w:val="22"/>
      <w:u w:val="none"/>
      <w:vertAlign w:val="superscript"/>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29208</Words>
  <Characters>31012</Characters>
  <Lines>252</Lines>
  <Paragraphs>71</Paragraphs>
  <TotalTime>29</TotalTime>
  <ScaleCrop>false</ScaleCrop>
  <LinksUpToDate>false</LinksUpToDate>
  <CharactersWithSpaces>31285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2022-03-03T21:30:00Z</dcterms:created>
  <dc:creator>Administrator</dc:creator>
  <cp:lastModifiedBy>user</cp:lastModifiedBy>
  <cp:lastPrinted>2022-04-23T16:54:00Z</cp:lastPrinted>
  <dcterms:modified xsi:type="dcterms:W3CDTF">2024-12-19T09:04:01Z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74D58E18774B441885E49401DB94EFF9</vt:lpwstr>
  </property>
</Properties>
</file>