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both"/>
        <w:rPr>
          <w:rFonts w:asci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攀枝花市西区林业局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关于</w:t>
      </w:r>
      <w:r>
        <w:rPr>
          <w:rFonts w:hint="eastAsia" w:ascii="Times New Roman" w:eastAsia="方正小标宋_GBK"/>
          <w:sz w:val="44"/>
          <w:szCs w:val="44"/>
          <w:lang w:eastAsia="zh-CN"/>
        </w:rPr>
        <w:t>报送</w:t>
      </w:r>
      <w:r>
        <w:rPr>
          <w:rFonts w:ascii="Times New Roman" w:eastAsia="方正小标宋_GBK"/>
          <w:sz w:val="44"/>
          <w:szCs w:val="44"/>
        </w:rPr>
        <w:t>202</w:t>
      </w:r>
      <w:r>
        <w:rPr>
          <w:rFonts w:hint="eastAsia" w:ascii="Times New Roman" w:eastAsia="方正小标宋_GBK"/>
          <w:sz w:val="44"/>
          <w:szCs w:val="44"/>
          <w:lang w:val="en-US" w:eastAsia="zh-CN"/>
        </w:rPr>
        <w:t>4</w:t>
      </w:r>
      <w:r>
        <w:rPr>
          <w:rFonts w:ascii="Times New Roman" w:eastAsia="方正小标宋_GBK"/>
          <w:sz w:val="44"/>
          <w:szCs w:val="44"/>
        </w:rPr>
        <w:t>年度法治政府建设工作</w:t>
      </w:r>
      <w:r>
        <w:rPr>
          <w:rFonts w:hint="eastAsia" w:ascii="Times New Roman" w:eastAsia="方正小标宋_GBK"/>
          <w:sz w:val="44"/>
          <w:szCs w:val="44"/>
        </w:rPr>
        <w:t>情况的报告</w:t>
      </w:r>
    </w:p>
    <w:p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区委、区政府：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政府的正确领导下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我局坚持以习近平新时代中国特色社会主义思想为指导，深入贯彻落实习近平总书记重要讲话精神，围绕法治政府建设工作要求，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推进依法治区和法治政府建设工作，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着力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林业行政执法行为，推进行政执法服务理念转变，提高行政审批办事效率，建立健全各项工作制度，注重加强队伍建设，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开展执法教育培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，在制度创新、依法行政、法制宣传教育等方面强化督促落实，林业行政执法能力有了新提高。根据《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中共中央办公厅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国务院办公厅&lt;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法治政府建设与责任落实督查工作规定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》《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攀枝花市西区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  <w:t>区委全面依法治区委员会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办公室关于报送202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年度法治政府建设工作报告的通知》相关要求，结合林业工作实际，我局全面履行工作职能，现将我局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法治政府建设工作开展情况报告如下：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24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  <w:t>推进法治政府建设工作的基本做法和成效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24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加强组织领导，强化工作责任落实。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为有效推动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法治政府建设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工作，我局坚持以习近平新时代中国特色社会主义思想为指导，深入贯彻落实习近平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法治思想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，与依法治林和“八五”普法工作相结合，将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法治政府建设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工作纳入我局重要议事日程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成立了以局长任组长、分管领导任副组长，各业务股室及下属单位负责人为成员的依法行政工作领导小组，聘请了法律顾问，明确了202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年目标任务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落实了工作责任，形成了主要领导亲自抓、分管领导具体抓、其他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协助抓的齐抓共管格局，有序开展依法治林、法治政府建设各项工作，为我局依法行政工作有序开展提供了坚实的组织保障。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（二）严格监督管理，确保工作高效推进。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一是实行目标管理。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严格要求规范行政行为，将依法行政工作纳入年终目标考核，对林业依法行政工作定期督查，确保依法行政工作落到实处。</w:t>
      </w:r>
      <w:r>
        <w:rPr>
          <w:rFonts w:hint="default" w:ascii="Times New Roman" w:hAnsi="Times New Roman" w:eastAsia="仿宋_GB2312" w:cs="Times New Roman"/>
          <w:b/>
          <w:bCs w:val="0"/>
          <w:snapToGrid w:val="0"/>
          <w:color w:val="auto"/>
          <w:sz w:val="32"/>
          <w:szCs w:val="32"/>
        </w:rPr>
        <w:t>二是狠抓党风廉政建设。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坚持将全面依法行政和全面从严治党紧密结合，认真贯彻党内监督条例，进一步健全述职述廉述法等制度，坚决反四风、强作风，加强惩防体系建设。</w:t>
      </w: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三是大力推动依法治林工作。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严格按照《中华人民共和国森林法》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《中华人民共和国森林法实施条例》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《中华人民共和国野生动物保护法》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《森林防火条例》《四川省植物检疫条例》《中华人民共和国种子法》《四川省古树名木保护条例》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等林业法律法规，加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对林业职责范围内的行政执法检查和监督力度，认真依法履行巡查检查、案件举报核实、案件初步核实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、案件立案调查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等工作职责，增加依法治林的针对性，提高依法治林的实效性</w:t>
      </w: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lang w:eastAsia="zh-CN"/>
        </w:rPr>
        <w:t>；同时，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建立健全双随机抽查机制，</w:t>
      </w: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开展行政执法案卷评查，完善立卷归档和重大案件报送备案工作，严格执行行政案件审核、审批制度，要求（规范）林业执法行为。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）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eastAsia="zh-CN"/>
        </w:rPr>
        <w:t>健全体制机制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，提高依法行政水平。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进一步完善依法科学民主决策机制和行政监督机制，要求（规范）决策程序，推动科学、民主和依法决策。</w:t>
      </w: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建立健全“三项制度”、重大决策集体商量制度，严格根据“谁决策、谁负责”的原则，建立重大林业行政决策终身责任追究制度及责任倒查机制，推进“行刑衔接”工作机制。</w:t>
      </w:r>
      <w:r>
        <w:rPr>
          <w:rFonts w:hint="eastAsia" w:ascii="Times New Roman" w:eastAsia="仿宋_GB2312" w:cs="Times New Roman"/>
          <w:b/>
          <w:snapToGrid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优化和简化审批程序，按照“一次告知、一窗受理、一次办结”的原则，优化服务事项申请流程，减少办理事项，真正实现“最多跑一次”，为群众供应优质、牢靠、便捷的服务平台。</w:t>
      </w:r>
      <w:r>
        <w:rPr>
          <w:rFonts w:hint="eastAsia" w:ascii="Times New Roman" w:eastAsia="仿宋_GB2312" w:cs="Times New Roman"/>
          <w:b/>
          <w:snapToGrid w:val="0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坚持文明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规范化执法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始终严格落实行政执法主体资格制度，坚持持证上岗、亮证执法制度，严格执法程序。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）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eastAsia="zh-CN"/>
        </w:rPr>
        <w:t>加强法治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宣传，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全民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eastAsia="zh-CN"/>
        </w:rPr>
        <w:t>法治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坚持“谁执法、谁普法”的责任制，有针对性地开展法律“七进”活动，以国家和林业重点法律法规及政策进乡村、企业、单位、机关、社区、学校、宗教场所等活动为契机，适时持续开展普法宣传活动。</w:t>
      </w: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结合日常工作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到基层宣传普及涉林法律法规，通过制作横幅标语、张贴宣传资料，利用短信、微信、微视频等平台宣传法律法规，让群众进一步了解林业、关爱林业，强化广大人民群众的法律意识，确保我区无重大涉林案件发生，推动我区生态建设和现代林业产业进展起到了积极作用。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着力从党员干部、群众、学生三个层面开展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森林防火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通过干部职工会、“三干”会、村民小组会、坝坝会、开学第一课、等形式，常态化开展防火宣传引导和氛围营造，印制宣传纸杯、宣传口罩、宣传手册、告知书、防火命令等宣传资料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万余份，更新张贴横幅标语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余幅，发送宣传短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万余条，对1万余名在校学生全覆盖开展森林草原防火安全教育，投入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万余朵鲜菊花开展春节文明祭祀引导，构建“人人参与、人人监督”的群防群治格局，切实提升全民森林防火意识。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highlight w:val="none"/>
          <w:lang w:eastAsia="zh-CN"/>
        </w:rPr>
        <w:t>强化业务培训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highlight w:val="none"/>
        </w:rPr>
        <w:t>，提升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highlight w:val="none"/>
          <w:lang w:eastAsia="zh-CN"/>
        </w:rPr>
        <w:t>专业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highlight w:val="none"/>
        </w:rPr>
        <w:t>知识素养。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在抓好《宪法》和基本法律、法规、规章以及国务院《全面推动依法行政实施纲要》《国家林业局全面推动依法治林实施纲要》学习的同时，组织干部职工参加省、市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举办的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法律知识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专题培训</w:t>
      </w: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4次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snapToGrid w:val="0"/>
          <w:color w:val="auto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结合林业工作实际，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组织林业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行政执法培训讲座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重点开展了《中华人民共和国行政许可法》《中华人民共和国行政处罚法》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中华人民共和国森林法》《中华人民共和国野生动物保护法》等法律法规的学习培训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讲解了行政处罚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案件办理程序及文书规范，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对部分常见林业案例法律适用问题进行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剖析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并组织现场交流答疑，进一步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提高了执法人员对行政执法的认识和实际运用能力，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确保了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林业执法行为规范化、法制化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）深化政务公开，提升工作透亮度。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为全面推动政务公开，确保政务公开真实、及时、安全、有效，我局把政府信息公开工作纳入重要议事日程，明确专人负责政务公开日常事务，及时完善平台建设，受理政府信息依申请公开事项，使我局政务信息公开工作做到了有领导分管、有专人承办，保障了政府信息公开工作的高效运行。202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年以来，我局在政府信息公开网上公开林业信息</w:t>
      </w: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条，方便了社会公众了解我区林业工作开展情况，提高了工作透亮度，保障了人民群众的知情权和监督权，确保我局依法治林工作扎实推动。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）打击违法行为，加强森林资源保护。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为守住生态底线，有效保护森林资源，我局执法人员严格</w:t>
      </w: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lang w:eastAsia="zh-CN"/>
        </w:rPr>
        <w:t>办案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程序，持续开展打击涉及林木采伐、林地使用、野生动植物保护、森林防火、植物检疫、林木种苗等破坏森林资源的违法活动。截止1</w:t>
      </w: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西区共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各类林业行政案件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起，其中我局查处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起，格里坪镇人民政府查处1起（赋权下放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，包含擅自改变林地用途案件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起，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毁坏林木案件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1起，在森林高火期内未经批准擅自在森林防火区内违规野外用火案件2起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二、存在的问题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Style w:val="16"/>
          <w:rFonts w:hint="default" w:ascii="Times New Roman" w:hAnsi="Times New Roman" w:eastAsia="仿宋_GB2312" w:cs="Times New Roman"/>
          <w:snapToGrid w:val="0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（一）林业行政执法</w:t>
      </w:r>
      <w:r>
        <w:rPr>
          <w:rFonts w:hint="eastAsia" w:ascii="Times New Roman" w:eastAsia="楷体_GB2312" w:cs="Times New Roman"/>
          <w:snapToGrid w:val="0"/>
          <w:color w:val="auto"/>
          <w:sz w:val="32"/>
          <w:szCs w:val="32"/>
          <w:lang w:val="en-US" w:eastAsia="zh-CN"/>
        </w:rPr>
        <w:t>机构不健全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。</w:t>
      </w:r>
      <w:r>
        <w:rPr>
          <w:rStyle w:val="16"/>
          <w:rFonts w:hint="eastAsia" w:ascii="Times New Roman" w:eastAsia="仿宋_GB2312" w:cs="Times New Roman"/>
          <w:snapToGrid w:val="0"/>
          <w:color w:val="auto"/>
          <w:lang w:val="en-US" w:eastAsia="zh-CN"/>
        </w:rPr>
        <w:t>因机构编制问题，区林业局至今未设置执法机构和法制审查机构，执法人员均为兼职人员，无符合要求的专职法制审查人员，导致部分林业行政执法案件的办理质量不高，甚至对部分违法案件的定性不够准确。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aps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Cs/>
          <w:caps/>
          <w:snapToGrid w:val="0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Cs/>
          <w:caps/>
          <w:snapToGrid w:val="0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林业行政执法执行难度大。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区林业局在办理林业行政处罚案件时，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对违法人员无强制措施，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导致有时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办案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困难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、办案进度较慢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表现在证据锁定、调查取证、询问调查、罚款缴纳等方面，难以对各类涉林违法行为起到震慑作用。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aps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Cs/>
          <w:caps/>
          <w:snapToGrid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Cs/>
          <w:caps/>
          <w:snapToGrid w:val="0"/>
          <w:color w:val="auto"/>
          <w:sz w:val="32"/>
          <w:szCs w:val="32"/>
        </w:rPr>
        <w:t>）部分林农普法较为困难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目前，我区还存在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部分林农法律知识观念淡薄，自觉守法和依法维权的意识较差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的问题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，从而反映出法制宣传教育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的广度和深度还不够，宣传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形式和手段还需进一步创新。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三、202</w:t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年工作</w:t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（一）严格规范执法程序和执法行为。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严格规范执法人员的执法行为，坚持“四统一”，即执法依据统一、执法标准统一、执法文书统一和执法程序统一。严格落实行政执法各项规定，规范文书、档案管理，杜绝不作为、乱作为、行为不规范现象发生，不断完善创新监管模式，提高整体执法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（二）继续加强机关法制教育培训。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健全和坚持机关学法制度，多形式、多平台组织和督促干部职工学法用法，提高法律专业知识素养，切实提升运用法治思维和法治方式深化改革、推动发展、化解矛盾、维护稳定的能力。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highlight w:val="none"/>
          <w:lang w:eastAsia="zh-CN"/>
        </w:rPr>
        <w:t>强化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highlight w:val="none"/>
        </w:rPr>
        <w:t>行政执法监督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highlight w:val="none"/>
          <w:lang w:eastAsia="zh-CN"/>
        </w:rPr>
        <w:t>和考核力度</w:t>
      </w:r>
      <w:r>
        <w:rPr>
          <w:rFonts w:hint="default" w:ascii="Times New Roman" w:hAnsi="Times New Roman" w:eastAsia="楷体_GB2312" w:cs="Times New Roman"/>
          <w:color w:val="auto"/>
          <w:spacing w:val="-4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切实贯彻有权必有责、用权受监督、侵权须赔偿、违法要追究的原则。不断完善监督内容、拓展监督层面、探索监督方式、改进监督手段。全面监督局执法队伍履行法定职责情况，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加强监督审查，确保合法、合规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对违法、违规案件要坚决予以追究。变事后监督为事前事中监督，变结果监督为过程监督，变部分监督为全面监督，提高监督工作的针对性和有效性，保证局机关正确实施行政法律规范。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）健全长效化法制宣传机制。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发展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林业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普法队伍，充实宣讲能力强、法律素质高的普法骨干，充分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发挥镇（街道）、村（社区）的作用开展宣传教育，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利用多种媒体开展形式多样、内容丰富的法治宣传活动，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确保宣传教育全覆盖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）加强信息报送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napToGrid w:val="0"/>
          <w:color w:val="auto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及时报送依法行政工作信息，加大信息公开力度，增加依法行政工作透明度。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right="0" w:rightChars="0" w:firstLine="5040" w:firstLineChars="1575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攀枝花市西区林业局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right="0" w:rightChars="0" w:firstLine="5120" w:firstLineChars="16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353" w:lineRule="auto"/>
        <w:rPr>
          <w:rFonts w:ascii="Times New Roman" w:eastAsia="仿宋_GB2312"/>
          <w:snapToGrid w:val="0"/>
          <w:color w:val="333333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trackRevisions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6107"/>
    <w:rsid w:val="019571A4"/>
    <w:rsid w:val="0218777D"/>
    <w:rsid w:val="023E79BD"/>
    <w:rsid w:val="024B344F"/>
    <w:rsid w:val="02867DB1"/>
    <w:rsid w:val="028D48AD"/>
    <w:rsid w:val="02B93A83"/>
    <w:rsid w:val="031E1229"/>
    <w:rsid w:val="03CB0448"/>
    <w:rsid w:val="04BA44CE"/>
    <w:rsid w:val="04DE120A"/>
    <w:rsid w:val="05FA06DD"/>
    <w:rsid w:val="06474F59"/>
    <w:rsid w:val="06C248A3"/>
    <w:rsid w:val="06D2293F"/>
    <w:rsid w:val="06DF1C54"/>
    <w:rsid w:val="06F82B7E"/>
    <w:rsid w:val="0750320D"/>
    <w:rsid w:val="087E3C7F"/>
    <w:rsid w:val="088D2E41"/>
    <w:rsid w:val="0924660B"/>
    <w:rsid w:val="09B713FD"/>
    <w:rsid w:val="09BA2382"/>
    <w:rsid w:val="0A095984"/>
    <w:rsid w:val="0A0C438A"/>
    <w:rsid w:val="0A0F530F"/>
    <w:rsid w:val="0B124D9B"/>
    <w:rsid w:val="0BA9762F"/>
    <w:rsid w:val="0C7A1F06"/>
    <w:rsid w:val="0C822B95"/>
    <w:rsid w:val="0CB1205F"/>
    <w:rsid w:val="0D3D54C7"/>
    <w:rsid w:val="0D4912D9"/>
    <w:rsid w:val="0EBF433E"/>
    <w:rsid w:val="0EC904D1"/>
    <w:rsid w:val="0F1F7BDB"/>
    <w:rsid w:val="0F426E96"/>
    <w:rsid w:val="0FB26250"/>
    <w:rsid w:val="0FDE2597"/>
    <w:rsid w:val="10123CEB"/>
    <w:rsid w:val="102C4895"/>
    <w:rsid w:val="1074050C"/>
    <w:rsid w:val="108F23BB"/>
    <w:rsid w:val="10AB2BE5"/>
    <w:rsid w:val="11714F2C"/>
    <w:rsid w:val="11A54101"/>
    <w:rsid w:val="11C56BB4"/>
    <w:rsid w:val="11EF79F9"/>
    <w:rsid w:val="11F47704"/>
    <w:rsid w:val="1205799E"/>
    <w:rsid w:val="120C7329"/>
    <w:rsid w:val="12132DF5"/>
    <w:rsid w:val="12FD2134"/>
    <w:rsid w:val="13740E79"/>
    <w:rsid w:val="14663C85"/>
    <w:rsid w:val="1490034C"/>
    <w:rsid w:val="15B66837"/>
    <w:rsid w:val="15D64DE0"/>
    <w:rsid w:val="15DF7C6E"/>
    <w:rsid w:val="1680307B"/>
    <w:rsid w:val="16841A81"/>
    <w:rsid w:val="16C46FE7"/>
    <w:rsid w:val="177923D6"/>
    <w:rsid w:val="1869511A"/>
    <w:rsid w:val="19835866"/>
    <w:rsid w:val="19A570A0"/>
    <w:rsid w:val="1A092647"/>
    <w:rsid w:val="1A80358B"/>
    <w:rsid w:val="1BAA64F0"/>
    <w:rsid w:val="1CA13205"/>
    <w:rsid w:val="1CA4418A"/>
    <w:rsid w:val="1DD1717A"/>
    <w:rsid w:val="1E0508CE"/>
    <w:rsid w:val="1E707F7D"/>
    <w:rsid w:val="1F0E32FE"/>
    <w:rsid w:val="1FAD3208"/>
    <w:rsid w:val="1FB42B93"/>
    <w:rsid w:val="21CD5401"/>
    <w:rsid w:val="22322BA7"/>
    <w:rsid w:val="225D726E"/>
    <w:rsid w:val="22A650E4"/>
    <w:rsid w:val="23436267"/>
    <w:rsid w:val="240C0AC5"/>
    <w:rsid w:val="24367C43"/>
    <w:rsid w:val="246F59D4"/>
    <w:rsid w:val="24924C8F"/>
    <w:rsid w:val="24A75B2E"/>
    <w:rsid w:val="24FF7842"/>
    <w:rsid w:val="25300011"/>
    <w:rsid w:val="25621AE5"/>
    <w:rsid w:val="25FD3EE1"/>
    <w:rsid w:val="265E5200"/>
    <w:rsid w:val="27F84FA1"/>
    <w:rsid w:val="28017E2F"/>
    <w:rsid w:val="297B189A"/>
    <w:rsid w:val="2A0A1509"/>
    <w:rsid w:val="2ACF474A"/>
    <w:rsid w:val="2B341EF0"/>
    <w:rsid w:val="2B754ED7"/>
    <w:rsid w:val="2B8B0969"/>
    <w:rsid w:val="2BD01D6E"/>
    <w:rsid w:val="2BD32CF3"/>
    <w:rsid w:val="2C3F6922"/>
    <w:rsid w:val="2CD10A17"/>
    <w:rsid w:val="2D3164B2"/>
    <w:rsid w:val="2DB00085"/>
    <w:rsid w:val="2DCE3AC5"/>
    <w:rsid w:val="2EA0410A"/>
    <w:rsid w:val="2EB540B0"/>
    <w:rsid w:val="2EC568C9"/>
    <w:rsid w:val="2EC92D50"/>
    <w:rsid w:val="2EF4347A"/>
    <w:rsid w:val="30413836"/>
    <w:rsid w:val="31507277"/>
    <w:rsid w:val="31AD3D8D"/>
    <w:rsid w:val="32134DB6"/>
    <w:rsid w:val="322D7B5F"/>
    <w:rsid w:val="32705150"/>
    <w:rsid w:val="329C5C14"/>
    <w:rsid w:val="32BA0525"/>
    <w:rsid w:val="330A1ACB"/>
    <w:rsid w:val="331B77E7"/>
    <w:rsid w:val="33384971"/>
    <w:rsid w:val="33F23FC7"/>
    <w:rsid w:val="341E6110"/>
    <w:rsid w:val="34785525"/>
    <w:rsid w:val="34BF7E98"/>
    <w:rsid w:val="34EB1FE1"/>
    <w:rsid w:val="352246B9"/>
    <w:rsid w:val="35553C0F"/>
    <w:rsid w:val="35904CED"/>
    <w:rsid w:val="35F44A12"/>
    <w:rsid w:val="35F52493"/>
    <w:rsid w:val="364B0F2B"/>
    <w:rsid w:val="36C02E61"/>
    <w:rsid w:val="36ED4C29"/>
    <w:rsid w:val="37724E83"/>
    <w:rsid w:val="37B77B75"/>
    <w:rsid w:val="37E93BC8"/>
    <w:rsid w:val="381A7C1A"/>
    <w:rsid w:val="38C05E29"/>
    <w:rsid w:val="391A77BD"/>
    <w:rsid w:val="394E044E"/>
    <w:rsid w:val="3969753C"/>
    <w:rsid w:val="3987236F"/>
    <w:rsid w:val="39C36951"/>
    <w:rsid w:val="3A216CEA"/>
    <w:rsid w:val="3A2755D9"/>
    <w:rsid w:val="3A2C2AFD"/>
    <w:rsid w:val="3A2F7C01"/>
    <w:rsid w:val="3A394391"/>
    <w:rsid w:val="3A741A44"/>
    <w:rsid w:val="3A9E1B37"/>
    <w:rsid w:val="3B6C3489"/>
    <w:rsid w:val="3B7917A4"/>
    <w:rsid w:val="3BBD5812"/>
    <w:rsid w:val="3BC33E98"/>
    <w:rsid w:val="3BE47C50"/>
    <w:rsid w:val="3C92326C"/>
    <w:rsid w:val="3D0E6439"/>
    <w:rsid w:val="3D180AF3"/>
    <w:rsid w:val="3D4E00E2"/>
    <w:rsid w:val="3D5877B1"/>
    <w:rsid w:val="3DC3422F"/>
    <w:rsid w:val="3DE35197"/>
    <w:rsid w:val="3EE811C2"/>
    <w:rsid w:val="3EF52A56"/>
    <w:rsid w:val="3EFB495F"/>
    <w:rsid w:val="3F677511"/>
    <w:rsid w:val="40107D2A"/>
    <w:rsid w:val="40946C7F"/>
    <w:rsid w:val="40F869A3"/>
    <w:rsid w:val="41E43129"/>
    <w:rsid w:val="4252375D"/>
    <w:rsid w:val="42714011"/>
    <w:rsid w:val="429441C6"/>
    <w:rsid w:val="43507DFC"/>
    <w:rsid w:val="44C2005E"/>
    <w:rsid w:val="44D16FF4"/>
    <w:rsid w:val="455901D1"/>
    <w:rsid w:val="459F41C9"/>
    <w:rsid w:val="45B32E6A"/>
    <w:rsid w:val="468034B7"/>
    <w:rsid w:val="499F46D9"/>
    <w:rsid w:val="49EE7CDB"/>
    <w:rsid w:val="4A780B39"/>
    <w:rsid w:val="4A8E6B49"/>
    <w:rsid w:val="4B151CBC"/>
    <w:rsid w:val="4C3C7520"/>
    <w:rsid w:val="4CEB05BD"/>
    <w:rsid w:val="4CED3AC0"/>
    <w:rsid w:val="4D3205B1"/>
    <w:rsid w:val="4D3B4EC4"/>
    <w:rsid w:val="4F6D68D9"/>
    <w:rsid w:val="4F87283A"/>
    <w:rsid w:val="4FA759FA"/>
    <w:rsid w:val="501442ED"/>
    <w:rsid w:val="50B33EC8"/>
    <w:rsid w:val="50CD4DA0"/>
    <w:rsid w:val="523575E2"/>
    <w:rsid w:val="52A336A2"/>
    <w:rsid w:val="52D43E71"/>
    <w:rsid w:val="52EB3A96"/>
    <w:rsid w:val="534F5D39"/>
    <w:rsid w:val="5376147C"/>
    <w:rsid w:val="5393682D"/>
    <w:rsid w:val="53E41AB0"/>
    <w:rsid w:val="54473D53"/>
    <w:rsid w:val="54824E31"/>
    <w:rsid w:val="55496DF8"/>
    <w:rsid w:val="558372DA"/>
    <w:rsid w:val="55BC7137"/>
    <w:rsid w:val="567E3972"/>
    <w:rsid w:val="56B518CE"/>
    <w:rsid w:val="57F170D7"/>
    <w:rsid w:val="58A46B7A"/>
    <w:rsid w:val="58D2167F"/>
    <w:rsid w:val="594F1212"/>
    <w:rsid w:val="59C44A54"/>
    <w:rsid w:val="5A1A1BDF"/>
    <w:rsid w:val="5A203AE8"/>
    <w:rsid w:val="5A482AAE"/>
    <w:rsid w:val="5BD112B1"/>
    <w:rsid w:val="5BDA1BC0"/>
    <w:rsid w:val="5C13779B"/>
    <w:rsid w:val="5C152C9F"/>
    <w:rsid w:val="5C2667BC"/>
    <w:rsid w:val="5C864257"/>
    <w:rsid w:val="5D762C66"/>
    <w:rsid w:val="5E7D6910"/>
    <w:rsid w:val="5E9033B3"/>
    <w:rsid w:val="5F0458F0"/>
    <w:rsid w:val="5F0842F6"/>
    <w:rsid w:val="602A56D2"/>
    <w:rsid w:val="60762977"/>
    <w:rsid w:val="607E735B"/>
    <w:rsid w:val="60AA4D27"/>
    <w:rsid w:val="60E2707F"/>
    <w:rsid w:val="61B6615E"/>
    <w:rsid w:val="61C918FB"/>
    <w:rsid w:val="62001A55"/>
    <w:rsid w:val="633C39DB"/>
    <w:rsid w:val="640B2DAF"/>
    <w:rsid w:val="642C6B67"/>
    <w:rsid w:val="6476245E"/>
    <w:rsid w:val="64944E2F"/>
    <w:rsid w:val="65F01E74"/>
    <w:rsid w:val="671D4CBB"/>
    <w:rsid w:val="67714745"/>
    <w:rsid w:val="67D16494"/>
    <w:rsid w:val="68782D29"/>
    <w:rsid w:val="6893229E"/>
    <w:rsid w:val="693130A1"/>
    <w:rsid w:val="69351AA8"/>
    <w:rsid w:val="69407E39"/>
    <w:rsid w:val="694158BA"/>
    <w:rsid w:val="696E6789"/>
    <w:rsid w:val="69A47B5D"/>
    <w:rsid w:val="6A2471B2"/>
    <w:rsid w:val="6C5A4BD3"/>
    <w:rsid w:val="6C7A7686"/>
    <w:rsid w:val="6E3531DF"/>
    <w:rsid w:val="6F710D0C"/>
    <w:rsid w:val="6FB56B53"/>
    <w:rsid w:val="708B58B2"/>
    <w:rsid w:val="70BC7D51"/>
    <w:rsid w:val="710245F7"/>
    <w:rsid w:val="712F2B3D"/>
    <w:rsid w:val="71B82AA1"/>
    <w:rsid w:val="71F64B04"/>
    <w:rsid w:val="7218633D"/>
    <w:rsid w:val="722978DD"/>
    <w:rsid w:val="729C4398"/>
    <w:rsid w:val="735A21CD"/>
    <w:rsid w:val="748773BC"/>
    <w:rsid w:val="74A2126A"/>
    <w:rsid w:val="74AB40F8"/>
    <w:rsid w:val="75C003BD"/>
    <w:rsid w:val="76CE7275"/>
    <w:rsid w:val="76EB4627"/>
    <w:rsid w:val="77247C84"/>
    <w:rsid w:val="77B41AF2"/>
    <w:rsid w:val="77FF2E6B"/>
    <w:rsid w:val="78792B34"/>
    <w:rsid w:val="789B436E"/>
    <w:rsid w:val="79466A05"/>
    <w:rsid w:val="795A56A5"/>
    <w:rsid w:val="79C472D3"/>
    <w:rsid w:val="7A83640D"/>
    <w:rsid w:val="7AF17B6A"/>
    <w:rsid w:val="7AFA5152"/>
    <w:rsid w:val="7AFB0655"/>
    <w:rsid w:val="7BCB7A29"/>
    <w:rsid w:val="7C2A7A42"/>
    <w:rsid w:val="7C675328"/>
    <w:rsid w:val="7CEB7B00"/>
    <w:rsid w:val="7CF2748B"/>
    <w:rsid w:val="7DC73FEB"/>
    <w:rsid w:val="7DDF174C"/>
    <w:rsid w:val="7DFA443A"/>
    <w:rsid w:val="7E166CF8"/>
    <w:rsid w:val="7E882DA4"/>
    <w:rsid w:val="7EEC2AC9"/>
    <w:rsid w:val="7F2D3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新魏" w:hAnsi="Times New Roman" w:eastAsia="华文新魏" w:cs="Times New Roman"/>
      <w:sz w:val="28"/>
      <w:szCs w:val="28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alloon Text"/>
    <w:basedOn w:val="1"/>
    <w:link w:val="18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right" w:leader="dot" w:pos="8296"/>
      </w:tabs>
      <w:jc w:val="left"/>
    </w:pPr>
    <w:rPr>
      <w:rFonts w:ascii="黑体" w:hAnsi="黑体" w:eastAsia="黑体" w:cs="宋体"/>
      <w:b/>
      <w:bCs/>
      <w:caps/>
      <w:kern w:val="2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99"/>
    <w:rPr>
      <w:rFonts w:ascii="华文新魏" w:hAnsi="Times New Roman" w:eastAsia="华文新魏" w:cs="Times New Roman"/>
      <w:kern w:val="0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rFonts w:ascii="华文新魏" w:hAnsi="Times New Roman" w:eastAsia="华文新魏" w:cs="Times New Roman"/>
      <w:kern w:val="0"/>
      <w:sz w:val="18"/>
      <w:szCs w:val="18"/>
    </w:rPr>
  </w:style>
  <w:style w:type="character" w:customStyle="1" w:styleId="14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18">
    <w:name w:val="批注框文本 Char"/>
    <w:basedOn w:val="10"/>
    <w:link w:val="3"/>
    <w:qFormat/>
    <w:uiPriority w:val="99"/>
    <w:rPr>
      <w:rFonts w:ascii="华文新魏" w:eastAsia="华文新魏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3472</Words>
  <Characters>3504</Characters>
  <Paragraphs>47</Paragraphs>
  <TotalTime>69</TotalTime>
  <ScaleCrop>false</ScaleCrop>
  <LinksUpToDate>false</LinksUpToDate>
  <CharactersWithSpaces>3505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2020-05-19T10:02:00Z</dcterms:created>
  <dc:creator>许馨月</dc:creator>
  <cp:lastModifiedBy>Administrator</cp:lastModifiedBy>
  <cp:lastPrinted>2023-03-15T01:38:00Z</cp:lastPrinted>
  <dcterms:modified xsi:type="dcterms:W3CDTF">2024-12-12T02:53:52Z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E38C098733ED428FB4ADF415A7C39BDA</vt:lpwstr>
  </property>
</Properties>
</file>