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攀枝花市西区应急管理局行政执法事项目录清单</w:t>
      </w:r>
      <w:bookmarkStart w:id="0" w:name="_GoBack"/>
      <w:bookmarkEnd w:id="0"/>
    </w:p>
    <w:tbl>
      <w:tblPr>
        <w:tblStyle w:val="3"/>
        <w:tblW w:w="12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614"/>
        <w:gridCol w:w="1448"/>
        <w:gridCol w:w="2644"/>
        <w:gridCol w:w="1412"/>
        <w:gridCol w:w="130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cs="Lucida Sans"/>
                <w:b/>
                <w:bCs/>
                <w:color w:val="auto"/>
                <w:szCs w:val="21"/>
                <w:lang w:val="en-US" w:eastAsia="zh-CN"/>
              </w:rPr>
            </w:pPr>
            <w:r>
              <w:rPr>
                <w:rFonts w:hint="eastAsia" w:ascii="方正仿宋_GBK" w:eastAsia="方正仿宋_GBK" w:cs="Lucida Sans"/>
                <w:b/>
                <w:bCs/>
                <w:color w:val="auto"/>
                <w:szCs w:val="21"/>
                <w:lang w:val="en-US" w:eastAsia="zh-CN"/>
              </w:rPr>
              <w:t>序号</w:t>
            </w:r>
          </w:p>
        </w:tc>
        <w:tc>
          <w:tcPr>
            <w:tcW w:w="361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cs="Lucida Sans"/>
                <w:b/>
                <w:bCs/>
                <w:color w:val="auto"/>
                <w:szCs w:val="21"/>
              </w:rPr>
            </w:pPr>
            <w:r>
              <w:rPr>
                <w:rFonts w:hint="eastAsia" w:ascii="方正仿宋_GBK" w:eastAsia="方正仿宋_GBK" w:cs="Lucida Sans"/>
                <w:b/>
                <w:bCs/>
                <w:color w:val="auto"/>
                <w:szCs w:val="21"/>
                <w:lang w:val="en-US" w:eastAsia="zh-CN"/>
              </w:rPr>
              <w:t>事项</w:t>
            </w:r>
            <w:r>
              <w:rPr>
                <w:rFonts w:hint="eastAsia" w:ascii="方正仿宋_GBK" w:eastAsia="方正仿宋_GBK" w:cs="Lucida Sans"/>
                <w:b/>
                <w:bCs/>
                <w:color w:val="auto"/>
                <w:szCs w:val="21"/>
              </w:rPr>
              <w:t>名称</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Calibri" w:eastAsia="方正仿宋_GBK" w:cs="Lucida Sans"/>
                <w:b/>
                <w:bCs/>
                <w:color w:val="auto"/>
                <w:kern w:val="2"/>
                <w:sz w:val="21"/>
                <w:szCs w:val="21"/>
                <w:lang w:val="en-US" w:eastAsia="zh-CN" w:bidi="ar-SA"/>
              </w:rPr>
            </w:pPr>
            <w:r>
              <w:rPr>
                <w:rFonts w:hint="eastAsia" w:ascii="方正仿宋_GBK" w:eastAsia="方正仿宋_GBK" w:cs="Lucida Sans"/>
                <w:b/>
                <w:bCs/>
                <w:color w:val="auto"/>
                <w:szCs w:val="21"/>
                <w:lang w:val="en-US" w:eastAsia="zh-CN"/>
              </w:rPr>
              <w:t>事项</w:t>
            </w:r>
            <w:r>
              <w:rPr>
                <w:rFonts w:hint="eastAsia" w:ascii="方正仿宋_GBK" w:eastAsia="方正仿宋_GBK" w:cs="Lucida Sans"/>
                <w:b/>
                <w:bCs/>
                <w:color w:val="auto"/>
                <w:szCs w:val="21"/>
              </w:rPr>
              <w:t>类型</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cs="Lucida Sans"/>
                <w:b/>
                <w:bCs/>
                <w:color w:val="auto"/>
                <w:szCs w:val="21"/>
              </w:rPr>
            </w:pPr>
            <w:r>
              <w:rPr>
                <w:rFonts w:hint="eastAsia" w:ascii="方正仿宋_GBK" w:eastAsia="方正仿宋_GBK" w:cs="Lucida Sans"/>
                <w:b/>
                <w:bCs/>
                <w:color w:val="auto"/>
                <w:szCs w:val="21"/>
                <w:lang w:val="en-US" w:eastAsia="zh-CN"/>
              </w:rPr>
              <w:t>执法</w:t>
            </w:r>
            <w:r>
              <w:rPr>
                <w:rFonts w:hint="eastAsia" w:ascii="方正仿宋_GBK" w:eastAsia="方正仿宋_GBK" w:cs="Lucida Sans"/>
                <w:b/>
                <w:bCs/>
                <w:color w:val="auto"/>
                <w:szCs w:val="21"/>
              </w:rPr>
              <w:t>依据</w:t>
            </w:r>
          </w:p>
        </w:tc>
        <w:tc>
          <w:tcPr>
            <w:tcW w:w="141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cs="Lucida Sans"/>
                <w:b/>
                <w:bCs/>
                <w:color w:val="auto"/>
                <w:szCs w:val="21"/>
              </w:rPr>
            </w:pPr>
            <w:r>
              <w:rPr>
                <w:rFonts w:hint="eastAsia" w:ascii="方正仿宋_GBK" w:eastAsia="方正仿宋_GBK" w:cs="Lucida Sans"/>
                <w:b/>
                <w:bCs/>
                <w:color w:val="auto"/>
                <w:szCs w:val="21"/>
              </w:rPr>
              <w:t>责任主体</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cs="Lucida Sans"/>
                <w:b/>
                <w:bCs/>
                <w:color w:val="auto"/>
                <w:szCs w:val="21"/>
              </w:rPr>
            </w:pPr>
            <w:r>
              <w:rPr>
                <w:rFonts w:hint="eastAsia" w:ascii="方正仿宋_GBK" w:eastAsia="方正仿宋_GBK" w:cs="Lucida Sans"/>
                <w:b/>
                <w:bCs/>
                <w:color w:val="auto"/>
                <w:szCs w:val="21"/>
                <w:lang w:val="en-US" w:eastAsia="zh-CN"/>
              </w:rPr>
              <w:t>实施主体</w:t>
            </w:r>
          </w:p>
        </w:tc>
        <w:tc>
          <w:tcPr>
            <w:tcW w:w="93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eastAsia="方正仿宋_GBK" w:cs="Lucida Sans"/>
                <w:b/>
                <w:bCs/>
                <w:color w:val="auto"/>
                <w:szCs w:val="21"/>
                <w:lang w:val="en-US" w:eastAsia="zh-CN"/>
              </w:rPr>
            </w:pPr>
            <w:r>
              <w:rPr>
                <w:rFonts w:hint="eastAsia" w:ascii="方正仿宋_GBK" w:eastAsia="方正仿宋_GBK" w:cs="Lucida Sans"/>
                <w:b/>
                <w:bCs/>
                <w:color w:val="auto"/>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eastAsia="方正仿宋_GBK" w:cs="Lucida Sans"/>
                <w:color w:val="auto"/>
                <w:szCs w:val="21"/>
                <w:lang w:val="en-US" w:eastAsia="zh-CN"/>
              </w:rPr>
            </w:pPr>
            <w:r>
              <w:rPr>
                <w:rFonts w:hint="eastAsia" w:ascii="方正仿宋_GBK" w:eastAsia="方正仿宋_GBK" w:cs="Lucida Sans"/>
                <w:color w:val="auto"/>
                <w:szCs w:val="21"/>
                <w:lang w:val="en-US" w:eastAsia="zh-CN"/>
              </w:rPr>
              <w:t>1</w:t>
            </w:r>
          </w:p>
        </w:tc>
        <w:tc>
          <w:tcPr>
            <w:tcW w:w="361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rPr>
              <w:t>对生产经营单位执行有关安全生产的法律、法规和国家标准或者行业标准的情况进行监督检查</w:t>
            </w:r>
          </w:p>
        </w:tc>
        <w:tc>
          <w:tcPr>
            <w:tcW w:w="14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rPr>
              <w:t>行政检查</w:t>
            </w:r>
          </w:p>
        </w:tc>
        <w:tc>
          <w:tcPr>
            <w:tcW w:w="264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eastAsia="方正仿宋_GBK" w:cs="Lucida Sans"/>
                <w:color w:val="auto"/>
                <w:szCs w:val="21"/>
              </w:rPr>
            </w:pPr>
            <w:r>
              <w:rPr>
                <w:rFonts w:hint="eastAsia" w:ascii="方正仿宋_GBK" w:eastAsia="方正仿宋_GBK" w:cs="Lucida Sans"/>
                <w:color w:val="auto"/>
                <w:szCs w:val="21"/>
              </w:rPr>
              <w:t>1.中华人民共和国安全生产法》第六十二条、第六十五条</w:t>
            </w:r>
          </w:p>
          <w:p>
            <w:pPr>
              <w:rPr>
                <w:rFonts w:hint="eastAsia" w:ascii="方正仿宋_GBK" w:eastAsia="方正仿宋_GBK" w:cs="Lucida Sans"/>
                <w:color w:val="auto"/>
                <w:szCs w:val="21"/>
              </w:rPr>
            </w:pPr>
            <w:r>
              <w:rPr>
                <w:rFonts w:hint="eastAsia" w:ascii="方正仿宋_GBK" w:eastAsia="方正仿宋_GBK" w:cs="Lucida Sans"/>
                <w:color w:val="auto"/>
                <w:szCs w:val="21"/>
              </w:rPr>
              <w:t>2.《四川省安全生产条例》第五十四条</w:t>
            </w:r>
          </w:p>
          <w:p>
            <w:pPr>
              <w:rPr>
                <w:rFonts w:hint="eastAsia" w:ascii="方正仿宋_GBK" w:eastAsia="方正仿宋_GBK" w:cs="Lucida Sans"/>
                <w:color w:val="auto"/>
                <w:szCs w:val="21"/>
              </w:rPr>
            </w:pPr>
            <w:r>
              <w:rPr>
                <w:rFonts w:hint="eastAsia" w:ascii="方正仿宋_GBK" w:eastAsia="方正仿宋_GBK" w:cs="Lucida Sans"/>
                <w:color w:val="auto"/>
                <w:szCs w:val="21"/>
              </w:rPr>
              <w:t>3.《安全生产违法行为行政处罚办法》第九条、第十条第一款</w:t>
            </w:r>
          </w:p>
          <w:p>
            <w:pP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rPr>
              <w:t>4.《安全生产事故隐患排查治理暂行规定》第二十条第三款</w:t>
            </w:r>
          </w:p>
        </w:tc>
        <w:tc>
          <w:tcPr>
            <w:tcW w:w="14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hAnsi="Calibri" w:eastAsia="方正仿宋_GBK" w:cs="Lucida Sans"/>
                <w:color w:val="auto"/>
                <w:kern w:val="2"/>
                <w:sz w:val="21"/>
                <w:szCs w:val="21"/>
                <w:lang w:val="en" w:eastAsia="zh-CN" w:bidi="ar-SA"/>
              </w:rPr>
            </w:pPr>
            <w:r>
              <w:rPr>
                <w:rFonts w:hint="eastAsia" w:ascii="方正仿宋_GBK" w:eastAsia="方正仿宋_GBK" w:cs="Lucida Sans"/>
                <w:color w:val="auto"/>
                <w:szCs w:val="21"/>
                <w:lang w:val="en-US" w:eastAsia="zh-CN"/>
              </w:rPr>
              <w:t>攀枝花市西区应急管理局</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lang w:val="en-US" w:eastAsia="zh-CN"/>
              </w:rPr>
              <w:t>攀枝花市西区应急管理局</w:t>
            </w:r>
          </w:p>
        </w:tc>
        <w:tc>
          <w:tcPr>
            <w:tcW w:w="932" w:type="dxa"/>
            <w:tcBorders>
              <w:top w:val="single" w:color="auto" w:sz="4" w:space="0"/>
              <w:left w:val="single" w:color="auto" w:sz="4" w:space="0"/>
              <w:bottom w:val="single" w:color="auto" w:sz="4" w:space="0"/>
              <w:right w:val="single" w:color="auto" w:sz="4" w:space="0"/>
            </w:tcBorders>
            <w:noWrap/>
            <w:vAlign w:val="center"/>
          </w:tcPr>
          <w:p>
            <w:pPr>
              <w:rPr>
                <w:rFonts w:hint="eastAsia" w:ascii="方正仿宋_GBK" w:eastAsia="方正仿宋_GBK" w:cs="Lucida San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eastAsia="方正仿宋_GBK" w:cs="Lucida Sans"/>
                <w:color w:val="auto"/>
                <w:szCs w:val="21"/>
                <w:lang w:val="en-US" w:eastAsia="zh-CN"/>
              </w:rPr>
            </w:pPr>
            <w:r>
              <w:rPr>
                <w:rFonts w:hint="eastAsia" w:ascii="方正仿宋_GBK" w:eastAsia="方正仿宋_GBK" w:cs="Lucida Sans"/>
                <w:color w:val="auto"/>
                <w:szCs w:val="21"/>
                <w:lang w:val="en-US" w:eastAsia="zh-CN"/>
              </w:rPr>
              <w:t>2</w:t>
            </w:r>
          </w:p>
        </w:tc>
        <w:tc>
          <w:tcPr>
            <w:tcW w:w="361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rPr>
              <w:t>对地震监测设施及其观测环境的保护工作和监测台网运行情况的检查</w:t>
            </w:r>
          </w:p>
        </w:tc>
        <w:tc>
          <w:tcPr>
            <w:tcW w:w="14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rPr>
              <w:t>行政检查</w:t>
            </w:r>
          </w:p>
        </w:tc>
        <w:tc>
          <w:tcPr>
            <w:tcW w:w="264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eastAsia="方正仿宋_GBK" w:cs="Lucida Sans"/>
                <w:color w:val="auto"/>
                <w:szCs w:val="21"/>
              </w:rPr>
            </w:pPr>
            <w:r>
              <w:rPr>
                <w:rFonts w:hint="eastAsia" w:ascii="方正仿宋_GBK" w:eastAsia="方正仿宋_GBK" w:cs="Lucida Sans"/>
                <w:color w:val="auto"/>
                <w:szCs w:val="21"/>
              </w:rPr>
              <w:t>1.《中华人民共和国防震减灾法》第二十三条</w:t>
            </w:r>
          </w:p>
          <w:p>
            <w:pPr>
              <w:rPr>
                <w:rFonts w:hint="eastAsia" w:ascii="方正仿宋_GBK" w:eastAsia="方正仿宋_GBK" w:cs="Lucida Sans"/>
                <w:color w:val="auto"/>
                <w:szCs w:val="21"/>
              </w:rPr>
            </w:pPr>
            <w:r>
              <w:rPr>
                <w:rFonts w:hint="eastAsia" w:ascii="方正仿宋_GBK" w:eastAsia="方正仿宋_GBK" w:cs="Lucida Sans"/>
                <w:color w:val="auto"/>
                <w:szCs w:val="21"/>
              </w:rPr>
              <w:t>2.《地震监测管理条例》第二十五条、二十九条</w:t>
            </w:r>
          </w:p>
          <w:p>
            <w:pPr>
              <w:rPr>
                <w:rFonts w:hint="eastAsia" w:ascii="方正仿宋_GBK" w:eastAsia="方正仿宋_GBK" w:cs="Lucida Sans"/>
                <w:color w:val="auto"/>
                <w:szCs w:val="21"/>
                <w:lang w:val="en-US" w:eastAsia="zh-CN"/>
              </w:rPr>
            </w:pPr>
          </w:p>
        </w:tc>
        <w:tc>
          <w:tcPr>
            <w:tcW w:w="14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lang w:val="en-US" w:eastAsia="zh-CN"/>
              </w:rPr>
              <w:t>攀枝花市西区应急管理局</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lang w:val="en-US" w:eastAsia="zh-CN"/>
              </w:rPr>
              <w:t>攀枝花市西区应急管理局</w:t>
            </w:r>
          </w:p>
        </w:tc>
        <w:tc>
          <w:tcPr>
            <w:tcW w:w="932" w:type="dxa"/>
            <w:tcBorders>
              <w:top w:val="single" w:color="auto" w:sz="4" w:space="0"/>
              <w:left w:val="single" w:color="auto" w:sz="4" w:space="0"/>
              <w:bottom w:val="single" w:color="auto" w:sz="4" w:space="0"/>
              <w:right w:val="single" w:color="auto" w:sz="4" w:space="0"/>
            </w:tcBorders>
            <w:noWrap/>
            <w:vAlign w:val="center"/>
          </w:tcPr>
          <w:p>
            <w:pPr>
              <w:rPr>
                <w:rFonts w:hint="eastAsia" w:ascii="方正仿宋_GBK" w:eastAsia="方正仿宋_GBK" w:cs="Lucida San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eastAsia="方正仿宋_GBK" w:cs="Lucida Sans"/>
                <w:color w:val="auto"/>
                <w:szCs w:val="21"/>
                <w:lang w:val="en-US" w:eastAsia="zh-CN"/>
              </w:rPr>
            </w:pPr>
            <w:r>
              <w:rPr>
                <w:rFonts w:hint="eastAsia" w:ascii="方正仿宋_GBK" w:eastAsia="方正仿宋_GBK" w:cs="Lucida Sans"/>
                <w:color w:val="auto"/>
                <w:szCs w:val="21"/>
                <w:lang w:val="en-US" w:eastAsia="zh-CN"/>
              </w:rPr>
              <w:t>3</w:t>
            </w:r>
          </w:p>
        </w:tc>
        <w:tc>
          <w:tcPr>
            <w:tcW w:w="361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rPr>
              <w:t>防震减灾知识宣传教育监督检查</w:t>
            </w:r>
          </w:p>
        </w:tc>
        <w:tc>
          <w:tcPr>
            <w:tcW w:w="14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rPr>
              <w:t>行政检查</w:t>
            </w:r>
          </w:p>
        </w:tc>
        <w:tc>
          <w:tcPr>
            <w:tcW w:w="264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rPr>
              <w:t>《中华人民共和国防震减灾法》第七十五条</w:t>
            </w:r>
          </w:p>
        </w:tc>
        <w:tc>
          <w:tcPr>
            <w:tcW w:w="14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lang w:val="en-US" w:eastAsia="zh-CN"/>
              </w:rPr>
              <w:t>攀枝花市西区应急管理局</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lang w:val="en-US" w:eastAsia="zh-CN"/>
              </w:rPr>
              <w:t>攀枝花市西区应急管理局</w:t>
            </w:r>
          </w:p>
        </w:tc>
        <w:tc>
          <w:tcPr>
            <w:tcW w:w="932" w:type="dxa"/>
            <w:tcBorders>
              <w:top w:val="single" w:color="auto" w:sz="4" w:space="0"/>
              <w:left w:val="single" w:color="auto" w:sz="4" w:space="0"/>
              <w:bottom w:val="single" w:color="auto" w:sz="4" w:space="0"/>
              <w:right w:val="single" w:color="auto" w:sz="4" w:space="0"/>
            </w:tcBorders>
            <w:noWrap/>
            <w:vAlign w:val="center"/>
          </w:tcPr>
          <w:p>
            <w:pPr>
              <w:rPr>
                <w:rFonts w:hint="eastAsia" w:ascii="方正仿宋_GBK" w:eastAsia="方正仿宋_GBK" w:cs="Lucida San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方正仿宋_GBK" w:eastAsia="方正仿宋_GBK" w:cs="Lucida Sans"/>
                <w:color w:val="auto"/>
                <w:szCs w:val="21"/>
                <w:lang w:val="en-US" w:eastAsia="zh-CN"/>
              </w:rPr>
            </w:pPr>
            <w:r>
              <w:rPr>
                <w:rFonts w:hint="eastAsia" w:ascii="方正仿宋_GBK" w:eastAsia="方正仿宋_GBK" w:cs="Lucida Sans"/>
                <w:color w:val="auto"/>
                <w:szCs w:val="21"/>
                <w:lang w:val="en-US" w:eastAsia="zh-CN"/>
              </w:rPr>
              <w:t>4</w:t>
            </w:r>
          </w:p>
        </w:tc>
        <w:tc>
          <w:tcPr>
            <w:tcW w:w="361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rPr>
              <w:t>工程建设强制性标准、抗震设防要求执行情况和地震安全性评价工作的监督检查</w:t>
            </w:r>
          </w:p>
        </w:tc>
        <w:tc>
          <w:tcPr>
            <w:tcW w:w="14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rPr>
              <w:t>行政检查</w:t>
            </w:r>
          </w:p>
        </w:tc>
        <w:tc>
          <w:tcPr>
            <w:tcW w:w="264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rPr>
              <w:t>《中华人民共和国防震减灾法》第七十六条</w:t>
            </w:r>
          </w:p>
        </w:tc>
        <w:tc>
          <w:tcPr>
            <w:tcW w:w="14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lang w:val="en-US" w:eastAsia="zh-CN"/>
              </w:rPr>
              <w:t>攀枝花市西区应急管理局</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方正仿宋_GBK" w:hAnsi="Calibri" w:eastAsia="方正仿宋_GBK" w:cs="Lucida Sans"/>
                <w:color w:val="auto"/>
                <w:kern w:val="2"/>
                <w:sz w:val="21"/>
                <w:szCs w:val="21"/>
                <w:lang w:val="en-US" w:eastAsia="zh-CN" w:bidi="ar-SA"/>
              </w:rPr>
            </w:pPr>
            <w:r>
              <w:rPr>
                <w:rFonts w:hint="eastAsia" w:ascii="方正仿宋_GBK" w:eastAsia="方正仿宋_GBK" w:cs="Lucida Sans"/>
                <w:color w:val="auto"/>
                <w:szCs w:val="21"/>
                <w:lang w:val="en-US" w:eastAsia="zh-CN"/>
              </w:rPr>
              <w:t>攀枝花市西区应急管理局</w:t>
            </w:r>
          </w:p>
        </w:tc>
        <w:tc>
          <w:tcPr>
            <w:tcW w:w="932" w:type="dxa"/>
            <w:tcBorders>
              <w:top w:val="single" w:color="auto" w:sz="4" w:space="0"/>
              <w:left w:val="single" w:color="auto" w:sz="4" w:space="0"/>
              <w:bottom w:val="single" w:color="auto" w:sz="4" w:space="0"/>
              <w:right w:val="single" w:color="auto" w:sz="4" w:space="0"/>
            </w:tcBorders>
            <w:noWrap/>
            <w:vAlign w:val="center"/>
          </w:tcPr>
          <w:p>
            <w:pPr>
              <w:rPr>
                <w:rFonts w:hint="eastAsia" w:ascii="方正仿宋_GBK" w:eastAsia="方正仿宋_GBK" w:cs="Lucida Sans"/>
                <w:color w:val="auto"/>
                <w:szCs w:val="21"/>
                <w:lang w:val="en-US" w:eastAsia="zh-CN"/>
              </w:rPr>
            </w:pPr>
          </w:p>
        </w:tc>
      </w:tr>
    </w:tbl>
    <w:p/>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2CD4ED63-4B2E-491E-AAAD-4C33EE67C1BC}"/>
  </w:font>
  <w:font w:name="方正小标宋_GBK">
    <w:panose1 w:val="03000509000000000000"/>
    <w:charset w:val="86"/>
    <w:family w:val="auto"/>
    <w:pitch w:val="default"/>
    <w:sig w:usb0="00000001" w:usb1="080E0000" w:usb2="00000000" w:usb3="00000000" w:csb0="00040000" w:csb1="00000000"/>
    <w:embedRegular r:id="rId2" w:fontKey="{DD81D8B6-5EBE-46F2-9059-D6DA310FF0D9}"/>
  </w:font>
  <w:font w:name="方正仿宋_GBK">
    <w:panose1 w:val="03000509000000000000"/>
    <w:charset w:val="86"/>
    <w:family w:val="script"/>
    <w:pitch w:val="default"/>
    <w:sig w:usb0="00000001" w:usb1="080E0000" w:usb2="00000000" w:usb3="00000000" w:csb0="00040000" w:csb1="00000000"/>
    <w:embedRegular r:id="rId3" w:fontKey="{2AF0A1CE-E485-4FF0-9BD4-42BBC2D13F8B}"/>
  </w:font>
  <w:font w:name="Lucida Sans">
    <w:panose1 w:val="020B0602030504020204"/>
    <w:charset w:val="00"/>
    <w:family w:val="auto"/>
    <w:pitch w:val="default"/>
    <w:sig w:usb0="00000003" w:usb1="00000000" w:usb2="00000000" w:usb3="00000000" w:csb0="20000001" w:csb1="00000000"/>
    <w:embedRegular r:id="rId4" w:fontKey="{977B6D92-2AF3-466A-9CF9-CE95A884AA6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B4FF7"/>
    <w:rsid w:val="11C32AB3"/>
    <w:rsid w:val="339016C8"/>
    <w:rsid w:val="403E5E6E"/>
    <w:rsid w:val="432B4FF7"/>
    <w:rsid w:val="4BD042BB"/>
    <w:rsid w:val="4F3471FE"/>
    <w:rsid w:val="74A5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716</Words>
  <Characters>735</Characters>
  <Lines>0</Lines>
  <Paragraphs>0</Paragraphs>
  <TotalTime>20</TotalTime>
  <ScaleCrop>false</ScaleCrop>
  <LinksUpToDate>false</LinksUpToDate>
  <CharactersWithSpaces>737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2024-12-05T09:28:00Z</dcterms:created>
  <dc:creator>杨薪儒</dc:creator>
  <cp:lastModifiedBy>Administrator</cp:lastModifiedBy>
  <cp:lastPrinted>2024-12-06T01:46:00Z</cp:lastPrinted>
  <dcterms:modified xsi:type="dcterms:W3CDTF">2024-12-11T00:31:57Z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282CE930E2494C70A951EB1DBFF7BB7C_11</vt:lpwstr>
  </property>
</Properties>
</file>