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2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517E7ACB">
      <w:pPr>
        <w:keepNext w:val="0"/>
        <w:keepLines w:val="0"/>
        <w:pageBreakBefore w:val="0"/>
        <w:tabs>
          <w:tab w:val="center" w:pos="4613"/>
          <w:tab w:val="left" w:pos="652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评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分标准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ab/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34"/>
        <w:gridCol w:w="721"/>
        <w:gridCol w:w="4637"/>
        <w:gridCol w:w="1273"/>
      </w:tblGrid>
      <w:tr w14:paraId="23A40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评分因素</w:t>
            </w:r>
          </w:p>
          <w:p w14:paraId="06A0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及权重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　值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评分标准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43E05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报价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  <w:p w14:paraId="4FED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（主要评分因素）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公告要求价格最低的报价为评审基准价，其价格分为满分。其他供应商的价格分统一按照下列公式计算：报价得分=(基准价／报价)*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0CB1B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技术、服务要求完全满足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磋商采购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公告要求的得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分，负偏离一项扣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分，扣完为止。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22319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项目实施方案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响应单位</w:t>
            </w:r>
            <w:r>
              <w:rPr>
                <w:rFonts w:hint="default" w:ascii="Times New Roman" w:hAnsi="Times New Roman" w:cs="Times New Roman"/>
                <w:color w:val="auto"/>
              </w:rPr>
              <w:t>为本项目提供的项目实施方案进行综合评分，包括：①设计方案；②时间进度安排；③安装调试；④安全保障措施等以上方案中每缺少一项方案的扣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2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3B668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售后服务方案10%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对供应商为本项目提供的售后服务方案进行综合评分，包括：①售后服务方案；②售后服务响应时间；③延伸服务；④应急预案等以上方案中每缺少一项方案的扣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.5分；每项方案中每有一处存在缺陷(缺陷指：项目名称错误、地点区域错误、内容与本项目需求无关、方案内容矛盾或表述前后不一致、仅有框架或标题、明显复制其他项目内容等任意一种情形)的扣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5EBB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业绩6%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B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评审委员会根据供应商类似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业绩（20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年1月1日-至递交响应文件截止日）进行评定，每提供一个业绩得3分，最多得6分。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提供合同或中标（成交）通知书复印件</w:t>
            </w:r>
          </w:p>
        </w:tc>
      </w:tr>
    </w:tbl>
    <w:p w14:paraId="5B811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770174D0"/>
    <w:rsid w:val="34BB56D2"/>
    <w:rsid w:val="37B70338"/>
    <w:rsid w:val="5793782C"/>
    <w:rsid w:val="612720E8"/>
    <w:rsid w:val="701D7EA2"/>
    <w:rsid w:val="770174D0"/>
    <w:rsid w:val="788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628</Characters>
  <Lines>0</Lines>
  <Paragraphs>0</Paragraphs>
  <TotalTime>0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2024-11-21T00:09:00Z</dcterms:created>
  <dc:creator>ASUS</dc:creator>
  <cp:lastModifiedBy>ASUS</cp:lastModifiedBy>
  <dcterms:modified xsi:type="dcterms:W3CDTF">2024-12-09T00:34:43Z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D3B24D7BF6A44AEBA871E4E62CE588E8_11</vt:lpwstr>
  </property>
</Properties>
</file>