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6"/>
        <w:spacing w:before="93"/>
      </w:pPr>
    </w:p>
    <w:p>
      <w:pPr>
        <w:spacing w:line="600" w:lineRule="exact"/>
        <w:outlineLvl w:val="0"/>
        <w:rPr>
          <w:rFonts w:ascii="方正小标宋简体" w:hAnsi="宋体" w:eastAsia="方正小标宋简体"/>
          <w:sz w:val="72"/>
          <w:szCs w:val="72"/>
        </w:rPr>
      </w:pPr>
    </w:p>
    <w:p>
      <w:pPr>
        <w:spacing w:line="600" w:lineRule="exact"/>
        <w:outlineLvl w:val="0"/>
        <w:rPr>
          <w:rFonts w:ascii="方正小标宋简体" w:hAnsi="宋体" w:eastAsia="方正小标宋简体"/>
          <w:sz w:val="72"/>
          <w:szCs w:val="72"/>
        </w:rPr>
      </w:pPr>
    </w:p>
    <w:p>
      <w:pPr>
        <w:pStyle w:val="2"/>
      </w:pPr>
    </w:p>
    <w:bookmarkEnd w:id="0"/>
    <w:p>
      <w:pPr>
        <w:pStyle w:val="6"/>
        <w:spacing w:before="93"/>
        <w:jc w:val="center"/>
        <w:rPr>
          <w:rFonts w:ascii="方正小标宋简体" w:hAnsi="宋体" w:eastAsia="方正小标宋简体"/>
          <w:spacing w:val="-36"/>
          <w:sz w:val="44"/>
          <w:szCs w:val="44"/>
        </w:rPr>
      </w:pPr>
      <w:bookmarkStart w:id="1" w:name="_Toc15377196"/>
      <w:bookmarkStart w:id="2" w:name="_Toc15396599"/>
      <w:r>
        <w:rPr>
          <w:rFonts w:hint="eastAsia" w:ascii="方正小标宋简体" w:hAnsi="宋体" w:eastAsia="方正小标宋简体"/>
          <w:spacing w:val="-36"/>
          <w:sz w:val="44"/>
          <w:szCs w:val="44"/>
        </w:rPr>
        <w:t>2023年度中国共产党攀枝花市西区委员会办公室</w:t>
      </w:r>
      <w:bookmarkStart w:id="3" w:name="_Toc15377426"/>
      <w:bookmarkStart w:id="4" w:name="_Toc15378442"/>
      <w:bookmarkStart w:id="5" w:name="_Toc15396598"/>
      <w:bookmarkStart w:id="6" w:name="_Toc15396476"/>
      <w:bookmarkStart w:id="7" w:name="_Toc15306268"/>
      <w:bookmarkStart w:id="8" w:name="_Toc15377194"/>
    </w:p>
    <w:p>
      <w:pPr>
        <w:pStyle w:val="6"/>
        <w:spacing w:before="93"/>
        <w:jc w:val="center"/>
        <w:rPr>
          <w:rFonts w:ascii="方正小标宋简体" w:hAnsi="宋体" w:eastAsia="方正小标宋简体"/>
          <w:sz w:val="44"/>
          <w:szCs w:val="44"/>
        </w:rPr>
      </w:pPr>
      <w:r>
        <w:rPr>
          <w:rFonts w:hint="eastAsia" w:ascii="方正小标宋简体" w:hAnsi="宋体" w:eastAsia="方正小标宋简体"/>
          <w:sz w:val="44"/>
          <w:szCs w:val="44"/>
          <w:lang w:eastAsia="zh-CN"/>
        </w:rPr>
        <w:t>单位</w:t>
      </w:r>
      <w:r>
        <w:rPr>
          <w:rFonts w:hint="eastAsia" w:ascii="方正小标宋简体" w:hAnsi="宋体" w:eastAsia="方正小标宋简体"/>
          <w:sz w:val="44"/>
          <w:szCs w:val="44"/>
        </w:rPr>
        <w:t>决算</w:t>
      </w:r>
      <w:bookmarkEnd w:id="3"/>
      <w:bookmarkEnd w:id="4"/>
      <w:bookmarkEnd w:id="5"/>
      <w:bookmarkEnd w:id="6"/>
      <w:bookmarkEnd w:id="7"/>
      <w:bookmarkEnd w:id="8"/>
    </w:p>
    <w:p>
      <w:pPr>
        <w:widowControl/>
        <w:jc w:val="center"/>
        <w:rPr>
          <w:rFonts w:ascii="方正小标宋_GBK" w:hAnsi="黑体" w:eastAsia="方正小标宋_GBK"/>
          <w:sz w:val="44"/>
          <w:szCs w:val="44"/>
        </w:rPr>
      </w:pPr>
      <w:r>
        <w:rPr>
          <w:rFonts w:ascii="方正小标宋简体" w:hAnsi="宋体" w:eastAsia="方正小标宋简体"/>
          <w:sz w:val="36"/>
          <w:szCs w:val="36"/>
        </w:rPr>
        <w:br w:type="page"/>
      </w:r>
      <w:r>
        <w:rPr>
          <w:rFonts w:hint="eastAsia" w:ascii="方正小标宋_GBK" w:hAnsi="黑体" w:eastAsia="方正小标宋_GBK"/>
          <w:sz w:val="44"/>
          <w:szCs w:val="44"/>
        </w:rPr>
        <w:t>目录</w:t>
      </w:r>
    </w:p>
    <w:p>
      <w:pPr>
        <w:widowControl/>
        <w:jc w:val="center"/>
        <w:rPr>
          <w:rFonts w:ascii="黑体" w:hAnsi="黑体" w:eastAsia="黑体"/>
          <w:sz w:val="28"/>
          <w:szCs w:val="28"/>
        </w:rPr>
      </w:pPr>
    </w:p>
    <w:p>
      <w:pPr>
        <w:pStyle w:val="13"/>
        <w:rPr>
          <w:rFonts w:ascii="仿宋_GB2312" w:eastAsia="仿宋_GB2312"/>
        </w:rPr>
      </w:pPr>
      <w:r>
        <w:rPr>
          <w:rFonts w:hint="eastAsia" w:ascii="仿宋_GB2312" w:eastAsia="仿宋_GB2312"/>
        </w:rPr>
        <w:t>公开时间：</w:t>
      </w:r>
      <w:r>
        <w:rPr>
          <w:rFonts w:hint="eastAsia" w:ascii="仿宋_GB2312" w:hAnsi="Times New Roman" w:eastAsia="仿宋_GB2312"/>
        </w:rPr>
        <w:t>2024</w:t>
      </w:r>
      <w:r>
        <w:rPr>
          <w:rFonts w:hint="eastAsia" w:ascii="仿宋_GB2312" w:eastAsia="仿宋_GB2312"/>
        </w:rPr>
        <w:t>年</w:t>
      </w:r>
      <w:r>
        <w:rPr>
          <w:rFonts w:hint="eastAsia" w:ascii="仿宋_GB2312" w:hAnsi="Times New Roman" w:eastAsia="仿宋_GB2312"/>
        </w:rPr>
        <w:t>10</w:t>
      </w:r>
      <w:r>
        <w:rPr>
          <w:rFonts w:hint="eastAsia" w:ascii="仿宋_GB2312" w:eastAsia="仿宋_GB2312"/>
        </w:rPr>
        <w:t>月</w:t>
      </w:r>
      <w:r>
        <w:rPr>
          <w:rFonts w:hint="eastAsia" w:ascii="仿宋_GB2312" w:eastAsia="仿宋_GB2312"/>
          <w:lang w:val="en-US" w:eastAsia="zh-CN"/>
        </w:rPr>
        <w:t>25</w:t>
      </w:r>
      <w:r>
        <w:rPr>
          <w:rFonts w:hint="eastAsia" w:ascii="仿宋_GB2312" w:eastAsia="仿宋_GB2312"/>
        </w:rPr>
        <w:t>日</w:t>
      </w:r>
    </w:p>
    <w:p>
      <w:pPr>
        <w:rPr>
          <w:rFonts w:ascii="仿宋_GB2312" w:eastAsia="仿宋_GB2312"/>
        </w:rPr>
      </w:pPr>
    </w:p>
    <w:p>
      <w:pPr>
        <w:pStyle w:val="13"/>
        <w:adjustRightInd w:val="0"/>
        <w:snapToGrid w:val="0"/>
        <w:spacing w:before="0" w:line="500" w:lineRule="exact"/>
        <w:jc w:val="left"/>
        <w:rPr>
          <w:rFonts w:ascii="仿宋_GB2312" w:hAnsi="Times New Roman" w:eastAsia="仿宋_GB2312"/>
        </w:rPr>
      </w:pPr>
      <w:r>
        <w:rPr>
          <w:rFonts w:hint="eastAsia" w:ascii="仿宋_GB2312" w:hAnsi="Times New Roman" w:eastAsia="仿宋_GB2312"/>
        </w:rPr>
        <w:t>第一部分 部门概况</w:t>
      </w:r>
      <w:r>
        <w:rPr>
          <w:rFonts w:hint="eastAsia" w:ascii="仿宋_GB2312" w:hAnsi="Times New Roman" w:eastAsia="仿宋_GB2312"/>
        </w:rPr>
        <w:tab/>
      </w:r>
      <w:r>
        <w:rPr>
          <w:rFonts w:hint="eastAsia" w:ascii="仿宋_GB2312" w:hAnsi="Times New Roman" w:eastAsia="仿宋_GB2312"/>
        </w:rPr>
        <w:t>1</w:t>
      </w:r>
    </w:p>
    <w:p>
      <w:pPr>
        <w:pStyle w:val="15"/>
        <w:adjustRightInd w:val="0"/>
        <w:snapToGrid w:val="0"/>
        <w:spacing w:line="500" w:lineRule="exact"/>
        <w:jc w:val="left"/>
        <w:rPr>
          <w:rFonts w:ascii="仿宋_GB2312" w:eastAsia="仿宋_GB2312"/>
          <w:sz w:val="28"/>
          <w:szCs w:val="28"/>
        </w:rPr>
      </w:pPr>
      <w:r>
        <w:rPr>
          <w:rFonts w:hint="eastAsia" w:ascii="仿宋_GB2312" w:eastAsia="仿宋_GB2312"/>
          <w:sz w:val="28"/>
          <w:szCs w:val="28"/>
        </w:rPr>
        <w:t>一、部门职责</w:t>
      </w:r>
      <w:r>
        <w:rPr>
          <w:rFonts w:hint="eastAsia" w:ascii="仿宋_GB2312" w:eastAsia="仿宋_GB2312"/>
          <w:sz w:val="28"/>
          <w:szCs w:val="28"/>
        </w:rPr>
        <w:tab/>
      </w:r>
      <w:r>
        <w:rPr>
          <w:rFonts w:hint="eastAsia" w:ascii="仿宋_GB2312" w:eastAsia="仿宋_GB2312"/>
          <w:sz w:val="28"/>
          <w:szCs w:val="28"/>
        </w:rPr>
        <w:t>1</w:t>
      </w:r>
    </w:p>
    <w:p>
      <w:pPr>
        <w:pStyle w:val="15"/>
        <w:adjustRightInd w:val="0"/>
        <w:snapToGrid w:val="0"/>
        <w:spacing w:line="500" w:lineRule="exact"/>
        <w:jc w:val="left"/>
        <w:rPr>
          <w:rFonts w:ascii="仿宋_GB2312" w:eastAsia="仿宋_GB2312"/>
          <w:sz w:val="28"/>
          <w:szCs w:val="28"/>
        </w:rPr>
      </w:pPr>
      <w:r>
        <w:rPr>
          <w:rFonts w:hint="eastAsia" w:ascii="仿宋_GB2312" w:eastAsia="仿宋_GB2312"/>
          <w:sz w:val="28"/>
          <w:szCs w:val="28"/>
        </w:rPr>
        <w:t>二、机构设置</w:t>
      </w:r>
      <w:r>
        <w:rPr>
          <w:rFonts w:hint="eastAsia" w:ascii="仿宋_GB2312" w:eastAsia="仿宋_GB2312"/>
          <w:sz w:val="28"/>
          <w:szCs w:val="28"/>
        </w:rPr>
        <w:tab/>
      </w:r>
      <w:r>
        <w:rPr>
          <w:rFonts w:hint="eastAsia" w:ascii="仿宋_GB2312" w:eastAsia="仿宋_GB2312"/>
          <w:sz w:val="28"/>
          <w:szCs w:val="28"/>
        </w:rPr>
        <w:t>2</w:t>
      </w:r>
    </w:p>
    <w:p>
      <w:pPr>
        <w:pStyle w:val="13"/>
        <w:adjustRightInd w:val="0"/>
        <w:snapToGrid w:val="0"/>
        <w:spacing w:before="0" w:line="500" w:lineRule="exact"/>
        <w:jc w:val="left"/>
        <w:rPr>
          <w:rFonts w:ascii="仿宋_GB2312" w:hAnsi="Times New Roman" w:eastAsia="仿宋_GB2312"/>
        </w:rPr>
      </w:pPr>
      <w:r>
        <w:rPr>
          <w:rFonts w:hint="eastAsia" w:ascii="仿宋_GB2312" w:hAnsi="Times New Roman" w:eastAsia="仿宋_GB2312"/>
        </w:rPr>
        <w:t>第二部分2023年度部门决算情况说明</w:t>
      </w:r>
      <w:r>
        <w:rPr>
          <w:rFonts w:hint="eastAsia" w:ascii="仿宋_GB2312" w:hAnsi="Times New Roman" w:eastAsia="仿宋_GB2312"/>
        </w:rPr>
        <w:tab/>
      </w:r>
      <w:r>
        <w:rPr>
          <w:rFonts w:hint="eastAsia" w:ascii="仿宋_GB2312" w:hAnsi="Times New Roman" w:eastAsia="仿宋_GB2312"/>
        </w:rPr>
        <w:t>3</w:t>
      </w:r>
    </w:p>
    <w:p>
      <w:pPr>
        <w:pStyle w:val="15"/>
        <w:adjustRightInd w:val="0"/>
        <w:snapToGrid w:val="0"/>
        <w:spacing w:line="500" w:lineRule="exact"/>
        <w:jc w:val="left"/>
        <w:rPr>
          <w:rFonts w:ascii="仿宋_GB2312" w:eastAsia="仿宋_GB2312"/>
          <w:sz w:val="28"/>
          <w:szCs w:val="28"/>
        </w:rPr>
      </w:pPr>
      <w:r>
        <w:rPr>
          <w:rFonts w:hint="eastAsia" w:ascii="仿宋_GB2312" w:eastAsia="仿宋_GB2312"/>
          <w:sz w:val="28"/>
          <w:szCs w:val="28"/>
        </w:rPr>
        <w:t>一、收入支出决算总体情况说明</w:t>
      </w:r>
      <w:r>
        <w:rPr>
          <w:rFonts w:hint="eastAsia" w:ascii="仿宋_GB2312" w:eastAsia="仿宋_GB2312"/>
          <w:sz w:val="28"/>
          <w:szCs w:val="28"/>
        </w:rPr>
        <w:tab/>
      </w:r>
      <w:r>
        <w:rPr>
          <w:rFonts w:hint="eastAsia" w:ascii="仿宋_GB2312" w:eastAsia="仿宋_GB2312"/>
          <w:sz w:val="28"/>
          <w:szCs w:val="28"/>
        </w:rPr>
        <w:t>3</w:t>
      </w:r>
    </w:p>
    <w:p>
      <w:pPr>
        <w:pStyle w:val="15"/>
        <w:adjustRightInd w:val="0"/>
        <w:snapToGrid w:val="0"/>
        <w:spacing w:line="500" w:lineRule="exact"/>
        <w:jc w:val="left"/>
        <w:rPr>
          <w:rFonts w:ascii="仿宋_GB2312" w:eastAsia="仿宋_GB2312"/>
          <w:sz w:val="28"/>
          <w:szCs w:val="28"/>
        </w:rPr>
      </w:pPr>
      <w:r>
        <w:rPr>
          <w:rFonts w:hint="eastAsia" w:ascii="仿宋_GB2312" w:eastAsia="仿宋_GB2312"/>
          <w:sz w:val="28"/>
          <w:szCs w:val="28"/>
        </w:rPr>
        <w:t>二、收入决算情况说明</w:t>
      </w:r>
      <w:r>
        <w:rPr>
          <w:rFonts w:hint="eastAsia" w:ascii="仿宋_GB2312" w:eastAsia="仿宋_GB2312"/>
          <w:sz w:val="28"/>
          <w:szCs w:val="28"/>
        </w:rPr>
        <w:tab/>
      </w:r>
      <w:r>
        <w:rPr>
          <w:rFonts w:hint="eastAsia" w:ascii="仿宋_GB2312" w:eastAsia="仿宋_GB2312"/>
          <w:sz w:val="28"/>
          <w:szCs w:val="28"/>
        </w:rPr>
        <w:t>3</w:t>
      </w:r>
    </w:p>
    <w:p>
      <w:pPr>
        <w:pStyle w:val="15"/>
        <w:adjustRightInd w:val="0"/>
        <w:snapToGrid w:val="0"/>
        <w:spacing w:line="500" w:lineRule="exact"/>
        <w:jc w:val="left"/>
        <w:rPr>
          <w:rFonts w:ascii="仿宋_GB2312" w:eastAsia="仿宋_GB2312"/>
          <w:sz w:val="28"/>
          <w:szCs w:val="28"/>
        </w:rPr>
      </w:pPr>
      <w:r>
        <w:rPr>
          <w:rFonts w:hint="eastAsia" w:ascii="仿宋_GB2312" w:eastAsia="仿宋_GB2312"/>
          <w:sz w:val="28"/>
          <w:szCs w:val="28"/>
        </w:rPr>
        <w:t>三、支出决算情况说明</w:t>
      </w:r>
      <w:r>
        <w:rPr>
          <w:rFonts w:hint="eastAsia" w:ascii="仿宋_GB2312" w:eastAsia="仿宋_GB2312"/>
          <w:sz w:val="28"/>
          <w:szCs w:val="28"/>
        </w:rPr>
        <w:tab/>
      </w:r>
      <w:r>
        <w:rPr>
          <w:rFonts w:hint="eastAsia" w:ascii="仿宋_GB2312" w:eastAsia="仿宋_GB2312"/>
          <w:sz w:val="28"/>
          <w:szCs w:val="28"/>
        </w:rPr>
        <w:t>4</w:t>
      </w:r>
    </w:p>
    <w:p>
      <w:pPr>
        <w:pStyle w:val="15"/>
        <w:adjustRightInd w:val="0"/>
        <w:snapToGrid w:val="0"/>
        <w:spacing w:line="500" w:lineRule="exact"/>
        <w:jc w:val="left"/>
        <w:rPr>
          <w:rFonts w:ascii="仿宋_GB2312" w:eastAsia="仿宋_GB2312"/>
          <w:sz w:val="28"/>
          <w:szCs w:val="28"/>
        </w:rPr>
      </w:pPr>
      <w:r>
        <w:rPr>
          <w:rFonts w:hint="eastAsia" w:ascii="仿宋_GB2312" w:eastAsia="仿宋_GB2312"/>
          <w:sz w:val="28"/>
          <w:szCs w:val="28"/>
        </w:rPr>
        <w:t>四、财政拨款收入支出决算总体情况说明</w:t>
      </w:r>
      <w:r>
        <w:rPr>
          <w:rFonts w:hint="eastAsia" w:ascii="仿宋_GB2312" w:eastAsia="仿宋_GB2312"/>
          <w:sz w:val="28"/>
          <w:szCs w:val="28"/>
        </w:rPr>
        <w:tab/>
      </w:r>
      <w:r>
        <w:rPr>
          <w:rFonts w:hint="eastAsia" w:ascii="仿宋_GB2312" w:eastAsia="仿宋_GB2312"/>
          <w:sz w:val="28"/>
          <w:szCs w:val="28"/>
        </w:rPr>
        <w:t>5</w:t>
      </w:r>
    </w:p>
    <w:p>
      <w:pPr>
        <w:pStyle w:val="15"/>
        <w:adjustRightInd w:val="0"/>
        <w:snapToGrid w:val="0"/>
        <w:spacing w:line="500" w:lineRule="exact"/>
        <w:jc w:val="left"/>
        <w:rPr>
          <w:rFonts w:ascii="仿宋_GB2312" w:eastAsia="仿宋_GB2312"/>
          <w:sz w:val="28"/>
          <w:szCs w:val="28"/>
        </w:rPr>
      </w:pPr>
      <w:r>
        <w:rPr>
          <w:rFonts w:hint="eastAsia" w:ascii="仿宋_GB2312" w:eastAsia="仿宋_GB2312"/>
          <w:sz w:val="28"/>
          <w:szCs w:val="28"/>
        </w:rPr>
        <w:t>五、一般公共预算财政拨款支出决算情况说明</w:t>
      </w:r>
      <w:r>
        <w:rPr>
          <w:rFonts w:hint="eastAsia" w:ascii="仿宋_GB2312" w:eastAsia="仿宋_GB2312"/>
          <w:sz w:val="28"/>
          <w:szCs w:val="28"/>
        </w:rPr>
        <w:tab/>
      </w:r>
      <w:r>
        <w:rPr>
          <w:rFonts w:hint="eastAsia" w:ascii="仿宋_GB2312" w:eastAsia="仿宋_GB2312"/>
          <w:sz w:val="28"/>
          <w:szCs w:val="28"/>
        </w:rPr>
        <w:t>5</w:t>
      </w:r>
    </w:p>
    <w:p>
      <w:pPr>
        <w:pStyle w:val="15"/>
        <w:adjustRightInd w:val="0"/>
        <w:snapToGrid w:val="0"/>
        <w:spacing w:line="500" w:lineRule="exact"/>
        <w:jc w:val="left"/>
        <w:rPr>
          <w:rFonts w:hint="eastAsia" w:ascii="仿宋_GB2312" w:eastAsia="仿宋_GB2312"/>
          <w:sz w:val="28"/>
          <w:szCs w:val="28"/>
          <w:lang w:eastAsia="zh-CN"/>
        </w:rPr>
      </w:pPr>
      <w:r>
        <w:rPr>
          <w:rFonts w:hint="eastAsia" w:ascii="仿宋_GB2312" w:eastAsia="仿宋_GB2312"/>
          <w:sz w:val="28"/>
          <w:szCs w:val="28"/>
        </w:rPr>
        <w:t>六、一般公共预算财政拨款基本支出决算情况说明</w:t>
      </w:r>
      <w:r>
        <w:rPr>
          <w:rFonts w:hint="eastAsia" w:ascii="仿宋_GB2312" w:eastAsia="仿宋_GB2312"/>
          <w:sz w:val="28"/>
          <w:szCs w:val="28"/>
        </w:rPr>
        <w:tab/>
      </w:r>
      <w:r>
        <w:rPr>
          <w:rFonts w:hint="eastAsia" w:ascii="仿宋_GB2312" w:eastAsia="仿宋_GB2312"/>
          <w:sz w:val="28"/>
          <w:szCs w:val="28"/>
          <w:lang w:val="en-US" w:eastAsia="zh-CN"/>
        </w:rPr>
        <w:t>8</w:t>
      </w:r>
    </w:p>
    <w:p>
      <w:pPr>
        <w:pStyle w:val="15"/>
        <w:adjustRightInd w:val="0"/>
        <w:snapToGrid w:val="0"/>
        <w:spacing w:line="500" w:lineRule="exact"/>
        <w:jc w:val="left"/>
        <w:rPr>
          <w:rFonts w:ascii="仿宋_GB2312" w:eastAsia="仿宋_GB2312"/>
          <w:sz w:val="28"/>
          <w:szCs w:val="28"/>
        </w:rPr>
      </w:pPr>
      <w:r>
        <w:rPr>
          <w:rFonts w:hint="eastAsia" w:ascii="仿宋_GB2312" w:eastAsia="仿宋_GB2312"/>
          <w:sz w:val="28"/>
          <w:szCs w:val="28"/>
        </w:rPr>
        <w:t>七、财政拨款“三公”经费支出决算情况说明</w:t>
      </w:r>
      <w:r>
        <w:rPr>
          <w:rFonts w:hint="eastAsia" w:ascii="仿宋_GB2312" w:eastAsia="仿宋_GB2312"/>
          <w:sz w:val="28"/>
          <w:szCs w:val="28"/>
        </w:rPr>
        <w:tab/>
      </w:r>
      <w:r>
        <w:rPr>
          <w:rFonts w:hint="eastAsia" w:ascii="仿宋_GB2312" w:eastAsia="仿宋_GB2312"/>
          <w:sz w:val="28"/>
          <w:szCs w:val="28"/>
        </w:rPr>
        <w:t>8</w:t>
      </w:r>
    </w:p>
    <w:p>
      <w:pPr>
        <w:pStyle w:val="15"/>
        <w:adjustRightInd w:val="0"/>
        <w:snapToGrid w:val="0"/>
        <w:spacing w:line="500" w:lineRule="exact"/>
        <w:jc w:val="left"/>
        <w:rPr>
          <w:rFonts w:ascii="仿宋_GB2312" w:eastAsia="仿宋_GB2312"/>
          <w:sz w:val="28"/>
          <w:szCs w:val="28"/>
        </w:rPr>
      </w:pPr>
      <w:r>
        <w:rPr>
          <w:rFonts w:hint="eastAsia" w:ascii="仿宋_GB2312" w:eastAsia="仿宋_GB2312"/>
          <w:sz w:val="28"/>
          <w:szCs w:val="28"/>
        </w:rPr>
        <w:t>八、政府性基金预算支出决算情况说明</w:t>
      </w:r>
      <w:r>
        <w:rPr>
          <w:rFonts w:hint="eastAsia" w:ascii="仿宋_GB2312" w:eastAsia="仿宋_GB2312"/>
          <w:sz w:val="28"/>
          <w:szCs w:val="28"/>
        </w:rPr>
        <w:tab/>
      </w:r>
      <w:r>
        <w:rPr>
          <w:rFonts w:hint="eastAsia" w:ascii="仿宋_GB2312" w:eastAsia="仿宋_GB2312"/>
          <w:sz w:val="28"/>
          <w:szCs w:val="28"/>
        </w:rPr>
        <w:t>10</w:t>
      </w:r>
    </w:p>
    <w:p>
      <w:pPr>
        <w:pStyle w:val="15"/>
        <w:adjustRightInd w:val="0"/>
        <w:snapToGrid w:val="0"/>
        <w:spacing w:line="500" w:lineRule="exact"/>
        <w:jc w:val="left"/>
        <w:rPr>
          <w:rFonts w:ascii="仿宋_GB2312" w:eastAsia="仿宋_GB2312"/>
          <w:sz w:val="28"/>
          <w:szCs w:val="28"/>
        </w:rPr>
      </w:pPr>
      <w:r>
        <w:rPr>
          <w:rFonts w:hint="eastAsia" w:ascii="仿宋_GB2312" w:eastAsia="仿宋_GB2312"/>
          <w:sz w:val="28"/>
          <w:szCs w:val="28"/>
        </w:rPr>
        <w:t>九、国有资本经营预算支出决算情况说明</w:t>
      </w:r>
      <w:r>
        <w:rPr>
          <w:rFonts w:hint="eastAsia" w:ascii="仿宋_GB2312" w:eastAsia="仿宋_GB2312"/>
          <w:sz w:val="28"/>
          <w:szCs w:val="28"/>
        </w:rPr>
        <w:tab/>
      </w:r>
      <w:r>
        <w:rPr>
          <w:rFonts w:hint="eastAsia" w:ascii="仿宋_GB2312" w:eastAsia="仿宋_GB2312"/>
          <w:sz w:val="28"/>
          <w:szCs w:val="28"/>
        </w:rPr>
        <w:t>10</w:t>
      </w:r>
    </w:p>
    <w:p>
      <w:pPr>
        <w:pStyle w:val="15"/>
        <w:adjustRightInd w:val="0"/>
        <w:snapToGrid w:val="0"/>
        <w:spacing w:line="500" w:lineRule="exact"/>
        <w:jc w:val="left"/>
        <w:rPr>
          <w:rFonts w:hint="eastAsia" w:ascii="仿宋_GB2312" w:eastAsia="仿宋_GB2312"/>
          <w:sz w:val="28"/>
          <w:szCs w:val="28"/>
          <w:lang w:eastAsia="zh-CN"/>
        </w:rPr>
      </w:pPr>
      <w:r>
        <w:rPr>
          <w:rFonts w:hint="eastAsia" w:ascii="仿宋_GB2312" w:eastAsia="仿宋_GB2312"/>
          <w:sz w:val="28"/>
          <w:szCs w:val="28"/>
        </w:rPr>
        <w:t>十、其他重要事项的情况说明</w:t>
      </w:r>
      <w:r>
        <w:rPr>
          <w:rFonts w:hint="eastAsia" w:ascii="仿宋_GB2312" w:eastAsia="仿宋_GB2312"/>
          <w:sz w:val="28"/>
          <w:szCs w:val="28"/>
        </w:rPr>
        <w:tab/>
      </w:r>
      <w:r>
        <w:rPr>
          <w:rFonts w:hint="eastAsia" w:ascii="仿宋_GB2312" w:eastAsia="仿宋_GB2312"/>
          <w:sz w:val="28"/>
          <w:szCs w:val="28"/>
        </w:rPr>
        <w:t>1</w:t>
      </w:r>
      <w:r>
        <w:rPr>
          <w:rFonts w:hint="eastAsia" w:ascii="仿宋_GB2312" w:eastAsia="仿宋_GB2312"/>
          <w:sz w:val="28"/>
          <w:szCs w:val="28"/>
          <w:lang w:val="en-US" w:eastAsia="zh-CN"/>
        </w:rPr>
        <w:t>1</w:t>
      </w:r>
    </w:p>
    <w:p>
      <w:pPr>
        <w:pStyle w:val="13"/>
        <w:adjustRightInd w:val="0"/>
        <w:snapToGrid w:val="0"/>
        <w:spacing w:before="0" w:line="500" w:lineRule="exact"/>
        <w:jc w:val="left"/>
        <w:rPr>
          <w:rFonts w:ascii="仿宋_GB2312" w:hAnsi="Times New Roman" w:eastAsia="仿宋_GB2312"/>
        </w:rPr>
      </w:pPr>
      <w:r>
        <w:rPr>
          <w:rFonts w:hint="eastAsia" w:ascii="仿宋_GB2312" w:hAnsi="Times New Roman" w:eastAsia="仿宋_GB2312"/>
        </w:rPr>
        <w:t>第三部分 名词解释</w:t>
      </w:r>
      <w:r>
        <w:rPr>
          <w:rFonts w:hint="eastAsia" w:ascii="仿宋_GB2312" w:hAnsi="Times New Roman" w:eastAsia="仿宋_GB2312"/>
        </w:rPr>
        <w:tab/>
      </w:r>
      <w:r>
        <w:rPr>
          <w:rFonts w:hint="eastAsia" w:ascii="仿宋_GB2312" w:hAnsi="Times New Roman" w:eastAsia="仿宋_GB2312"/>
        </w:rPr>
        <w:t>13</w:t>
      </w:r>
    </w:p>
    <w:p>
      <w:pPr>
        <w:pStyle w:val="13"/>
        <w:adjustRightInd w:val="0"/>
        <w:snapToGrid w:val="0"/>
        <w:spacing w:before="0" w:line="500" w:lineRule="exact"/>
        <w:jc w:val="left"/>
        <w:rPr>
          <w:rFonts w:ascii="仿宋_GB2312" w:hAnsi="Times New Roman" w:eastAsia="仿宋_GB2312"/>
        </w:rPr>
      </w:pPr>
      <w:r>
        <w:rPr>
          <w:rFonts w:hint="eastAsia" w:ascii="仿宋_GB2312" w:hAnsi="Times New Roman" w:eastAsia="仿宋_GB2312"/>
        </w:rPr>
        <w:t>第四部分 附件</w:t>
      </w:r>
      <w:r>
        <w:rPr>
          <w:rFonts w:hint="eastAsia" w:ascii="仿宋_GB2312" w:hAnsi="Times New Roman" w:eastAsia="仿宋_GB2312"/>
        </w:rPr>
        <w:tab/>
      </w:r>
      <w:r>
        <w:rPr>
          <w:rFonts w:hint="eastAsia" w:ascii="仿宋_GB2312" w:hAnsi="Times New Roman" w:eastAsia="仿宋_GB2312"/>
        </w:rPr>
        <w:t>16</w:t>
      </w:r>
    </w:p>
    <w:p>
      <w:pPr>
        <w:pStyle w:val="13"/>
        <w:adjustRightInd w:val="0"/>
        <w:snapToGrid w:val="0"/>
        <w:spacing w:before="0" w:line="500" w:lineRule="exact"/>
        <w:jc w:val="left"/>
        <w:rPr>
          <w:rFonts w:hint="default" w:ascii="仿宋_GB2312" w:hAnsi="Times New Roman" w:eastAsia="仿宋_GB2312"/>
          <w:lang w:val="en-US" w:eastAsia="zh-CN"/>
        </w:rPr>
      </w:pPr>
      <w:r>
        <w:rPr>
          <w:rFonts w:hint="eastAsia" w:ascii="仿宋_GB2312" w:hAnsi="Times New Roman" w:eastAsia="仿宋_GB2312"/>
        </w:rPr>
        <w:t>第五部分 附表</w:t>
      </w:r>
      <w:r>
        <w:rPr>
          <w:rFonts w:hint="eastAsia" w:ascii="仿宋_GB2312" w:hAnsi="Times New Roman" w:eastAsia="仿宋_GB2312"/>
        </w:rPr>
        <w:tab/>
      </w:r>
      <w:r>
        <w:rPr>
          <w:rFonts w:hint="eastAsia" w:ascii="仿宋_GB2312" w:hAnsi="Times New Roman" w:eastAsia="仿宋_GB2312"/>
          <w:lang w:val="en-US" w:eastAsia="zh-CN"/>
        </w:rPr>
        <w:t>17</w:t>
      </w:r>
    </w:p>
    <w:p>
      <w:pPr>
        <w:pStyle w:val="15"/>
        <w:adjustRightInd w:val="0"/>
        <w:snapToGrid w:val="0"/>
        <w:spacing w:line="500" w:lineRule="exact"/>
        <w:jc w:val="left"/>
        <w:rPr>
          <w:rFonts w:hint="default" w:ascii="仿宋_GB2312" w:eastAsia="仿宋_GB2312"/>
          <w:sz w:val="28"/>
          <w:szCs w:val="28"/>
          <w:lang w:val="en-US" w:eastAsia="zh-CN"/>
        </w:rPr>
      </w:pPr>
      <w:r>
        <w:rPr>
          <w:rFonts w:hint="eastAsia" w:ascii="仿宋_GB2312" w:eastAsia="仿宋_GB2312"/>
          <w:sz w:val="28"/>
          <w:szCs w:val="28"/>
        </w:rPr>
        <w:t>一、收入支出决算总表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15"/>
        <w:adjustRightInd w:val="0"/>
        <w:snapToGrid w:val="0"/>
        <w:spacing w:line="500" w:lineRule="exact"/>
        <w:jc w:val="left"/>
        <w:rPr>
          <w:rFonts w:hint="default" w:ascii="仿宋_GB2312" w:eastAsia="仿宋_GB2312"/>
          <w:sz w:val="28"/>
          <w:szCs w:val="28"/>
          <w:lang w:val="en-US" w:eastAsia="zh-CN"/>
        </w:rPr>
      </w:pPr>
      <w:r>
        <w:rPr>
          <w:rFonts w:hint="eastAsia" w:ascii="仿宋_GB2312" w:eastAsia="仿宋_GB2312"/>
          <w:sz w:val="28"/>
          <w:szCs w:val="28"/>
        </w:rPr>
        <w:t>二、收入决算表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15"/>
        <w:adjustRightInd w:val="0"/>
        <w:snapToGrid w:val="0"/>
        <w:spacing w:line="500" w:lineRule="exact"/>
        <w:jc w:val="left"/>
        <w:rPr>
          <w:rFonts w:hint="default" w:ascii="仿宋_GB2312" w:eastAsia="仿宋_GB2312"/>
          <w:sz w:val="28"/>
          <w:szCs w:val="28"/>
          <w:lang w:val="en-US" w:eastAsia="zh-CN"/>
        </w:rPr>
      </w:pPr>
      <w:r>
        <w:rPr>
          <w:rFonts w:hint="eastAsia" w:ascii="仿宋_GB2312" w:eastAsia="仿宋_GB2312"/>
          <w:sz w:val="28"/>
          <w:szCs w:val="28"/>
        </w:rPr>
        <w:t>三、支出决算表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15"/>
        <w:adjustRightInd w:val="0"/>
        <w:snapToGrid w:val="0"/>
        <w:spacing w:line="500" w:lineRule="exact"/>
        <w:jc w:val="left"/>
        <w:rPr>
          <w:rFonts w:ascii="仿宋_GB2312" w:eastAsia="仿宋_GB2312"/>
          <w:sz w:val="28"/>
          <w:szCs w:val="28"/>
        </w:rPr>
        <w:sectPr>
          <w:footerReference r:id="rId3" w:type="even"/>
          <w:pgSz w:w="11906" w:h="16838"/>
          <w:pgMar w:top="2098" w:right="1474" w:bottom="1985" w:left="1588" w:header="851" w:footer="992" w:gutter="0"/>
          <w:pgNumType w:fmt="numberInDash" w:start="1"/>
          <w:cols w:space="720" w:num="1"/>
          <w:titlePg/>
          <w:docGrid w:type="lines" w:linePitch="312" w:charSpace="0"/>
        </w:sectPr>
      </w:pPr>
    </w:p>
    <w:p>
      <w:pPr>
        <w:pStyle w:val="15"/>
        <w:numPr>
          <w:ilvl w:val="0"/>
          <w:numId w:val="1"/>
        </w:numPr>
        <w:adjustRightInd w:val="0"/>
        <w:snapToGrid w:val="0"/>
        <w:spacing w:line="500" w:lineRule="exact"/>
        <w:jc w:val="left"/>
        <w:rPr>
          <w:rFonts w:hint="eastAsia" w:ascii="仿宋_GB2312" w:eastAsia="仿宋_GB2312"/>
          <w:sz w:val="28"/>
          <w:szCs w:val="28"/>
          <w:lang w:val="en-US" w:eastAsia="zh-CN"/>
        </w:rPr>
      </w:pPr>
      <w:r>
        <w:rPr>
          <w:rFonts w:hint="eastAsia" w:ascii="仿宋_GB2312" w:eastAsia="仿宋_GB2312"/>
          <w:sz w:val="28"/>
          <w:szCs w:val="28"/>
        </w:rPr>
        <w:t>财政拨款收入支出决算总表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15"/>
        <w:numPr>
          <w:ilvl w:val="0"/>
          <w:numId w:val="1"/>
        </w:numPr>
        <w:adjustRightInd w:val="0"/>
        <w:snapToGrid w:val="0"/>
        <w:spacing w:line="500" w:lineRule="exact"/>
        <w:jc w:val="left"/>
        <w:rPr>
          <w:rFonts w:hint="eastAsia" w:ascii="仿宋_GB2312" w:eastAsia="仿宋_GB2312"/>
          <w:sz w:val="28"/>
          <w:szCs w:val="28"/>
          <w:lang w:eastAsia="zh-CN"/>
        </w:rPr>
      </w:pPr>
      <w:r>
        <w:rPr>
          <w:rFonts w:hint="eastAsia" w:ascii="仿宋_GB2312" w:eastAsia="仿宋_GB2312"/>
          <w:sz w:val="28"/>
          <w:szCs w:val="28"/>
        </w:rPr>
        <w:t>五、财政拨款支出决算明细表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15"/>
        <w:adjustRightInd w:val="0"/>
        <w:snapToGrid w:val="0"/>
        <w:spacing w:line="500" w:lineRule="exact"/>
        <w:jc w:val="left"/>
        <w:rPr>
          <w:rFonts w:hint="default" w:ascii="仿宋_GB2312" w:eastAsia="仿宋_GB2312"/>
          <w:sz w:val="28"/>
          <w:szCs w:val="28"/>
          <w:lang w:val="en-US" w:eastAsia="zh-CN"/>
        </w:rPr>
      </w:pPr>
      <w:r>
        <w:rPr>
          <w:rFonts w:hint="eastAsia" w:ascii="仿宋_GB2312" w:eastAsia="仿宋_GB2312"/>
          <w:sz w:val="28"/>
          <w:szCs w:val="28"/>
        </w:rPr>
        <w:t>六、一般公共预算财政拨款支出决算表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15"/>
        <w:adjustRightInd w:val="0"/>
        <w:snapToGrid w:val="0"/>
        <w:spacing w:line="500" w:lineRule="exact"/>
        <w:jc w:val="left"/>
        <w:rPr>
          <w:rFonts w:hint="default" w:ascii="仿宋_GB2312" w:eastAsia="仿宋_GB2312"/>
          <w:sz w:val="28"/>
          <w:szCs w:val="28"/>
          <w:lang w:val="en-US" w:eastAsia="zh-CN"/>
        </w:rPr>
      </w:pPr>
      <w:r>
        <w:rPr>
          <w:rFonts w:hint="eastAsia" w:ascii="仿宋_GB2312" w:eastAsia="仿宋_GB2312"/>
          <w:sz w:val="28"/>
          <w:szCs w:val="28"/>
        </w:rPr>
        <w:t>七、一般公共预算财政拨款支出决算明细表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15"/>
        <w:adjustRightInd w:val="0"/>
        <w:snapToGrid w:val="0"/>
        <w:spacing w:line="500" w:lineRule="exact"/>
        <w:jc w:val="left"/>
        <w:rPr>
          <w:rFonts w:hint="default" w:ascii="仿宋_GB2312" w:eastAsia="仿宋_GB2312"/>
          <w:sz w:val="28"/>
          <w:szCs w:val="28"/>
          <w:lang w:val="en-US" w:eastAsia="zh-CN"/>
        </w:rPr>
      </w:pPr>
      <w:r>
        <w:rPr>
          <w:rFonts w:hint="eastAsia" w:ascii="仿宋_GB2312" w:eastAsia="仿宋_GB2312"/>
          <w:sz w:val="28"/>
          <w:szCs w:val="28"/>
        </w:rPr>
        <w:t>八、一般公共预算财政拨款基本支出决算明细表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15"/>
        <w:adjustRightInd w:val="0"/>
        <w:snapToGrid w:val="0"/>
        <w:spacing w:line="500" w:lineRule="exact"/>
        <w:jc w:val="left"/>
        <w:rPr>
          <w:rFonts w:hint="default" w:ascii="仿宋_GB2312" w:eastAsia="仿宋_GB2312"/>
          <w:sz w:val="28"/>
          <w:szCs w:val="28"/>
          <w:lang w:val="en-US" w:eastAsia="zh-CN"/>
        </w:rPr>
      </w:pPr>
      <w:r>
        <w:rPr>
          <w:rFonts w:hint="eastAsia" w:ascii="仿宋_GB2312" w:eastAsia="仿宋_GB2312"/>
          <w:sz w:val="28"/>
          <w:szCs w:val="28"/>
        </w:rPr>
        <w:t>九、一般公共预算财政拨款项目支出决算表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15"/>
        <w:adjustRightInd w:val="0"/>
        <w:snapToGrid w:val="0"/>
        <w:spacing w:line="500" w:lineRule="exact"/>
        <w:jc w:val="left"/>
        <w:rPr>
          <w:rFonts w:hint="default" w:ascii="仿宋_GB2312" w:eastAsia="仿宋_GB2312"/>
          <w:sz w:val="28"/>
          <w:szCs w:val="28"/>
          <w:lang w:val="en-US" w:eastAsia="zh-CN"/>
        </w:rPr>
      </w:pPr>
      <w:r>
        <w:rPr>
          <w:rFonts w:hint="eastAsia" w:ascii="仿宋_GB2312" w:eastAsia="仿宋_GB2312"/>
          <w:sz w:val="28"/>
          <w:szCs w:val="28"/>
        </w:rPr>
        <w:t>十、政府性基金预算财政拨款收入支出决算表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15"/>
        <w:adjustRightInd w:val="0"/>
        <w:snapToGrid w:val="0"/>
        <w:spacing w:line="500" w:lineRule="exact"/>
        <w:jc w:val="left"/>
        <w:rPr>
          <w:rFonts w:hint="default" w:ascii="仿宋_GB2312" w:eastAsia="仿宋_GB2312"/>
          <w:sz w:val="28"/>
          <w:szCs w:val="28"/>
          <w:lang w:val="en-US" w:eastAsia="zh-CN"/>
        </w:rPr>
      </w:pPr>
      <w:r>
        <w:rPr>
          <w:rFonts w:hint="eastAsia" w:ascii="仿宋_GB2312" w:eastAsia="仿宋_GB2312"/>
          <w:sz w:val="28"/>
          <w:szCs w:val="28"/>
        </w:rPr>
        <w:t>十一、国有资本经营预算财政拨款收入支出决算表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15"/>
        <w:adjustRightInd w:val="0"/>
        <w:snapToGrid w:val="0"/>
        <w:spacing w:line="500" w:lineRule="exact"/>
        <w:jc w:val="left"/>
        <w:rPr>
          <w:rFonts w:hint="default" w:ascii="仿宋_GB2312" w:eastAsia="仿宋_GB2312"/>
          <w:sz w:val="28"/>
          <w:szCs w:val="28"/>
          <w:lang w:val="en-US" w:eastAsia="zh-CN"/>
        </w:rPr>
      </w:pPr>
      <w:r>
        <w:rPr>
          <w:rFonts w:hint="eastAsia" w:ascii="仿宋_GB2312" w:eastAsia="仿宋_GB2312"/>
          <w:sz w:val="28"/>
          <w:szCs w:val="28"/>
        </w:rPr>
        <w:t>十二、国有资本经营预算财政拨款支出决算表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15"/>
        <w:adjustRightInd w:val="0"/>
        <w:snapToGrid w:val="0"/>
        <w:spacing w:line="500" w:lineRule="exact"/>
        <w:jc w:val="left"/>
        <w:rPr>
          <w:rFonts w:hint="default" w:ascii="仿宋_GB2312" w:eastAsia="仿宋_GB2312"/>
          <w:sz w:val="28"/>
          <w:szCs w:val="28"/>
          <w:lang w:val="en-US" w:eastAsia="zh-CN"/>
        </w:rPr>
      </w:pPr>
      <w:r>
        <w:rPr>
          <w:rFonts w:hint="eastAsia" w:ascii="仿宋_GB2312" w:eastAsia="仿宋_GB2312"/>
          <w:sz w:val="28"/>
          <w:szCs w:val="28"/>
        </w:rPr>
        <w:t>十三、财政拨款“三公”经费支出决算表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3"/>
        <w:spacing w:before="0" w:after="0" w:line="240" w:lineRule="auto"/>
        <w:jc w:val="center"/>
        <w:rPr>
          <w:rFonts w:hint="eastAsia" w:ascii="黑体" w:hAnsi="黑体" w:eastAsia="黑体"/>
          <w:b w:val="0"/>
        </w:rPr>
        <w:sectPr>
          <w:footerReference r:id="rId6" w:type="first"/>
          <w:headerReference r:id="rId4" w:type="default"/>
          <w:footerReference r:id="rId5" w:type="default"/>
          <w:pgSz w:w="11906" w:h="16838"/>
          <w:pgMar w:top="2098" w:right="1474" w:bottom="1985" w:left="1588" w:header="851" w:footer="992" w:gutter="0"/>
          <w:pgNumType w:fmt="numberInDash" w:start="1"/>
          <w:cols w:space="425" w:num="1"/>
          <w:docGrid w:type="lines" w:linePitch="312" w:charSpace="0"/>
        </w:sectPr>
      </w:pPr>
    </w:p>
    <w:p>
      <w:pPr>
        <w:rPr>
          <w:rFonts w:hint="eastAsia"/>
        </w:rPr>
      </w:pPr>
    </w:p>
    <w:p>
      <w:pPr>
        <w:pStyle w:val="3"/>
        <w:spacing w:before="0" w:after="0" w:line="240" w:lineRule="auto"/>
        <w:jc w:val="center"/>
        <w:rPr>
          <w:rStyle w:val="29"/>
          <w:rFonts w:ascii="黑体" w:hAnsi="黑体" w:eastAsia="黑体"/>
          <w:b/>
          <w:bCs w:val="0"/>
        </w:rPr>
      </w:pPr>
      <w:r>
        <w:rPr>
          <w:rFonts w:hint="eastAsia" w:ascii="黑体" w:hAnsi="黑体" w:eastAsia="黑体"/>
          <w:b w:val="0"/>
        </w:rPr>
        <w:t xml:space="preserve">第一部分 </w:t>
      </w:r>
      <w:r>
        <w:rPr>
          <w:rFonts w:hint="eastAsia" w:ascii="黑体" w:hAnsi="黑体" w:eastAsia="黑体"/>
          <w:b w:val="0"/>
          <w:lang w:val="en-US" w:eastAsia="zh-CN"/>
        </w:rPr>
        <w:t xml:space="preserve"> </w:t>
      </w:r>
      <w:r>
        <w:rPr>
          <w:rFonts w:hint="eastAsia" w:ascii="黑体" w:hAnsi="黑体" w:eastAsia="黑体"/>
          <w:b w:val="0"/>
        </w:rPr>
        <w:t>单位</w:t>
      </w:r>
      <w:r>
        <w:rPr>
          <w:rStyle w:val="29"/>
          <w:rFonts w:hint="eastAsia" w:ascii="黑体" w:hAnsi="黑体" w:eastAsia="黑体"/>
          <w:b w:val="0"/>
          <w:bCs w:val="0"/>
        </w:rPr>
        <w:t>概况</w:t>
      </w:r>
      <w:bookmarkEnd w:id="1"/>
      <w:bookmarkEnd w:id="2"/>
    </w:p>
    <w:p>
      <w:pPr>
        <w:widowControl/>
        <w:jc w:val="left"/>
        <w:rPr>
          <w:rFonts w:ascii="黑体" w:eastAsia="黑体"/>
          <w:sz w:val="32"/>
          <w:szCs w:val="32"/>
        </w:rPr>
      </w:pPr>
    </w:p>
    <w:p>
      <w:pPr>
        <w:pStyle w:val="4"/>
        <w:spacing w:before="0" w:after="0" w:line="240" w:lineRule="auto"/>
        <w:ind w:firstLine="707" w:firstLineChars="221"/>
        <w:jc w:val="left"/>
        <w:rPr>
          <w:rStyle w:val="30"/>
          <w:rFonts w:ascii="黑体" w:hAnsi="黑体" w:eastAsia="黑体"/>
          <w:b w:val="0"/>
          <w:bCs w:val="0"/>
        </w:rPr>
      </w:pPr>
      <w:bookmarkStart w:id="9" w:name="_Toc15377197"/>
      <w:bookmarkStart w:id="10" w:name="_Toc15396600"/>
      <w:r>
        <w:rPr>
          <w:rStyle w:val="30"/>
          <w:rFonts w:hint="eastAsia" w:ascii="黑体" w:hAnsi="黑体" w:eastAsia="黑体"/>
          <w:b w:val="0"/>
          <w:bCs w:val="0"/>
        </w:rPr>
        <w:t>一、主要职责</w:t>
      </w:r>
    </w:p>
    <w:p>
      <w:pPr>
        <w:ind w:firstLine="684" w:firstLineChars="214"/>
        <w:jc w:val="left"/>
        <w:rPr>
          <w:rFonts w:hint="eastAsia" w:ascii="仿宋_GB2312" w:eastAsia="仿宋_GB2312"/>
          <w:sz w:val="32"/>
          <w:szCs w:val="32"/>
        </w:rPr>
      </w:pPr>
      <w:r>
        <w:rPr>
          <w:rFonts w:hint="eastAsia" w:ascii="仿宋_GB2312" w:eastAsia="仿宋_GB2312"/>
          <w:sz w:val="32"/>
          <w:szCs w:val="32"/>
        </w:rPr>
        <w:t>（一）负责区委日常文书的处理，督促检查市委和区委重要工作部署的贯彻落实情况，负责区委领导同志批示的转达和催办落实。</w:t>
      </w:r>
    </w:p>
    <w:p>
      <w:pPr>
        <w:ind w:firstLine="684" w:firstLineChars="214"/>
        <w:jc w:val="left"/>
        <w:rPr>
          <w:rFonts w:hint="eastAsia" w:ascii="仿宋_GB2312" w:eastAsia="仿宋_GB2312"/>
          <w:sz w:val="32"/>
          <w:szCs w:val="32"/>
        </w:rPr>
      </w:pPr>
      <w:r>
        <w:rPr>
          <w:rFonts w:hint="eastAsia" w:ascii="仿宋_GB2312" w:eastAsia="仿宋_GB2312"/>
          <w:sz w:val="32"/>
          <w:szCs w:val="32"/>
        </w:rPr>
        <w:t>（二）围绕市委和区委工作部署，收集信息、反映动态、综合调研；承担区委文件、文稿的起草、修改和校正工作；负责区委和区委办公室文件的印制、分发、管理等工作。</w:t>
      </w:r>
    </w:p>
    <w:p>
      <w:pPr>
        <w:ind w:firstLine="684" w:firstLineChars="214"/>
        <w:jc w:val="left"/>
        <w:rPr>
          <w:rFonts w:hint="eastAsia" w:ascii="仿宋_GB2312" w:eastAsia="仿宋_GB2312"/>
          <w:sz w:val="32"/>
          <w:szCs w:val="32"/>
        </w:rPr>
      </w:pPr>
      <w:r>
        <w:rPr>
          <w:rFonts w:hint="eastAsia" w:ascii="仿宋_GB2312" w:eastAsia="仿宋_GB2312"/>
          <w:sz w:val="32"/>
          <w:szCs w:val="32"/>
        </w:rPr>
        <w:t>（三）负责区委重要会议事务工作和区委领导同志参加重大活动的组织安排；负责区委的有关接待工作。</w:t>
      </w:r>
    </w:p>
    <w:p>
      <w:pPr>
        <w:ind w:firstLine="684" w:firstLineChars="214"/>
        <w:jc w:val="left"/>
        <w:rPr>
          <w:rFonts w:hint="eastAsia" w:ascii="仿宋_GB2312" w:eastAsia="仿宋_GB2312"/>
          <w:sz w:val="32"/>
          <w:szCs w:val="32"/>
        </w:rPr>
      </w:pPr>
      <w:r>
        <w:rPr>
          <w:rFonts w:hint="eastAsia" w:ascii="仿宋_GB2312" w:eastAsia="仿宋_GB2312"/>
          <w:sz w:val="32"/>
          <w:szCs w:val="32"/>
        </w:rPr>
        <w:t>（四）支持区委、区政府信访办公室受理和接待人民群众对区委和区委领导的来信来访，办理和协调处理信访案件。</w:t>
      </w:r>
    </w:p>
    <w:p>
      <w:pPr>
        <w:ind w:firstLine="684" w:firstLineChars="214"/>
        <w:jc w:val="left"/>
        <w:rPr>
          <w:rFonts w:hint="eastAsia" w:ascii="仿宋_GB2312" w:eastAsia="仿宋_GB2312"/>
          <w:sz w:val="32"/>
          <w:szCs w:val="32"/>
        </w:rPr>
      </w:pPr>
      <w:r>
        <w:rPr>
          <w:rFonts w:hint="eastAsia" w:ascii="仿宋_GB2312" w:eastAsia="仿宋_GB2312"/>
          <w:sz w:val="32"/>
          <w:szCs w:val="32"/>
        </w:rPr>
        <w:t>（五）负责信息、政研、督查工作。</w:t>
      </w:r>
    </w:p>
    <w:p>
      <w:pPr>
        <w:ind w:firstLine="684" w:firstLineChars="214"/>
        <w:jc w:val="left"/>
        <w:rPr>
          <w:rFonts w:hint="eastAsia" w:ascii="仿宋_GB2312" w:eastAsia="仿宋_GB2312"/>
          <w:sz w:val="32"/>
          <w:szCs w:val="32"/>
        </w:rPr>
      </w:pPr>
      <w:r>
        <w:rPr>
          <w:rFonts w:hint="eastAsia" w:ascii="仿宋_GB2312" w:eastAsia="仿宋_GB2312"/>
          <w:sz w:val="32"/>
          <w:szCs w:val="32"/>
        </w:rPr>
        <w:t>（六）负责安全防范、保密和综合治理工作。</w:t>
      </w:r>
    </w:p>
    <w:p>
      <w:pPr>
        <w:ind w:firstLine="684" w:firstLineChars="214"/>
        <w:jc w:val="left"/>
        <w:rPr>
          <w:rFonts w:hint="eastAsia" w:ascii="仿宋_GB2312" w:eastAsia="仿宋_GB2312"/>
          <w:sz w:val="32"/>
          <w:szCs w:val="32"/>
        </w:rPr>
      </w:pPr>
      <w:r>
        <w:rPr>
          <w:rFonts w:hint="eastAsia" w:ascii="仿宋_GB2312" w:eastAsia="仿宋_GB2312"/>
          <w:sz w:val="32"/>
          <w:szCs w:val="32"/>
        </w:rPr>
        <w:t>（七）负责区委领导的服务工作。</w:t>
      </w:r>
    </w:p>
    <w:p>
      <w:pPr>
        <w:ind w:firstLine="684" w:firstLineChars="214"/>
        <w:jc w:val="left"/>
        <w:rPr>
          <w:rFonts w:hint="eastAsia" w:ascii="仿宋_GB2312" w:eastAsia="仿宋_GB2312"/>
          <w:sz w:val="32"/>
          <w:szCs w:val="32"/>
        </w:rPr>
      </w:pPr>
      <w:r>
        <w:rPr>
          <w:rFonts w:hint="eastAsia" w:ascii="仿宋_GB2312" w:eastAsia="仿宋_GB2312"/>
          <w:sz w:val="32"/>
          <w:szCs w:val="32"/>
        </w:rPr>
        <w:t>（八）协调各部门工作关系。</w:t>
      </w:r>
    </w:p>
    <w:p>
      <w:pPr>
        <w:ind w:firstLine="684" w:firstLineChars="214"/>
        <w:jc w:val="left"/>
        <w:rPr>
          <w:rFonts w:hint="eastAsia" w:ascii="仿宋_GB2312" w:eastAsia="仿宋_GB2312"/>
          <w:sz w:val="32"/>
          <w:szCs w:val="32"/>
        </w:rPr>
      </w:pPr>
      <w:r>
        <w:rPr>
          <w:rFonts w:hint="eastAsia" w:ascii="仿宋_GB2312" w:eastAsia="仿宋_GB2312"/>
          <w:sz w:val="32"/>
          <w:szCs w:val="32"/>
        </w:rPr>
        <w:t>（九）负责机要通讯，保密宣传、教育、执法，以及信息网络建设和管理工作。</w:t>
      </w:r>
    </w:p>
    <w:p>
      <w:pPr>
        <w:ind w:firstLine="684" w:firstLineChars="214"/>
        <w:jc w:val="left"/>
        <w:rPr>
          <w:rFonts w:hint="eastAsia" w:ascii="仿宋_GB2312" w:eastAsia="仿宋_GB2312"/>
          <w:sz w:val="32"/>
          <w:szCs w:val="32"/>
        </w:rPr>
      </w:pPr>
      <w:r>
        <w:rPr>
          <w:rFonts w:hint="eastAsia" w:ascii="仿宋_GB2312" w:eastAsia="仿宋_GB2312"/>
          <w:sz w:val="32"/>
          <w:szCs w:val="32"/>
        </w:rPr>
        <w:t>（十）负责办公室机关党的思想、组织、作风建设和社会主义精神文件建设。</w:t>
      </w:r>
    </w:p>
    <w:p>
      <w:pPr>
        <w:ind w:firstLine="684" w:firstLineChars="214"/>
        <w:jc w:val="left"/>
        <w:rPr>
          <w:rFonts w:ascii="仿宋_GB2312" w:eastAsia="仿宋_GB2312"/>
          <w:bCs/>
          <w:color w:val="000000"/>
          <w:sz w:val="32"/>
          <w:szCs w:val="32"/>
        </w:rPr>
      </w:pPr>
      <w:r>
        <w:rPr>
          <w:rFonts w:hint="eastAsia" w:ascii="仿宋_GB2312" w:eastAsia="仿宋_GB2312"/>
          <w:sz w:val="32"/>
          <w:szCs w:val="32"/>
        </w:rPr>
        <w:t>（十一）承办区委交办的其它工作。</w:t>
      </w:r>
    </w:p>
    <w:p>
      <w:pPr>
        <w:ind w:firstLine="684" w:firstLineChars="214"/>
        <w:jc w:val="left"/>
        <w:rPr>
          <w:rFonts w:ascii="黑体" w:hAnsi="黑体" w:eastAsia="黑体"/>
          <w:sz w:val="32"/>
          <w:szCs w:val="32"/>
        </w:rPr>
      </w:pPr>
      <w:r>
        <w:rPr>
          <w:rFonts w:hint="eastAsia" w:ascii="黑体" w:hAnsi="黑体" w:eastAsia="黑体"/>
          <w:sz w:val="32"/>
          <w:szCs w:val="32"/>
        </w:rPr>
        <w:t>二、机构设置</w:t>
      </w:r>
    </w:p>
    <w:p>
      <w:pPr>
        <w:ind w:firstLine="684" w:firstLineChars="214"/>
        <w:jc w:val="left"/>
        <w:rPr>
          <w:rFonts w:ascii="仿宋_GB2312" w:eastAsia="仿宋_GB2312"/>
          <w:sz w:val="32"/>
          <w:szCs w:val="32"/>
        </w:rPr>
      </w:pPr>
      <w:r>
        <w:rPr>
          <w:rFonts w:hint="eastAsia" w:ascii="仿宋_GB2312" w:eastAsia="仿宋_GB2312"/>
          <w:sz w:val="32"/>
          <w:szCs w:val="32"/>
        </w:rPr>
        <w:t>区委办现有1个下属二级单位西区电子政务建设服务中心。设立了综合股一股、综合股二股、常委办公室、政策研究室、信息股、人事后勤股、保密机要局（股）等7个内设机构，下设区委全面深化改革委员会办公室、区委国家安全委员会办公室。</w:t>
      </w:r>
    </w:p>
    <w:bookmarkEnd w:id="9"/>
    <w:bookmarkEnd w:id="10"/>
    <w:p>
      <w:pPr>
        <w:pStyle w:val="3"/>
        <w:spacing w:before="0" w:after="0" w:line="240" w:lineRule="auto"/>
        <w:ind w:right="440"/>
        <w:rPr>
          <w:rFonts w:ascii="黑体" w:hAnsi="黑体" w:eastAsia="黑体"/>
          <w:b w:val="0"/>
        </w:rPr>
      </w:pPr>
      <w:bookmarkStart w:id="11" w:name="_Toc15377204"/>
      <w:bookmarkStart w:id="12" w:name="_Toc15396602"/>
    </w:p>
    <w:p>
      <w:pPr>
        <w:rPr>
          <w:rFonts w:ascii="黑体" w:hAnsi="黑体" w:eastAsia="黑体"/>
          <w:b w:val="0"/>
        </w:rPr>
      </w:pPr>
    </w:p>
    <w:p>
      <w:pPr>
        <w:pStyle w:val="2"/>
      </w:pPr>
    </w:p>
    <w:p>
      <w:pPr>
        <w:rPr>
          <w:rFonts w:ascii="黑体" w:hAnsi="黑体" w:eastAsia="黑体"/>
          <w:b w:val="0"/>
        </w:rPr>
      </w:pPr>
    </w:p>
    <w:p>
      <w:pPr>
        <w:rPr>
          <w:rFonts w:ascii="黑体" w:hAnsi="黑体" w:eastAsia="黑体"/>
          <w:b w:val="0"/>
        </w:rPr>
      </w:pPr>
    </w:p>
    <w:p>
      <w:pPr>
        <w:rPr>
          <w:rFonts w:ascii="黑体" w:hAnsi="黑体" w:eastAsia="黑体"/>
          <w:b w:val="0"/>
        </w:rPr>
      </w:pPr>
    </w:p>
    <w:p>
      <w:pPr>
        <w:rPr>
          <w:rFonts w:ascii="黑体" w:hAnsi="黑体" w:eastAsia="黑体"/>
          <w:b w:val="0"/>
        </w:rPr>
      </w:pPr>
    </w:p>
    <w:p>
      <w:pPr>
        <w:rPr>
          <w:rFonts w:ascii="黑体" w:hAnsi="黑体" w:eastAsia="黑体"/>
          <w:b w:val="0"/>
        </w:rPr>
      </w:pPr>
    </w:p>
    <w:p>
      <w:pPr>
        <w:rPr>
          <w:rFonts w:ascii="黑体" w:hAnsi="黑体" w:eastAsia="黑体"/>
          <w:b w:val="0"/>
        </w:rPr>
      </w:pPr>
    </w:p>
    <w:p>
      <w:pPr>
        <w:rPr>
          <w:rFonts w:ascii="黑体" w:hAnsi="黑体" w:eastAsia="黑体"/>
          <w:b w:val="0"/>
        </w:rPr>
      </w:pPr>
    </w:p>
    <w:p>
      <w:pPr>
        <w:rPr>
          <w:rFonts w:ascii="黑体" w:hAnsi="黑体" w:eastAsia="黑体"/>
          <w:b w:val="0"/>
        </w:rPr>
      </w:pPr>
    </w:p>
    <w:p>
      <w:pPr>
        <w:rPr>
          <w:rFonts w:ascii="黑体" w:hAnsi="黑体" w:eastAsia="黑体"/>
          <w:b w:val="0"/>
        </w:rPr>
      </w:pPr>
    </w:p>
    <w:p>
      <w:pPr>
        <w:rPr>
          <w:rFonts w:ascii="黑体" w:hAnsi="黑体" w:eastAsia="黑体"/>
          <w:b w:val="0"/>
        </w:rPr>
      </w:pPr>
    </w:p>
    <w:p>
      <w:pPr>
        <w:rPr>
          <w:rFonts w:ascii="黑体" w:hAnsi="黑体" w:eastAsia="黑体"/>
          <w:b w:val="0"/>
        </w:rPr>
      </w:pPr>
    </w:p>
    <w:p>
      <w:pPr>
        <w:rPr>
          <w:rFonts w:ascii="黑体" w:hAnsi="黑体" w:eastAsia="黑体"/>
          <w:b w:val="0"/>
        </w:rPr>
      </w:pPr>
    </w:p>
    <w:p>
      <w:pPr>
        <w:rPr>
          <w:rFonts w:ascii="黑体" w:hAnsi="黑体" w:eastAsia="黑体"/>
          <w:b w:val="0"/>
        </w:rPr>
      </w:pPr>
    </w:p>
    <w:p>
      <w:pPr>
        <w:rPr>
          <w:rFonts w:ascii="黑体" w:hAnsi="黑体" w:eastAsia="黑体"/>
          <w:b w:val="0"/>
        </w:rPr>
      </w:pPr>
    </w:p>
    <w:p>
      <w:pPr>
        <w:rPr>
          <w:rFonts w:ascii="黑体" w:hAnsi="黑体" w:eastAsia="黑体"/>
          <w:b w:val="0"/>
        </w:rPr>
      </w:pPr>
    </w:p>
    <w:p>
      <w:pPr>
        <w:rPr>
          <w:rFonts w:ascii="黑体" w:hAnsi="黑体" w:eastAsia="黑体"/>
          <w:b w:val="0"/>
        </w:rPr>
      </w:pPr>
    </w:p>
    <w:p>
      <w:pPr>
        <w:rPr>
          <w:rFonts w:ascii="黑体" w:hAnsi="黑体" w:eastAsia="黑体"/>
          <w:b w:val="0"/>
        </w:rPr>
      </w:pPr>
    </w:p>
    <w:p>
      <w:pPr>
        <w:rPr>
          <w:rFonts w:ascii="黑体" w:hAnsi="黑体" w:eastAsia="黑体"/>
          <w:b w:val="0"/>
        </w:rPr>
      </w:pPr>
    </w:p>
    <w:p>
      <w:pPr>
        <w:pStyle w:val="3"/>
        <w:spacing w:before="0" w:after="0" w:line="240" w:lineRule="auto"/>
        <w:ind w:right="24" w:rightChars="0"/>
        <w:jc w:val="center"/>
        <w:rPr>
          <w:rStyle w:val="29"/>
          <w:rFonts w:ascii="黑体" w:hAnsi="黑体" w:eastAsia="黑体"/>
          <w:b w:val="0"/>
          <w:bCs/>
        </w:rPr>
      </w:pPr>
      <w:r>
        <w:rPr>
          <w:rFonts w:hint="eastAsia" w:ascii="黑体" w:hAnsi="黑体" w:eastAsia="黑体"/>
          <w:b w:val="0"/>
        </w:rPr>
        <w:t>第二部分 2023年度</w:t>
      </w:r>
      <w:r>
        <w:rPr>
          <w:rStyle w:val="29"/>
          <w:rFonts w:hint="eastAsia" w:ascii="黑体" w:hAnsi="黑体" w:eastAsia="黑体"/>
          <w:b w:val="0"/>
          <w:bCs/>
        </w:rPr>
        <w:t>部门决算情况说明</w:t>
      </w:r>
      <w:bookmarkEnd w:id="11"/>
      <w:bookmarkEnd w:id="12"/>
    </w:p>
    <w:p>
      <w:pPr>
        <w:rPr>
          <w:sz w:val="32"/>
          <w:szCs w:val="32"/>
        </w:rPr>
      </w:pPr>
    </w:p>
    <w:p>
      <w:pPr>
        <w:pStyle w:val="28"/>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jc w:val="left"/>
        <w:textAlignment w:val="auto"/>
        <w:outlineLvl w:val="1"/>
        <w:rPr>
          <w:rStyle w:val="30"/>
          <w:rFonts w:ascii="黑体" w:hAnsi="黑体" w:eastAsia="黑体"/>
          <w:b w:val="0"/>
        </w:rPr>
      </w:pPr>
      <w:bookmarkStart w:id="13" w:name="_Toc15377205"/>
      <w:bookmarkStart w:id="14" w:name="_Toc15396603"/>
      <w:r>
        <w:rPr>
          <w:rFonts w:hint="eastAsia" w:ascii="黑体" w:hAnsi="黑体" w:eastAsia="黑体"/>
          <w:sz w:val="32"/>
          <w:szCs w:val="32"/>
        </w:rPr>
        <w:t>收</w:t>
      </w:r>
      <w:r>
        <w:rPr>
          <w:rStyle w:val="30"/>
          <w:rFonts w:hint="eastAsia" w:ascii="黑体" w:hAnsi="黑体" w:eastAsia="黑体"/>
          <w:b w:val="0"/>
        </w:rPr>
        <w:t>入支出决算总体情况说明</w:t>
      </w:r>
      <w:bookmarkEnd w:id="13"/>
      <w:bookmarkEnd w:id="1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2023年度收</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、支出总计均为861.15万元。与2022年度相比，收、支总计增加32.39万元，增长3.9</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%，主要变动原因是因人员变化，</w:t>
      </w:r>
      <w:r>
        <w:rPr>
          <w:rFonts w:hint="eastAsia" w:ascii="仿宋_GB2312" w:hAnsi="仿宋_GB2312" w:eastAsia="仿宋_GB2312" w:cs="仿宋_GB2312"/>
          <w:sz w:val="33"/>
          <w:szCs w:val="33"/>
        </w:rPr>
        <w:t>人员经费支出较</w:t>
      </w:r>
      <w:r>
        <w:rPr>
          <w:rFonts w:hint="eastAsia" w:ascii="仿宋_GB2312" w:hAnsi="仿宋_GB2312" w:eastAsia="仿宋_GB2312" w:cs="仿宋_GB2312"/>
          <w:sz w:val="33"/>
          <w:szCs w:val="33"/>
          <w:highlight w:val="none"/>
          <w:lang w:eastAsia="zh-CN"/>
        </w:rPr>
        <w:t>去</w:t>
      </w:r>
      <w:r>
        <w:rPr>
          <w:rFonts w:hint="eastAsia" w:ascii="仿宋_GB2312" w:hAnsi="仿宋_GB2312" w:eastAsia="仿宋_GB2312" w:cs="仿宋_GB2312"/>
          <w:sz w:val="33"/>
          <w:szCs w:val="33"/>
        </w:rPr>
        <w:t>年同比增长19.3%；公用经费支出较</w:t>
      </w:r>
      <w:r>
        <w:rPr>
          <w:rFonts w:hint="eastAsia" w:ascii="仿宋_GB2312" w:hAnsi="仿宋_GB2312" w:eastAsia="仿宋_GB2312" w:cs="仿宋_GB2312"/>
          <w:sz w:val="33"/>
          <w:szCs w:val="33"/>
          <w:highlight w:val="none"/>
          <w:lang w:eastAsia="zh-CN"/>
        </w:rPr>
        <w:t>去</w:t>
      </w:r>
      <w:r>
        <w:rPr>
          <w:rFonts w:hint="eastAsia" w:ascii="仿宋_GB2312" w:hAnsi="仿宋_GB2312" w:eastAsia="仿宋_GB2312" w:cs="仿宋_GB2312"/>
          <w:sz w:val="33"/>
          <w:szCs w:val="33"/>
        </w:rPr>
        <w:t>年同比增长43%</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图 1：收入、支出决算总计变动情况图（单位：万元）</w:t>
      </w:r>
    </w:p>
    <w:p>
      <w:pPr>
        <w:ind w:left="640"/>
        <w:outlineLvl w:val="1"/>
        <w:rPr>
          <w:rFonts w:ascii="黑体" w:hAnsi="黑体" w:eastAsia="黑体"/>
          <w:sz w:val="32"/>
          <w:szCs w:val="32"/>
        </w:rPr>
      </w:pPr>
      <w:bookmarkStart w:id="15" w:name="_Toc15396604"/>
      <w:bookmarkStart w:id="16" w:name="_Toc15377206"/>
      <w:r>
        <w:rPr>
          <w:rFonts w:ascii="黑体" w:hAnsi="黑体" w:eastAsia="黑体"/>
          <w:sz w:val="32"/>
          <w:szCs w:val="32"/>
        </w:rPr>
        <w:drawing>
          <wp:inline distT="0" distB="0" distL="0" distR="0">
            <wp:extent cx="4572000" cy="2545080"/>
            <wp:effectExtent l="19050" t="0" r="19050" b="76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left="640"/>
        <w:jc w:val="left"/>
        <w:textAlignment w:val="auto"/>
        <w:outlineLvl w:val="1"/>
        <w:rPr>
          <w:rStyle w:val="30"/>
          <w:rFonts w:ascii="黑体" w:hAnsi="黑体" w:eastAsia="黑体"/>
          <w:b w:val="0"/>
        </w:rPr>
      </w:pPr>
      <w:r>
        <w:rPr>
          <w:rFonts w:hint="eastAsia" w:ascii="黑体" w:hAnsi="黑体" w:eastAsia="黑体"/>
          <w:sz w:val="32"/>
          <w:szCs w:val="32"/>
        </w:rPr>
        <w:t>二、收</w:t>
      </w:r>
      <w:r>
        <w:rPr>
          <w:rStyle w:val="30"/>
          <w:rFonts w:hint="eastAsia" w:ascii="黑体" w:hAnsi="黑体" w:eastAsia="黑体"/>
          <w:b w:val="0"/>
        </w:rPr>
        <w:t>入决算情况说明</w:t>
      </w:r>
      <w:bookmarkEnd w:id="15"/>
      <w:bookmarkEnd w:id="1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2023年度本年收入合计</w:t>
      </w:r>
      <w:r>
        <w:rPr>
          <w:rFonts w:hint="eastAsia" w:ascii="仿宋_GB2312" w:hAnsi="仿宋_GB2312" w:eastAsia="仿宋_GB2312" w:cs="仿宋_GB2312"/>
          <w:b/>
          <w:sz w:val="32"/>
          <w:szCs w:val="32"/>
        </w:rPr>
        <w:t>727.64</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b/>
          <w:sz w:val="32"/>
          <w:szCs w:val="32"/>
        </w:rPr>
        <w:t>679.31</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93.</w:t>
      </w:r>
      <w:r>
        <w:rPr>
          <w:rFonts w:hint="eastAsia" w:ascii="仿宋_GB2312" w:hAnsi="仿宋_GB2312" w:eastAsia="仿宋_GB2312" w:cs="仿宋_GB2312"/>
          <w:b/>
          <w:sz w:val="32"/>
          <w:szCs w:val="32"/>
          <w:lang w:val="en-US" w:eastAsia="zh-CN"/>
        </w:rPr>
        <w:t>36</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；政府性基金预算财政拨款收入</w:t>
      </w:r>
      <w:r>
        <w:rPr>
          <w:rFonts w:hint="eastAsia" w:ascii="仿宋_GB2312" w:hAnsi="仿宋_GB2312" w:eastAsia="仿宋_GB2312" w:cs="仿宋_GB2312"/>
          <w:b/>
          <w:sz w:val="32"/>
          <w:szCs w:val="32"/>
        </w:rPr>
        <w:t>48.33</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6.6</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sz w:val="32"/>
          <w:szCs w:val="32"/>
        </w:rPr>
        <w:t>%；国有资本经营预算财政拨款收入</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万元，占0%；事业收入</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图 2：收入决算结构图（单位：万元）</w:t>
      </w:r>
    </w:p>
    <w:p>
      <w:pPr>
        <w:pStyle w:val="28"/>
        <w:ind w:firstLine="566" w:firstLineChars="177"/>
        <w:jc w:val="left"/>
        <w:outlineLvl w:val="1"/>
        <w:rPr>
          <w:rFonts w:ascii="黑体" w:hAnsi="黑体" w:eastAsia="黑体"/>
          <w:sz w:val="32"/>
          <w:szCs w:val="32"/>
        </w:rPr>
      </w:pPr>
      <w:bookmarkStart w:id="17" w:name="_Toc15377207"/>
      <w:bookmarkStart w:id="18" w:name="_Toc15396605"/>
      <w:r>
        <w:rPr>
          <w:rFonts w:ascii="黑体" w:hAnsi="黑体" w:eastAsia="黑体"/>
          <w:sz w:val="32"/>
          <w:szCs w:val="32"/>
        </w:rPr>
        <w:drawing>
          <wp:inline distT="0" distB="0" distL="0" distR="0">
            <wp:extent cx="4572000" cy="274320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8"/>
        <w:keepNext w:val="0"/>
        <w:keepLines w:val="0"/>
        <w:pageBreakBefore w:val="0"/>
        <w:widowControl w:val="0"/>
        <w:kinsoku/>
        <w:wordWrap/>
        <w:overflowPunct/>
        <w:topLinePunct w:val="0"/>
        <w:autoSpaceDE/>
        <w:autoSpaceDN/>
        <w:bidi w:val="0"/>
        <w:adjustRightInd/>
        <w:snapToGrid/>
        <w:spacing w:line="600" w:lineRule="exact"/>
        <w:ind w:firstLine="566" w:firstLineChars="177"/>
        <w:jc w:val="left"/>
        <w:textAlignment w:val="auto"/>
        <w:outlineLvl w:val="1"/>
        <w:rPr>
          <w:rStyle w:val="30"/>
          <w:rFonts w:ascii="黑体" w:hAnsi="黑体" w:eastAsia="黑体"/>
          <w:b w:val="0"/>
        </w:rPr>
      </w:pPr>
      <w:r>
        <w:rPr>
          <w:rFonts w:hint="eastAsia" w:ascii="黑体" w:hAnsi="黑体" w:eastAsia="黑体"/>
          <w:sz w:val="32"/>
          <w:szCs w:val="32"/>
        </w:rPr>
        <w:t>三、支</w:t>
      </w:r>
      <w:r>
        <w:rPr>
          <w:rStyle w:val="30"/>
          <w:rFonts w:hint="eastAsia" w:ascii="黑体" w:hAnsi="黑体" w:eastAsia="黑体"/>
          <w:b w:val="0"/>
        </w:rPr>
        <w:t>出决算情况说明</w:t>
      </w:r>
      <w:bookmarkEnd w:id="17"/>
      <w:bookmarkEnd w:id="1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2023年度本年支出合计</w:t>
      </w:r>
      <w:r>
        <w:rPr>
          <w:rFonts w:hint="eastAsia" w:ascii="仿宋_GB2312" w:hAnsi="仿宋_GB2312" w:eastAsia="仿宋_GB2312" w:cs="仿宋_GB2312"/>
          <w:b/>
          <w:sz w:val="32"/>
          <w:szCs w:val="32"/>
        </w:rPr>
        <w:t>861.15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b/>
          <w:sz w:val="32"/>
          <w:szCs w:val="32"/>
        </w:rPr>
        <w:t>679.31</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78.88</w:t>
      </w:r>
      <w:r>
        <w:rPr>
          <w:rFonts w:hint="eastAsia" w:ascii="仿宋_GB2312" w:hAnsi="仿宋_GB2312" w:eastAsia="仿宋_GB2312" w:cs="仿宋_GB2312"/>
          <w:sz w:val="32"/>
          <w:szCs w:val="32"/>
        </w:rPr>
        <w:t>%；项目支出</w:t>
      </w:r>
      <w:r>
        <w:rPr>
          <w:rFonts w:hint="eastAsia" w:ascii="仿宋_GB2312" w:hAnsi="仿宋_GB2312" w:eastAsia="仿宋_GB2312" w:cs="仿宋_GB2312"/>
          <w:b/>
          <w:sz w:val="32"/>
          <w:szCs w:val="32"/>
        </w:rPr>
        <w:t>181.8</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21.1</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图 3：支出决算结构图（单位：万元）</w:t>
      </w:r>
    </w:p>
    <w:p>
      <w:pPr>
        <w:ind w:firstLine="640"/>
        <w:rPr>
          <w:rFonts w:ascii="仿宋" w:hAnsi="仿宋" w:eastAsia="仿宋"/>
          <w:sz w:val="32"/>
          <w:szCs w:val="32"/>
          <w:shd w:val="pct10" w:color="auto" w:fill="FFFFFF"/>
        </w:rPr>
      </w:pPr>
      <w:r>
        <w:drawing>
          <wp:inline distT="0" distB="0" distL="114300" distR="114300">
            <wp:extent cx="4572000" cy="2066290"/>
            <wp:effectExtent l="5080" t="4445" r="13970" b="571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Style w:val="30"/>
          <w:rFonts w:ascii="黑体" w:hAnsi="黑体" w:eastAsia="黑体"/>
          <w:b w:val="0"/>
        </w:rPr>
      </w:pPr>
      <w:bookmarkStart w:id="19" w:name="_Toc15377208"/>
      <w:bookmarkStart w:id="20" w:name="_Toc15396606"/>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19"/>
      <w:bookmarkEnd w:id="2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2023年度财政拨款收</w:t>
      </w:r>
      <w:r>
        <w:rPr>
          <w:rFonts w:hint="eastAsia" w:ascii="仿宋_GB2312" w:hAnsi="仿宋_GB2312" w:eastAsia="仿宋_GB2312" w:cs="仿宋_GB2312"/>
          <w:sz w:val="32"/>
          <w:szCs w:val="32"/>
          <w:lang w:val="en-US" w:eastAsia="zh-CN"/>
        </w:rPr>
        <w:t>入</w:t>
      </w:r>
      <w:r>
        <w:rPr>
          <w:rFonts w:hint="eastAsia" w:ascii="仿宋_GB2312" w:hAnsi="仿宋_GB2312" w:eastAsia="仿宋_GB2312" w:cs="仿宋_GB2312"/>
          <w:sz w:val="32"/>
          <w:szCs w:val="32"/>
        </w:rPr>
        <w:t>、支出总计均为861.15万元。与2022年度相比，财政拨款收入总计减少101.12万元，下降12.2%，主要变动原因是</w:t>
      </w:r>
      <w:r>
        <w:rPr>
          <w:rFonts w:hint="eastAsia" w:ascii="仿宋_GB2312" w:hAnsi="仿宋_GB2312" w:eastAsia="仿宋_GB2312" w:cs="仿宋_GB2312"/>
          <w:sz w:val="33"/>
          <w:szCs w:val="33"/>
        </w:rPr>
        <w:t>使用调整后年初结转和结余支付新增项目款项</w:t>
      </w:r>
      <w:r>
        <w:rPr>
          <w:rFonts w:hint="eastAsia" w:ascii="仿宋_GB2312" w:hAnsi="仿宋_GB2312" w:eastAsia="仿宋_GB2312" w:cs="仿宋_GB2312"/>
          <w:sz w:val="32"/>
          <w:szCs w:val="32"/>
        </w:rPr>
        <w:t>133.51万元；支出总计增加32.39万元，增长3.9</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3"/>
          <w:szCs w:val="33"/>
        </w:rPr>
        <w:t>人员经费支出较去年同比增长19.3</w:t>
      </w:r>
      <w:r>
        <w:rPr>
          <w:rFonts w:hint="eastAsia" w:ascii="仿宋_GB2312" w:hAnsi="仿宋_GB2312" w:eastAsia="仿宋_GB2312" w:cs="仿宋_GB2312"/>
          <w:sz w:val="33"/>
          <w:szCs w:val="33"/>
          <w:lang w:val="en-US" w:eastAsia="zh-CN"/>
        </w:rPr>
        <w:t>2</w:t>
      </w:r>
      <w:r>
        <w:rPr>
          <w:rFonts w:hint="eastAsia" w:ascii="仿宋_GB2312" w:hAnsi="仿宋_GB2312" w:eastAsia="仿宋_GB2312" w:cs="仿宋_GB2312"/>
          <w:sz w:val="33"/>
          <w:szCs w:val="33"/>
        </w:rPr>
        <w:t>%；公用经费支出较去年同比增长4</w:t>
      </w:r>
      <w:r>
        <w:rPr>
          <w:rFonts w:hint="eastAsia" w:ascii="仿宋_GB2312" w:hAnsi="仿宋_GB2312" w:eastAsia="仿宋_GB2312" w:cs="仿宋_GB2312"/>
          <w:sz w:val="33"/>
          <w:szCs w:val="33"/>
          <w:lang w:val="en-US" w:eastAsia="zh-CN"/>
        </w:rPr>
        <w:t>2.98</w:t>
      </w:r>
      <w:r>
        <w:rPr>
          <w:rFonts w:hint="eastAsia" w:ascii="仿宋_GB2312" w:hAnsi="仿宋_GB2312" w:eastAsia="仿宋_GB2312" w:cs="仿宋_GB2312"/>
          <w:sz w:val="33"/>
          <w:szCs w:val="33"/>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图 4：财政拨款收、支总计变动情况（单位：万元）</w:t>
      </w:r>
    </w:p>
    <w:p>
      <w:pPr>
        <w:ind w:firstLine="643" w:firstLineChars="200"/>
        <w:outlineLvl w:val="1"/>
        <w:rPr>
          <w:rFonts w:ascii="黑体" w:hAnsi="黑体" w:eastAsia="黑体"/>
          <w:sz w:val="32"/>
          <w:szCs w:val="32"/>
        </w:rPr>
      </w:pPr>
      <w:bookmarkStart w:id="21" w:name="_Toc15396607"/>
      <w:bookmarkStart w:id="22" w:name="_Toc15377209"/>
      <w:r>
        <w:rPr>
          <w:rFonts w:ascii="仿宋" w:hAnsi="仿宋" w:eastAsia="仿宋"/>
          <w:b/>
          <w:sz w:val="32"/>
          <w:szCs w:val="32"/>
        </w:rPr>
        <w:drawing>
          <wp:inline distT="0" distB="0" distL="0" distR="0">
            <wp:extent cx="4572000" cy="2606040"/>
            <wp:effectExtent l="19050" t="0" r="19050" b="3810"/>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outlineLvl w:val="1"/>
        <w:rPr>
          <w:rStyle w:val="30"/>
          <w:rFonts w:ascii="黑体" w:hAnsi="黑体" w:eastAsia="黑体"/>
          <w:b w:val="0"/>
        </w:rPr>
      </w:pPr>
      <w:r>
        <w:rPr>
          <w:rFonts w:hint="eastAsia" w:ascii="黑体" w:hAnsi="黑体" w:eastAsia="黑体"/>
          <w:sz w:val="32"/>
          <w:szCs w:val="32"/>
        </w:rPr>
        <w:t>五、</w:t>
      </w:r>
      <w:r>
        <w:rPr>
          <w:rStyle w:val="30"/>
          <w:rFonts w:hint="eastAsia" w:ascii="黑体" w:hAnsi="黑体" w:eastAsia="黑体"/>
          <w:b w:val="0"/>
        </w:rPr>
        <w:t>般公共预算财政拨款支出决算情况说明</w:t>
      </w:r>
      <w:bookmarkEnd w:id="21"/>
      <w:bookmarkEnd w:id="22"/>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outlineLvl w:val="2"/>
        <w:rPr>
          <w:rFonts w:hint="eastAsia" w:ascii="楷体_GB2312" w:hAnsi="楷体_GB2312" w:eastAsia="楷体_GB2312" w:cs="楷体_GB2312"/>
          <w:b w:val="0"/>
          <w:bCs/>
          <w:sz w:val="32"/>
          <w:szCs w:val="32"/>
        </w:rPr>
      </w:pPr>
      <w:bookmarkStart w:id="23" w:name="_Toc15377210"/>
      <w:r>
        <w:rPr>
          <w:rFonts w:hint="eastAsia" w:ascii="楷体_GB2312" w:hAnsi="楷体_GB2312" w:eastAsia="楷体_GB2312" w:cs="楷体_GB2312"/>
          <w:b w:val="0"/>
          <w:bCs/>
          <w:sz w:val="32"/>
          <w:szCs w:val="32"/>
        </w:rPr>
        <w:t>（一）一般公共预算财政拨款支出决算总体情况</w:t>
      </w:r>
      <w:bookmarkEnd w:id="23"/>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2023年度一般公共预算财政拨款支出</w:t>
      </w:r>
      <w:r>
        <w:rPr>
          <w:rFonts w:hint="eastAsia" w:ascii="仿宋_GB2312" w:hAnsi="仿宋_GB2312" w:eastAsia="仿宋_GB2312" w:cs="仿宋_GB2312"/>
          <w:b/>
          <w:sz w:val="32"/>
          <w:szCs w:val="32"/>
        </w:rPr>
        <w:t>769.03</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b/>
          <w:sz w:val="32"/>
          <w:szCs w:val="32"/>
        </w:rPr>
        <w:t>89.3</w:t>
      </w:r>
      <w:r>
        <w:rPr>
          <w:rFonts w:hint="eastAsia" w:ascii="仿宋_GB2312" w:hAnsi="仿宋_GB2312" w:eastAsia="仿宋_GB2312" w:cs="仿宋_GB2312"/>
          <w:sz w:val="32"/>
          <w:szCs w:val="32"/>
        </w:rPr>
        <w:t>%。与2022年度相比，一般公共预算财政拨款支出增加208.02万元，增长37.</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%，主要变动原因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一是</w:t>
      </w:r>
      <w:r>
        <w:rPr>
          <w:rFonts w:hint="eastAsia" w:ascii="仿宋_GB2312" w:hAnsi="仿宋_GB2312" w:eastAsia="仿宋_GB2312" w:cs="仿宋_GB2312"/>
          <w:sz w:val="33"/>
          <w:szCs w:val="33"/>
        </w:rPr>
        <w:t>支付2022年度公务员医疗补助，二是</w:t>
      </w:r>
      <w:r>
        <w:rPr>
          <w:rFonts w:hint="eastAsia" w:ascii="仿宋_GB2312" w:hAnsi="仿宋_GB2312" w:eastAsia="仿宋_GB2312" w:cs="仿宋_GB2312"/>
          <w:sz w:val="32"/>
          <w:szCs w:val="32"/>
        </w:rPr>
        <w:t>在职人员工资正常增长后养老保险等社保缴费基数调增。</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left"/>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图 5：</w:t>
      </w:r>
      <w:r>
        <w:rPr>
          <w:rFonts w:hint="eastAsia" w:ascii="仿宋_GB2312" w:hAnsi="仿宋_GB2312" w:eastAsia="仿宋_GB2312" w:cs="仿宋_GB2312"/>
          <w:b/>
          <w:bCs/>
          <w:sz w:val="32"/>
          <w:szCs w:val="32"/>
        </w:rPr>
        <w:t>一般公共预算财政拨款支出变动情况表（单位：万元）</w:t>
      </w:r>
    </w:p>
    <w:p>
      <w:pPr>
        <w:ind w:firstLine="640" w:firstLineChars="200"/>
        <w:rPr>
          <w:rFonts w:ascii="仿宋" w:hAnsi="仿宋" w:eastAsia="仿宋"/>
          <w:sz w:val="32"/>
          <w:szCs w:val="32"/>
        </w:rPr>
      </w:pPr>
      <w:r>
        <w:rPr>
          <w:rFonts w:ascii="仿宋" w:hAnsi="仿宋" w:eastAsia="仿宋"/>
          <w:sz w:val="32"/>
          <w:szCs w:val="32"/>
        </w:rPr>
        <w:drawing>
          <wp:inline distT="0" distB="0" distL="0" distR="0">
            <wp:extent cx="4572000" cy="2743200"/>
            <wp:effectExtent l="4445" t="4445" r="14605" b="14605"/>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sz w:val="32"/>
          <w:szCs w:val="32"/>
        </w:rPr>
      </w:pPr>
      <w:bookmarkStart w:id="24" w:name="_Toc15377211"/>
      <w:r>
        <w:rPr>
          <w:rFonts w:hint="eastAsia" w:ascii="楷体_GB2312" w:hAnsi="楷体_GB2312" w:eastAsia="楷体_GB2312" w:cs="楷体_GB2312"/>
          <w:b w:val="0"/>
          <w:bCs/>
          <w:sz w:val="32"/>
          <w:szCs w:val="32"/>
        </w:rPr>
        <w:t>（二）一般公共预算财政拨款支出决算结构情况</w:t>
      </w:r>
      <w:bookmarkEnd w:id="24"/>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2023年度一般公共预算财政拨款支出</w:t>
      </w:r>
      <w:r>
        <w:rPr>
          <w:rFonts w:hint="eastAsia" w:ascii="仿宋_GB2312" w:hAnsi="仿宋_GB2312" w:eastAsia="仿宋_GB2312" w:cs="仿宋_GB2312"/>
          <w:b/>
          <w:sz w:val="32"/>
          <w:szCs w:val="32"/>
        </w:rPr>
        <w:t>769.03</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b/>
          <w:sz w:val="32"/>
          <w:szCs w:val="32"/>
        </w:rPr>
        <w:t>一般公共服务</w:t>
      </w:r>
      <w:r>
        <w:rPr>
          <w:rFonts w:hint="eastAsia" w:ascii="仿宋_GB2312" w:hAnsi="仿宋_GB2312" w:eastAsia="仿宋_GB2312" w:cs="仿宋_GB2312"/>
          <w:b/>
          <w:bCs/>
          <w:sz w:val="32"/>
          <w:szCs w:val="32"/>
        </w:rPr>
        <w:t>支出</w:t>
      </w:r>
      <w:r>
        <w:rPr>
          <w:rFonts w:hint="eastAsia" w:ascii="仿宋_GB2312" w:hAnsi="仿宋_GB2312" w:eastAsia="仿宋_GB2312" w:cs="仿宋_GB2312"/>
          <w:sz w:val="32"/>
          <w:szCs w:val="32"/>
        </w:rPr>
        <w:t>597.04万元，占77.6</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教育支出</w:t>
      </w:r>
      <w:r>
        <w:rPr>
          <w:rFonts w:hint="eastAsia" w:ascii="仿宋_GB2312" w:hAnsi="仿宋_GB2312" w:eastAsia="仿宋_GB2312" w:cs="仿宋_GB2312"/>
          <w:sz w:val="32"/>
          <w:szCs w:val="32"/>
        </w:rPr>
        <w:t>0万元，占0%；</w:t>
      </w:r>
      <w:r>
        <w:rPr>
          <w:rFonts w:hint="eastAsia" w:ascii="仿宋_GB2312" w:hAnsi="仿宋_GB2312" w:eastAsia="仿宋_GB2312" w:cs="仿宋_GB2312"/>
          <w:b/>
          <w:sz w:val="32"/>
          <w:szCs w:val="32"/>
        </w:rPr>
        <w:t>科学技术</w:t>
      </w:r>
      <w:r>
        <w:rPr>
          <w:rFonts w:hint="eastAsia" w:ascii="仿宋_GB2312" w:hAnsi="仿宋_GB2312" w:eastAsia="仿宋_GB2312" w:cs="仿宋_GB2312"/>
          <w:b/>
          <w:bCs/>
          <w:sz w:val="32"/>
          <w:szCs w:val="32"/>
        </w:rPr>
        <w:t>支出</w:t>
      </w:r>
      <w:r>
        <w:rPr>
          <w:rFonts w:hint="eastAsia" w:ascii="仿宋_GB2312" w:hAnsi="仿宋_GB2312" w:eastAsia="仿宋_GB2312" w:cs="仿宋_GB2312"/>
          <w:sz w:val="32"/>
          <w:szCs w:val="32"/>
        </w:rPr>
        <w:t>0万元，占0%；</w:t>
      </w:r>
      <w:r>
        <w:rPr>
          <w:rFonts w:hint="eastAsia" w:ascii="仿宋_GB2312" w:hAnsi="仿宋_GB2312" w:eastAsia="仿宋_GB2312" w:cs="仿宋_GB2312"/>
          <w:b/>
          <w:bCs/>
          <w:sz w:val="32"/>
          <w:szCs w:val="32"/>
        </w:rPr>
        <w:t>文化旅游体育与传媒支出0万元，占0%</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社会保障和就业</w:t>
      </w:r>
      <w:r>
        <w:rPr>
          <w:rFonts w:hint="eastAsia" w:ascii="仿宋_GB2312" w:hAnsi="仿宋_GB2312" w:eastAsia="仿宋_GB2312" w:cs="仿宋_GB2312"/>
          <w:b/>
          <w:bCs/>
          <w:sz w:val="32"/>
          <w:szCs w:val="32"/>
        </w:rPr>
        <w:t>支出</w:t>
      </w:r>
      <w:r>
        <w:rPr>
          <w:rFonts w:hint="eastAsia" w:ascii="仿宋_GB2312" w:hAnsi="仿宋_GB2312" w:eastAsia="仿宋_GB2312" w:cs="仿宋_GB2312"/>
          <w:sz w:val="32"/>
          <w:szCs w:val="32"/>
        </w:rPr>
        <w:t>69.16万元，占</w:t>
      </w:r>
      <w:r>
        <w:rPr>
          <w:rFonts w:hint="eastAsia" w:ascii="仿宋_GB2312" w:hAnsi="仿宋_GB2312" w:eastAsia="仿宋_GB2312" w:cs="仿宋_GB2312"/>
          <w:sz w:val="32"/>
          <w:szCs w:val="32"/>
          <w:lang w:val="en-US" w:eastAsia="zh-CN"/>
        </w:rPr>
        <w:t>8.99</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sz w:val="32"/>
          <w:szCs w:val="32"/>
        </w:rPr>
        <w:t>53.94万元，占7</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住房保障支出</w:t>
      </w:r>
      <w:r>
        <w:rPr>
          <w:rFonts w:hint="eastAsia" w:ascii="仿宋_GB2312" w:hAnsi="仿宋_GB2312" w:eastAsia="仿宋_GB2312" w:cs="仿宋_GB2312"/>
          <w:sz w:val="32"/>
          <w:szCs w:val="32"/>
        </w:rPr>
        <w:t>48.89万元，占6.</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图6：一般公共预算财政拨款支出决算结构（单位：万元）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4572000" cy="2163445"/>
            <wp:effectExtent l="4445" t="4445" r="14605" b="22860"/>
            <wp:docPr id="1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firstLine="640" w:firstLineChars="200"/>
        <w:outlineLvl w:val="2"/>
        <w:rPr>
          <w:rFonts w:hint="eastAsia" w:ascii="楷体_GB2312" w:hAnsi="楷体_GB2312" w:eastAsia="楷体_GB2312" w:cs="楷体_GB2312"/>
          <w:b w:val="0"/>
          <w:bCs/>
          <w:sz w:val="32"/>
          <w:szCs w:val="32"/>
        </w:rPr>
      </w:pPr>
      <w:bookmarkStart w:id="25" w:name="_Toc15377212"/>
      <w:r>
        <w:rPr>
          <w:rFonts w:hint="eastAsia" w:ascii="楷体_GB2312" w:hAnsi="楷体_GB2312" w:eastAsia="楷体_GB2312" w:cs="楷体_GB2312"/>
          <w:b w:val="0"/>
          <w:bCs/>
          <w:sz w:val="32"/>
          <w:szCs w:val="32"/>
        </w:rPr>
        <w:t>（三）一般公共预算财政拨款支出决算具体情况</w:t>
      </w:r>
      <w:bookmarkEnd w:id="25"/>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z w:val="32"/>
          <w:szCs w:val="32"/>
        </w:rPr>
      </w:pPr>
      <w:bookmarkStart w:id="26" w:name="_Toc15377213"/>
      <w:bookmarkStart w:id="27" w:name="_Toc15378460"/>
      <w:bookmarkStart w:id="28" w:name="_Toc15377444"/>
      <w:r>
        <w:rPr>
          <w:rFonts w:hint="eastAsia" w:ascii="仿宋_GB2312" w:hAnsi="仿宋_GB2312" w:eastAsia="仿宋_GB2312" w:cs="仿宋_GB2312"/>
          <w:b/>
          <w:sz w:val="32"/>
          <w:szCs w:val="32"/>
        </w:rPr>
        <w:t>2023年度一般公共预算支出决算数为769.03</w:t>
      </w:r>
      <w:r>
        <w:rPr>
          <w:rFonts w:hint="eastAsia" w:ascii="仿宋_GB2312" w:hAnsi="仿宋_GB2312" w:eastAsia="仿宋_GB2312" w:cs="仿宋_GB2312"/>
          <w:sz w:val="32"/>
          <w:szCs w:val="32"/>
        </w:rPr>
        <w:t>，</w:t>
      </w:r>
      <w:r>
        <w:rPr>
          <w:rStyle w:val="19"/>
          <w:rFonts w:hint="eastAsia" w:ascii="仿宋_GB2312" w:hAnsi="仿宋_GB2312" w:eastAsia="仿宋_GB2312" w:cs="仿宋_GB2312"/>
          <w:bCs/>
          <w:sz w:val="32"/>
          <w:szCs w:val="32"/>
        </w:rPr>
        <w:t>完成预算100%。其中：</w:t>
      </w:r>
      <w:bookmarkEnd w:id="26"/>
      <w:bookmarkEnd w:id="27"/>
      <w:bookmarkEnd w:id="28"/>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9"/>
          <w:rFonts w:hint="eastAsia" w:ascii="仿宋_GB2312" w:hAnsi="仿宋_GB2312" w:eastAsia="仿宋_GB2312" w:cs="仿宋_GB2312"/>
          <w:b w:val="0"/>
          <w:bCs/>
          <w:sz w:val="32"/>
          <w:szCs w:val="32"/>
        </w:rPr>
      </w:pPr>
      <w:r>
        <w:rPr>
          <w:rStyle w:val="19"/>
          <w:rFonts w:hint="eastAsia" w:ascii="仿宋_GB2312" w:hAnsi="仿宋_GB2312" w:eastAsia="仿宋_GB2312" w:cs="仿宋_GB2312"/>
          <w:bCs/>
          <w:sz w:val="32"/>
          <w:szCs w:val="32"/>
        </w:rPr>
        <w:t>1.一般公共服务（类）党委办公厅（室）及相关机构事务（款）行政运行（项）</w:t>
      </w:r>
      <w:r>
        <w:rPr>
          <w:rStyle w:val="19"/>
          <w:rFonts w:hint="eastAsia" w:ascii="仿宋_GB2312" w:hAnsi="仿宋_GB2312" w:eastAsia="仿宋_GB2312" w:cs="仿宋_GB2312"/>
          <w:b w:val="0"/>
          <w:bCs/>
          <w:sz w:val="32"/>
          <w:szCs w:val="32"/>
        </w:rPr>
        <w:t>支出决算为</w:t>
      </w:r>
      <w:r>
        <w:rPr>
          <w:rStyle w:val="19"/>
          <w:rFonts w:hint="eastAsia" w:ascii="仿宋_GB2312" w:hAnsi="仿宋_GB2312" w:eastAsia="仿宋_GB2312" w:cs="仿宋_GB2312"/>
          <w:b w:val="0"/>
          <w:bCs/>
          <w:sz w:val="32"/>
          <w:szCs w:val="32"/>
          <w:lang w:val="en-US" w:eastAsia="zh-CN"/>
        </w:rPr>
        <w:t>395.38</w:t>
      </w:r>
      <w:r>
        <w:rPr>
          <w:rStyle w:val="19"/>
          <w:rFonts w:hint="eastAsia" w:ascii="仿宋_GB2312" w:hAnsi="仿宋_GB2312" w:eastAsia="仿宋_GB2312" w:cs="仿宋_GB2312"/>
          <w:b w:val="0"/>
          <w:bCs/>
          <w:sz w:val="32"/>
          <w:szCs w:val="32"/>
        </w:rPr>
        <w:t>万元，完成预算100%</w:t>
      </w:r>
      <w:r>
        <w:rPr>
          <w:rStyle w:val="19"/>
          <w:rFonts w:hint="eastAsia" w:ascii="仿宋_GB2312" w:hAnsi="仿宋_GB2312" w:eastAsia="仿宋_GB2312" w:cs="仿宋_GB2312"/>
          <w:bCs/>
          <w:sz w:val="32"/>
          <w:szCs w:val="32"/>
        </w:rPr>
        <w:t>;一般行政管理事务（项）</w:t>
      </w:r>
      <w:r>
        <w:rPr>
          <w:rStyle w:val="19"/>
          <w:rFonts w:hint="eastAsia" w:ascii="仿宋_GB2312" w:hAnsi="仿宋_GB2312" w:eastAsia="仿宋_GB2312" w:cs="仿宋_GB2312"/>
          <w:b w:val="0"/>
          <w:bCs/>
          <w:sz w:val="32"/>
          <w:szCs w:val="32"/>
        </w:rPr>
        <w:t>支出决算为</w:t>
      </w:r>
      <w:r>
        <w:rPr>
          <w:rStyle w:val="19"/>
          <w:rFonts w:hint="eastAsia" w:ascii="仿宋_GB2312" w:hAnsi="仿宋_GB2312" w:eastAsia="仿宋_GB2312" w:cs="仿宋_GB2312"/>
          <w:b w:val="0"/>
          <w:bCs/>
          <w:sz w:val="32"/>
          <w:szCs w:val="32"/>
          <w:lang w:val="en-US" w:eastAsia="zh-CN"/>
        </w:rPr>
        <w:t>89.72</w:t>
      </w:r>
      <w:r>
        <w:rPr>
          <w:rStyle w:val="19"/>
          <w:rFonts w:hint="eastAsia" w:ascii="仿宋_GB2312" w:hAnsi="仿宋_GB2312" w:eastAsia="仿宋_GB2312" w:cs="仿宋_GB2312"/>
          <w:b w:val="0"/>
          <w:bCs/>
          <w:sz w:val="32"/>
          <w:szCs w:val="32"/>
        </w:rPr>
        <w:t>万元，完成预算100%</w:t>
      </w:r>
      <w:r>
        <w:rPr>
          <w:rStyle w:val="19"/>
          <w:rFonts w:hint="eastAsia" w:ascii="仿宋_GB2312" w:hAnsi="仿宋_GB2312" w:eastAsia="仿宋_GB2312" w:cs="仿宋_GB2312"/>
          <w:bCs/>
          <w:sz w:val="32"/>
          <w:szCs w:val="32"/>
        </w:rPr>
        <w:t>;事业运行（项）</w:t>
      </w:r>
      <w:r>
        <w:rPr>
          <w:rStyle w:val="19"/>
          <w:rFonts w:hint="eastAsia" w:ascii="仿宋_GB2312" w:hAnsi="仿宋_GB2312" w:eastAsia="仿宋_GB2312" w:cs="仿宋_GB2312"/>
          <w:b w:val="0"/>
          <w:bCs/>
          <w:sz w:val="32"/>
          <w:szCs w:val="32"/>
        </w:rPr>
        <w:t>支出决算为</w:t>
      </w:r>
      <w:r>
        <w:rPr>
          <w:rStyle w:val="19"/>
          <w:rFonts w:hint="eastAsia" w:ascii="仿宋_GB2312" w:hAnsi="仿宋_GB2312" w:eastAsia="仿宋_GB2312" w:cs="仿宋_GB2312"/>
          <w:b w:val="0"/>
          <w:bCs/>
          <w:sz w:val="32"/>
          <w:szCs w:val="32"/>
          <w:lang w:val="en-US" w:eastAsia="zh-CN"/>
        </w:rPr>
        <w:t>111.94</w:t>
      </w:r>
      <w:r>
        <w:rPr>
          <w:rStyle w:val="19"/>
          <w:rFonts w:hint="eastAsia" w:ascii="仿宋_GB2312" w:hAnsi="仿宋_GB2312" w:eastAsia="仿宋_GB2312" w:cs="仿宋_GB2312"/>
          <w:b w:val="0"/>
          <w:bCs/>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9"/>
          <w:rFonts w:hint="eastAsia" w:ascii="仿宋_GB2312" w:hAnsi="仿宋_GB2312" w:eastAsia="仿宋_GB2312" w:cs="仿宋_GB2312"/>
          <w:b w:val="0"/>
          <w:bCs/>
          <w:sz w:val="32"/>
          <w:szCs w:val="32"/>
        </w:rPr>
      </w:pPr>
      <w:r>
        <w:rPr>
          <w:rStyle w:val="19"/>
          <w:rFonts w:hint="eastAsia" w:ascii="仿宋_GB2312" w:hAnsi="仿宋_GB2312" w:eastAsia="仿宋_GB2312" w:cs="仿宋_GB2312"/>
          <w:bCs/>
          <w:sz w:val="32"/>
          <w:szCs w:val="32"/>
        </w:rPr>
        <w:t>2.社会保障和就业（类）行政事业单位养老支出（款）行政单位离退休（项）</w:t>
      </w:r>
      <w:r>
        <w:rPr>
          <w:rStyle w:val="19"/>
          <w:rFonts w:hint="eastAsia" w:ascii="仿宋_GB2312" w:hAnsi="仿宋_GB2312" w:eastAsia="仿宋_GB2312" w:cs="仿宋_GB2312"/>
          <w:b w:val="0"/>
          <w:bCs/>
          <w:sz w:val="32"/>
          <w:szCs w:val="32"/>
        </w:rPr>
        <w:t>支出决算为</w:t>
      </w:r>
      <w:r>
        <w:rPr>
          <w:rStyle w:val="19"/>
          <w:rFonts w:hint="eastAsia" w:ascii="仿宋_GB2312" w:hAnsi="仿宋_GB2312" w:eastAsia="仿宋_GB2312" w:cs="仿宋_GB2312"/>
          <w:b w:val="0"/>
          <w:bCs/>
          <w:sz w:val="32"/>
          <w:szCs w:val="32"/>
          <w:lang w:val="en-US" w:eastAsia="zh-CN"/>
        </w:rPr>
        <w:t>4.06</w:t>
      </w:r>
      <w:r>
        <w:rPr>
          <w:rStyle w:val="19"/>
          <w:rFonts w:hint="eastAsia" w:ascii="仿宋_GB2312" w:hAnsi="仿宋_GB2312" w:eastAsia="仿宋_GB2312" w:cs="仿宋_GB2312"/>
          <w:b w:val="0"/>
          <w:bCs/>
          <w:sz w:val="32"/>
          <w:szCs w:val="32"/>
        </w:rPr>
        <w:t>万元，完成预算100%</w:t>
      </w:r>
      <w:r>
        <w:rPr>
          <w:rStyle w:val="19"/>
          <w:rFonts w:hint="eastAsia" w:ascii="仿宋_GB2312" w:hAnsi="仿宋_GB2312" w:eastAsia="仿宋_GB2312" w:cs="仿宋_GB2312"/>
          <w:bCs/>
          <w:sz w:val="32"/>
          <w:szCs w:val="32"/>
        </w:rPr>
        <w:t>;机关事业单位基本养老保险缴费支出（项）</w:t>
      </w:r>
      <w:r>
        <w:rPr>
          <w:rStyle w:val="19"/>
          <w:rFonts w:hint="eastAsia" w:ascii="仿宋_GB2312" w:hAnsi="仿宋_GB2312" w:eastAsia="仿宋_GB2312" w:cs="仿宋_GB2312"/>
          <w:b w:val="0"/>
          <w:bCs/>
          <w:sz w:val="32"/>
          <w:szCs w:val="32"/>
        </w:rPr>
        <w:t>支出决算为6</w:t>
      </w:r>
      <w:r>
        <w:rPr>
          <w:rStyle w:val="19"/>
          <w:rFonts w:hint="eastAsia" w:ascii="仿宋_GB2312" w:hAnsi="仿宋_GB2312" w:eastAsia="仿宋_GB2312" w:cs="仿宋_GB2312"/>
          <w:b w:val="0"/>
          <w:bCs/>
          <w:sz w:val="32"/>
          <w:szCs w:val="32"/>
          <w:lang w:val="en-US" w:eastAsia="zh-CN"/>
        </w:rPr>
        <w:t>5.09</w:t>
      </w:r>
      <w:r>
        <w:rPr>
          <w:rStyle w:val="19"/>
          <w:rFonts w:hint="eastAsia" w:ascii="仿宋_GB2312" w:hAnsi="仿宋_GB2312" w:eastAsia="仿宋_GB2312" w:cs="仿宋_GB2312"/>
          <w:b w:val="0"/>
          <w:bCs/>
          <w:sz w:val="32"/>
          <w:szCs w:val="32"/>
        </w:rPr>
        <w:t>万元，完成预算100%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color w:val="auto"/>
          <w:sz w:val="32"/>
          <w:szCs w:val="32"/>
        </w:rPr>
      </w:pPr>
      <w:r>
        <w:rPr>
          <w:rStyle w:val="19"/>
          <w:rFonts w:hint="eastAsia" w:ascii="仿宋_GB2312" w:hAnsi="仿宋_GB2312" w:eastAsia="仿宋_GB2312" w:cs="仿宋_GB2312"/>
          <w:bCs/>
          <w:sz w:val="32"/>
          <w:szCs w:val="32"/>
        </w:rPr>
        <w:t>3.</w:t>
      </w:r>
      <w:r>
        <w:rPr>
          <w:rFonts w:hint="eastAsia" w:ascii="仿宋_GB2312" w:hAnsi="仿宋_GB2312" w:eastAsia="仿宋_GB2312" w:cs="仿宋_GB2312"/>
          <w:b/>
          <w:bCs/>
          <w:color w:val="auto"/>
          <w:sz w:val="32"/>
          <w:szCs w:val="32"/>
        </w:rPr>
        <w:t>卫生健康210</w:t>
      </w:r>
      <w:r>
        <w:rPr>
          <w:rStyle w:val="19"/>
          <w:rFonts w:hint="eastAsia" w:ascii="仿宋_GB2312" w:hAnsi="仿宋_GB2312" w:eastAsia="仿宋_GB2312" w:cs="仿宋_GB2312"/>
          <w:bCs/>
          <w:color w:val="auto"/>
          <w:sz w:val="32"/>
          <w:szCs w:val="32"/>
        </w:rPr>
        <w:t>（类）行政事业单位医疗（款）行政单位医疗（项）</w:t>
      </w:r>
      <w:r>
        <w:rPr>
          <w:rStyle w:val="19"/>
          <w:rFonts w:hint="eastAsia" w:ascii="仿宋_GB2312" w:hAnsi="仿宋_GB2312" w:eastAsia="仿宋_GB2312" w:cs="仿宋_GB2312"/>
          <w:b w:val="0"/>
          <w:bCs/>
          <w:color w:val="auto"/>
          <w:sz w:val="32"/>
          <w:szCs w:val="32"/>
        </w:rPr>
        <w:t>支出决算为2</w:t>
      </w:r>
      <w:r>
        <w:rPr>
          <w:rStyle w:val="19"/>
          <w:rFonts w:hint="eastAsia" w:ascii="仿宋_GB2312" w:hAnsi="仿宋_GB2312" w:eastAsia="仿宋_GB2312" w:cs="仿宋_GB2312"/>
          <w:b w:val="0"/>
          <w:bCs/>
          <w:color w:val="auto"/>
          <w:sz w:val="32"/>
          <w:szCs w:val="32"/>
          <w:lang w:val="en-US" w:eastAsia="zh-CN"/>
        </w:rPr>
        <w:t>6.15</w:t>
      </w:r>
      <w:r>
        <w:rPr>
          <w:rStyle w:val="19"/>
          <w:rFonts w:hint="eastAsia" w:ascii="仿宋_GB2312" w:hAnsi="仿宋_GB2312" w:eastAsia="仿宋_GB2312" w:cs="仿宋_GB2312"/>
          <w:b w:val="0"/>
          <w:bCs/>
          <w:color w:val="auto"/>
          <w:sz w:val="32"/>
          <w:szCs w:val="32"/>
        </w:rPr>
        <w:t>万元，完成预算100% ;</w:t>
      </w:r>
      <w:r>
        <w:rPr>
          <w:rStyle w:val="19"/>
          <w:rFonts w:hint="eastAsia" w:ascii="仿宋_GB2312" w:hAnsi="仿宋_GB2312" w:eastAsia="仿宋_GB2312" w:cs="仿宋_GB2312"/>
          <w:bCs/>
          <w:color w:val="auto"/>
          <w:sz w:val="32"/>
          <w:szCs w:val="32"/>
        </w:rPr>
        <w:t>事业单位医疗（项）</w:t>
      </w:r>
      <w:r>
        <w:rPr>
          <w:rStyle w:val="19"/>
          <w:rFonts w:hint="eastAsia" w:ascii="仿宋_GB2312" w:hAnsi="仿宋_GB2312" w:eastAsia="仿宋_GB2312" w:cs="仿宋_GB2312"/>
          <w:b w:val="0"/>
          <w:bCs/>
          <w:color w:val="auto"/>
          <w:sz w:val="32"/>
          <w:szCs w:val="32"/>
        </w:rPr>
        <w:t>支出决算为</w:t>
      </w:r>
      <w:r>
        <w:rPr>
          <w:rStyle w:val="19"/>
          <w:rFonts w:hint="eastAsia" w:ascii="仿宋_GB2312" w:hAnsi="仿宋_GB2312" w:eastAsia="仿宋_GB2312" w:cs="仿宋_GB2312"/>
          <w:b w:val="0"/>
          <w:bCs/>
          <w:color w:val="auto"/>
          <w:sz w:val="32"/>
          <w:szCs w:val="32"/>
          <w:lang w:val="en-US" w:eastAsia="zh-CN"/>
        </w:rPr>
        <w:t>5.7</w:t>
      </w:r>
      <w:r>
        <w:rPr>
          <w:rStyle w:val="19"/>
          <w:rFonts w:hint="eastAsia" w:ascii="仿宋_GB2312" w:hAnsi="仿宋_GB2312" w:eastAsia="仿宋_GB2312" w:cs="仿宋_GB2312"/>
          <w:b w:val="0"/>
          <w:bCs/>
          <w:color w:val="auto"/>
          <w:sz w:val="32"/>
          <w:szCs w:val="32"/>
        </w:rPr>
        <w:t>万元，完成预算100% ;</w:t>
      </w:r>
      <w:r>
        <w:rPr>
          <w:rFonts w:hint="eastAsia" w:ascii="仿宋_GB2312" w:hAnsi="仿宋_GB2312" w:eastAsia="仿宋_GB2312" w:cs="仿宋_GB2312"/>
          <w:color w:val="auto"/>
        </w:rPr>
        <w:t xml:space="preserve"> </w:t>
      </w:r>
      <w:r>
        <w:rPr>
          <w:rStyle w:val="19"/>
          <w:rFonts w:hint="eastAsia" w:ascii="仿宋_GB2312" w:hAnsi="仿宋_GB2312" w:eastAsia="仿宋_GB2312" w:cs="仿宋_GB2312"/>
          <w:bCs/>
          <w:color w:val="auto"/>
          <w:sz w:val="32"/>
          <w:szCs w:val="32"/>
        </w:rPr>
        <w:t>公务员医疗补助（项）</w:t>
      </w:r>
      <w:r>
        <w:rPr>
          <w:rStyle w:val="19"/>
          <w:rFonts w:hint="eastAsia" w:ascii="仿宋_GB2312" w:hAnsi="仿宋_GB2312" w:eastAsia="仿宋_GB2312" w:cs="仿宋_GB2312"/>
          <w:b w:val="0"/>
          <w:bCs/>
          <w:color w:val="auto"/>
          <w:sz w:val="32"/>
          <w:szCs w:val="32"/>
        </w:rPr>
        <w:t>支出决算为</w:t>
      </w:r>
      <w:r>
        <w:rPr>
          <w:rStyle w:val="19"/>
          <w:rFonts w:hint="eastAsia" w:ascii="仿宋_GB2312" w:hAnsi="仿宋_GB2312" w:eastAsia="仿宋_GB2312" w:cs="仿宋_GB2312"/>
          <w:b w:val="0"/>
          <w:bCs/>
          <w:color w:val="auto"/>
          <w:sz w:val="32"/>
          <w:szCs w:val="32"/>
          <w:lang w:val="en-US" w:eastAsia="zh-CN"/>
        </w:rPr>
        <w:t>17.76</w:t>
      </w:r>
      <w:r>
        <w:rPr>
          <w:rStyle w:val="19"/>
          <w:rFonts w:hint="eastAsia" w:ascii="仿宋_GB2312" w:hAnsi="仿宋_GB2312" w:eastAsia="仿宋_GB2312" w:cs="仿宋_GB2312"/>
          <w:b w:val="0"/>
          <w:bCs/>
          <w:color w:val="auto"/>
          <w:sz w:val="32"/>
          <w:szCs w:val="32"/>
        </w:rPr>
        <w:t>万元，完成预算100%;其他行政事业单位医疗支出（项）支出决算为</w:t>
      </w:r>
      <w:r>
        <w:rPr>
          <w:rStyle w:val="19"/>
          <w:rFonts w:hint="eastAsia" w:ascii="仿宋_GB2312" w:hAnsi="仿宋_GB2312" w:eastAsia="仿宋_GB2312" w:cs="仿宋_GB2312"/>
          <w:b w:val="0"/>
          <w:bCs/>
          <w:color w:val="auto"/>
          <w:sz w:val="32"/>
          <w:szCs w:val="32"/>
          <w:lang w:val="en-US" w:eastAsia="zh-CN"/>
        </w:rPr>
        <w:t>4.33</w:t>
      </w:r>
      <w:r>
        <w:rPr>
          <w:rStyle w:val="19"/>
          <w:rFonts w:hint="eastAsia" w:ascii="仿宋_GB2312" w:hAnsi="仿宋_GB2312" w:eastAsia="仿宋_GB2312" w:cs="仿宋_GB2312"/>
          <w:b w:val="0"/>
          <w:bCs/>
          <w:color w:val="auto"/>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Style w:val="19"/>
          <w:rFonts w:hint="eastAsia" w:ascii="仿宋_GB2312" w:hAnsi="仿宋_GB2312" w:eastAsia="仿宋_GB2312" w:cs="仿宋_GB2312"/>
          <w:bCs/>
          <w:sz w:val="32"/>
          <w:szCs w:val="32"/>
        </w:rPr>
        <w:t>4.</w:t>
      </w:r>
      <w:r>
        <w:rPr>
          <w:rFonts w:hint="eastAsia" w:ascii="仿宋_GB2312" w:hAnsi="仿宋_GB2312" w:eastAsia="仿宋_GB2312" w:cs="仿宋_GB2312"/>
          <w:b/>
          <w:bCs/>
          <w:color w:val="000000"/>
          <w:sz w:val="32"/>
          <w:szCs w:val="32"/>
        </w:rPr>
        <w:t>住</w:t>
      </w:r>
      <w:r>
        <w:rPr>
          <w:rFonts w:hint="eastAsia" w:ascii="仿宋_GB2312" w:hAnsi="仿宋_GB2312" w:eastAsia="仿宋_GB2312" w:cs="仿宋_GB2312"/>
          <w:b/>
          <w:bCs/>
          <w:sz w:val="32"/>
          <w:szCs w:val="32"/>
        </w:rPr>
        <w:t>房保障221（类）02（款）01（项）：</w:t>
      </w:r>
      <w:r>
        <w:rPr>
          <w:rFonts w:hint="eastAsia" w:ascii="仿宋_GB2312" w:hAnsi="仿宋_GB2312" w:eastAsia="仿宋_GB2312" w:cs="仿宋_GB2312"/>
          <w:color w:val="000000"/>
          <w:sz w:val="32"/>
          <w:szCs w:val="32"/>
        </w:rPr>
        <w:t>支出决算48.89万元，完成预算100%。</w:t>
      </w:r>
    </w:p>
    <w:p>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0"/>
        <w:textAlignment w:val="auto"/>
        <w:outlineLvl w:val="1"/>
        <w:rPr>
          <w:rStyle w:val="30"/>
        </w:rPr>
      </w:pPr>
      <w:bookmarkStart w:id="29" w:name="_Toc15396608"/>
      <w:bookmarkStart w:id="30"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29"/>
      <w:bookmarkEnd w:id="30"/>
      <w:r>
        <w:rPr>
          <w:rStyle w:val="30"/>
          <w:rFonts w:ascii="黑体" w:hAnsi="黑体" w:eastAsia="黑体"/>
          <w:b w:val="0"/>
        </w:rPr>
        <w:tab/>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679.31</w:t>
      </w:r>
      <w:r>
        <w:rPr>
          <w:rFonts w:hint="eastAsia" w:ascii="仿宋" w:hAnsi="仿宋" w:eastAsia="仿宋"/>
          <w:sz w:val="32"/>
          <w:szCs w:val="32"/>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616.47</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62.84</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1"/>
        <w:rPr>
          <w:rStyle w:val="30"/>
          <w:rFonts w:ascii="黑体" w:hAnsi="黑体" w:eastAsia="黑体"/>
          <w:b w:val="0"/>
        </w:rPr>
      </w:pPr>
      <w:bookmarkStart w:id="31" w:name="_Toc15377215"/>
      <w:bookmarkStart w:id="32" w:name="_Toc15396609"/>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31"/>
      <w:bookmarkEnd w:id="32"/>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2"/>
        <w:rPr>
          <w:rFonts w:hint="eastAsia" w:ascii="楷体_GB2312" w:hAnsi="楷体_GB2312" w:eastAsia="楷体_GB2312" w:cs="楷体_GB2312"/>
          <w:b w:val="0"/>
          <w:bCs/>
          <w:sz w:val="32"/>
          <w:szCs w:val="32"/>
        </w:rPr>
      </w:pPr>
      <w:bookmarkStart w:id="33" w:name="_Toc15377216"/>
      <w:r>
        <w:rPr>
          <w:rFonts w:hint="eastAsia" w:ascii="楷体_GB2312" w:hAnsi="楷体_GB2312" w:eastAsia="楷体_GB2312" w:cs="楷体_GB2312"/>
          <w:b w:val="0"/>
          <w:bCs/>
          <w:sz w:val="32"/>
          <w:szCs w:val="32"/>
        </w:rPr>
        <w:t>（一）“三公”经费财政拨款支出决算总体情况说明</w:t>
      </w:r>
      <w:bookmarkEnd w:id="33"/>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2.14</w:t>
      </w:r>
      <w:r>
        <w:rPr>
          <w:rFonts w:hint="eastAsia" w:ascii="仿宋" w:hAnsi="仿宋" w:eastAsia="仿宋"/>
          <w:sz w:val="32"/>
          <w:szCs w:val="32"/>
        </w:rPr>
        <w:t>万元，完成预算</w:t>
      </w:r>
      <w:r>
        <w:rPr>
          <w:rFonts w:hint="eastAsia"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，较上年度减少0.26万元，下降10.8</w:t>
      </w:r>
      <w:r>
        <w:rPr>
          <w:rFonts w:hint="eastAsia" w:ascii="仿宋" w:hAnsi="仿宋" w:eastAsia="仿宋"/>
          <w:sz w:val="32"/>
          <w:szCs w:val="32"/>
          <w:lang w:val="en-US" w:eastAsia="zh-CN"/>
        </w:rPr>
        <w:t>3</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2"/>
        <w:rPr>
          <w:rFonts w:hint="eastAsia" w:ascii="楷体_GB2312" w:hAnsi="楷体_GB2312" w:eastAsia="楷体_GB2312" w:cs="楷体_GB2312"/>
          <w:b w:val="0"/>
          <w:bCs/>
          <w:sz w:val="32"/>
          <w:szCs w:val="32"/>
        </w:rPr>
      </w:pPr>
      <w:bookmarkStart w:id="34" w:name="_Toc15377217"/>
      <w:r>
        <w:rPr>
          <w:rFonts w:hint="eastAsia" w:ascii="楷体_GB2312" w:hAnsi="楷体_GB2312" w:eastAsia="楷体_GB2312" w:cs="楷体_GB2312"/>
          <w:b w:val="0"/>
          <w:bCs/>
          <w:sz w:val="32"/>
          <w:szCs w:val="32"/>
        </w:rPr>
        <w:t>（二）“三公”经费财政拨款支出决算具体情况说明</w:t>
      </w:r>
      <w:bookmarkEnd w:id="34"/>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2.14</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hAnsi="仿宋" w:eastAsia="仿宋"/>
          <w:sz w:val="32"/>
          <w:szCs w:val="32"/>
        </w:rPr>
      </w:pPr>
      <w:r>
        <w:rPr>
          <w:rFonts w:hint="eastAsia" w:ascii="仿宋" w:hAnsi="仿宋" w:eastAsia="仿宋"/>
          <w:sz w:val="32"/>
          <w:szCs w:val="32"/>
        </w:rPr>
        <w:t>图7：“三公”经费财政拨款支出结构</w:t>
      </w:r>
    </w:p>
    <w:p>
      <w:pPr>
        <w:pStyle w:val="2"/>
      </w:pPr>
      <w:r>
        <w:drawing>
          <wp:inline distT="0" distB="0" distL="114300" distR="114300">
            <wp:extent cx="4806315" cy="2821940"/>
            <wp:effectExtent l="4445" t="4445" r="14605" b="1270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kinsoku/>
        <w:wordWrap/>
        <w:overflowPunct/>
        <w:topLinePunct w:val="0"/>
        <w:bidi w:val="0"/>
        <w:snapToGrid/>
        <w:spacing w:line="600" w:lineRule="exact"/>
        <w:ind w:firstLine="640"/>
        <w:textAlignment w:val="auto"/>
        <w:rPr>
          <w:rFonts w:ascii="仿宋_GB2312" w:eastAsia="仿宋_GB2312"/>
          <w:b/>
          <w:color w:val="auto"/>
          <w:sz w:val="32"/>
          <w:szCs w:val="32"/>
        </w:rPr>
      </w:pPr>
      <w:bookmarkStart w:id="35" w:name="_Toc15396610"/>
      <w:bookmarkStart w:id="36"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ascii="仿宋" w:hAnsi="仿宋" w:eastAsia="仿宋"/>
          <w:bCs/>
          <w:sz w:val="32"/>
          <w:szCs w:val="32"/>
        </w:rPr>
        <w:t>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w:t>
      </w:r>
      <w:r>
        <w:rPr>
          <w:rFonts w:hint="eastAsia" w:ascii="仿宋_GB2312" w:eastAsia="仿宋_GB2312"/>
          <w:color w:val="auto"/>
          <w:sz w:val="32"/>
          <w:szCs w:val="32"/>
        </w:rPr>
        <w:t>与2022年度持平。</w:t>
      </w:r>
    </w:p>
    <w:p>
      <w:pPr>
        <w:keepNext w:val="0"/>
        <w:keepLines w:val="0"/>
        <w:pageBreakBefore w:val="0"/>
        <w:kinsoku/>
        <w:wordWrap/>
        <w:overflowPunct/>
        <w:topLinePunct w:val="0"/>
        <w:bidi w:val="0"/>
        <w:snapToGrid/>
        <w:spacing w:line="600" w:lineRule="exact"/>
        <w:ind w:firstLine="640"/>
        <w:textAlignment w:val="auto"/>
        <w:rPr>
          <w:rFonts w:eastAsia="方正仿宋_GBK"/>
          <w:sz w:val="33"/>
          <w:szCs w:val="33"/>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2.14</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ascii="仿宋" w:hAnsi="仿宋" w:eastAsia="仿宋"/>
          <w:bCs/>
          <w:sz w:val="32"/>
          <w:szCs w:val="32"/>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公务用车购置及运行维护费支出决算比2022年度减少0.26万元，下降1.1</w:t>
      </w:r>
      <w:r>
        <w:rPr>
          <w:rFonts w:ascii="仿宋_GB2312" w:eastAsia="仿宋_GB2312"/>
          <w:sz w:val="32"/>
          <w:szCs w:val="32"/>
        </w:rPr>
        <w:t>%</w:t>
      </w:r>
      <w:r>
        <w:rPr>
          <w:rFonts w:hint="eastAsia" w:ascii="仿宋_GB2312" w:eastAsia="仿宋_GB2312"/>
          <w:sz w:val="32"/>
          <w:szCs w:val="32"/>
        </w:rPr>
        <w:t>。主要原因是</w:t>
      </w:r>
      <w:r>
        <w:rPr>
          <w:rFonts w:eastAsia="方正仿宋_GBK"/>
          <w:sz w:val="33"/>
          <w:szCs w:val="33"/>
        </w:rPr>
        <w:t>2023年度公务用车出行减少。</w:t>
      </w:r>
    </w:p>
    <w:p>
      <w:pPr>
        <w:keepNext w:val="0"/>
        <w:keepLines w:val="0"/>
        <w:pageBreakBefore w:val="0"/>
        <w:kinsoku/>
        <w:wordWrap/>
        <w:overflowPunct/>
        <w:topLinePunct w:val="0"/>
        <w:bidi w:val="0"/>
        <w:snapToGrid/>
        <w:spacing w:line="600" w:lineRule="exact"/>
        <w:ind w:firstLine="640"/>
        <w:textAlignment w:val="auto"/>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万元。全年按规定更新购置公务用车0辆，其中：轿车0辆、金额0万元，越野车0辆、金额0万元，载客汽车0辆、金额0万元。截至2023年</w:t>
      </w:r>
      <w:r>
        <w:rPr>
          <w:rFonts w:ascii="仿宋_GB2312" w:eastAsia="仿宋_GB2312"/>
          <w:sz w:val="32"/>
          <w:szCs w:val="32"/>
        </w:rPr>
        <w:t>12</w:t>
      </w:r>
      <w:r>
        <w:rPr>
          <w:rFonts w:hint="eastAsia" w:ascii="仿宋_GB2312" w:eastAsia="仿宋_GB2312"/>
          <w:sz w:val="32"/>
          <w:szCs w:val="32"/>
        </w:rPr>
        <w:t>月31日，单位共有公务用车1辆，其中：轿车0辆、越野车1辆、载客汽车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keepNext w:val="0"/>
        <w:keepLines w:val="0"/>
        <w:pageBreakBefore w:val="0"/>
        <w:kinsoku/>
        <w:wordWrap/>
        <w:overflowPunct/>
        <w:topLinePunct w:val="0"/>
        <w:bidi w:val="0"/>
        <w:snapToGrid/>
        <w:spacing w:line="600" w:lineRule="exact"/>
        <w:ind w:firstLine="640"/>
        <w:textAlignment w:val="auto"/>
        <w:rPr>
          <w:rFonts w:eastAsia="方正仿宋_GBK"/>
          <w:sz w:val="33"/>
          <w:szCs w:val="33"/>
        </w:rPr>
      </w:pPr>
      <w:r>
        <w:rPr>
          <w:rFonts w:hint="eastAsia" w:ascii="仿宋_GB2312" w:eastAsia="仿宋_GB2312"/>
          <w:b/>
          <w:sz w:val="32"/>
          <w:szCs w:val="32"/>
        </w:rPr>
        <w:t>公务用车运行维护费支出</w:t>
      </w:r>
      <w:r>
        <w:rPr>
          <w:rFonts w:ascii="仿宋" w:hAnsi="仿宋" w:eastAsia="仿宋"/>
          <w:b/>
          <w:sz w:val="32"/>
          <w:szCs w:val="32"/>
        </w:rPr>
        <w:t>2.14</w:t>
      </w:r>
      <w:r>
        <w:rPr>
          <w:rFonts w:hint="eastAsia" w:ascii="仿宋_GB2312" w:eastAsia="仿宋_GB2312"/>
          <w:sz w:val="32"/>
          <w:szCs w:val="32"/>
        </w:rPr>
        <w:t>万元。主要用于</w:t>
      </w:r>
      <w:r>
        <w:rPr>
          <w:rFonts w:eastAsia="方正仿宋_GBK"/>
          <w:sz w:val="33"/>
          <w:szCs w:val="33"/>
        </w:rPr>
        <w:t>区委办公室机要通讯所需的公务用车燃料费、维修费、过路过桥费、保险费等支出。</w:t>
      </w:r>
    </w:p>
    <w:p>
      <w:pPr>
        <w:keepNext w:val="0"/>
        <w:keepLines w:val="0"/>
        <w:pageBreakBefore w:val="0"/>
        <w:kinsoku/>
        <w:wordWrap/>
        <w:overflowPunct/>
        <w:topLinePunct w:val="0"/>
        <w:bidi w:val="0"/>
        <w:snapToGrid/>
        <w:spacing w:line="600" w:lineRule="exact"/>
        <w:ind w:firstLine="640"/>
        <w:textAlignment w:val="auto"/>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ascii="仿宋" w:hAnsi="仿宋" w:eastAsia="仿宋"/>
          <w:b w:val="0"/>
          <w:bCs/>
          <w:sz w:val="32"/>
          <w:szCs w:val="32"/>
        </w:rPr>
        <w:t>0%</w:t>
      </w:r>
      <w:r>
        <w:rPr>
          <w:rStyle w:val="19"/>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val="en-US" w:eastAsia="zh-CN"/>
        </w:rPr>
        <w:t>与</w:t>
      </w:r>
      <w:r>
        <w:rPr>
          <w:rFonts w:hint="eastAsia" w:ascii="仿宋_GB2312" w:eastAsia="仿宋_GB2312"/>
          <w:sz w:val="32"/>
          <w:szCs w:val="32"/>
        </w:rPr>
        <w:t>2022年度</w:t>
      </w:r>
      <w:r>
        <w:rPr>
          <w:rFonts w:hint="eastAsia" w:ascii="仿宋_GB2312" w:eastAsia="仿宋_GB2312"/>
          <w:sz w:val="32"/>
          <w:szCs w:val="32"/>
          <w:lang w:val="en-US" w:eastAsia="zh-CN"/>
        </w:rPr>
        <w:t>持平</w:t>
      </w:r>
      <w:bookmarkStart w:id="62" w:name="_GoBack"/>
      <w:bookmarkEnd w:id="62"/>
      <w:r>
        <w:rPr>
          <w:rFonts w:hint="eastAsia" w:ascii="仿宋_GB2312" w:eastAsia="仿宋_GB2312"/>
          <w:sz w:val="32"/>
          <w:szCs w:val="32"/>
        </w:rPr>
        <w:t>。</w:t>
      </w:r>
    </w:p>
    <w:p>
      <w:pPr>
        <w:keepNext w:val="0"/>
        <w:keepLines w:val="0"/>
        <w:pageBreakBefore w:val="0"/>
        <w:kinsoku/>
        <w:wordWrap/>
        <w:overflowPunct/>
        <w:topLinePunct w:val="0"/>
        <w:bidi w:val="0"/>
        <w:snapToGrid/>
        <w:spacing w:line="600" w:lineRule="exact"/>
        <w:ind w:firstLine="640"/>
        <w:textAlignment w:val="auto"/>
        <w:rPr>
          <w:rFonts w:eastAsia="方正仿宋_GBK"/>
          <w:sz w:val="33"/>
          <w:szCs w:val="33"/>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万元，国内公务接待0批次，0人次（不包括陪同人员），共计支出0万元，</w:t>
      </w:r>
      <w:r>
        <w:rPr>
          <w:rFonts w:eastAsia="方正仿宋_GBK"/>
          <w:sz w:val="33"/>
          <w:szCs w:val="33"/>
        </w:rPr>
        <w:t>公务接待费支出决算与202</w:t>
      </w:r>
      <w:r>
        <w:rPr>
          <w:rFonts w:hint="eastAsia" w:eastAsia="方正仿宋_GBK"/>
          <w:sz w:val="33"/>
          <w:szCs w:val="33"/>
        </w:rPr>
        <w:t>2</w:t>
      </w:r>
      <w:r>
        <w:rPr>
          <w:rFonts w:eastAsia="方正仿宋_GBK"/>
          <w:sz w:val="33"/>
          <w:szCs w:val="33"/>
        </w:rPr>
        <w:t>年持平。</w:t>
      </w:r>
    </w:p>
    <w:p>
      <w:pPr>
        <w:keepNext w:val="0"/>
        <w:keepLines w:val="0"/>
        <w:pageBreakBefore w:val="0"/>
        <w:kinsoku/>
        <w:wordWrap/>
        <w:overflowPunct/>
        <w:topLinePunct w:val="0"/>
        <w:bidi w:val="0"/>
        <w:snapToGrid/>
        <w:spacing w:line="600" w:lineRule="exact"/>
        <w:ind w:firstLine="640"/>
        <w:textAlignment w:val="auto"/>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万元，外事接待0批次，0人次（不包括陪同人员），共计支出0万元。</w:t>
      </w:r>
    </w:p>
    <w:p>
      <w:pPr>
        <w:keepNext w:val="0"/>
        <w:keepLines w:val="0"/>
        <w:pageBreakBefore w:val="0"/>
        <w:kinsoku/>
        <w:wordWrap/>
        <w:overflowPunct/>
        <w:topLinePunct w:val="0"/>
        <w:bidi w:val="0"/>
        <w:snapToGrid/>
        <w:spacing w:line="600" w:lineRule="exact"/>
        <w:ind w:firstLine="640"/>
        <w:textAlignment w:val="auto"/>
        <w:outlineLvl w:val="1"/>
        <w:rPr>
          <w:rStyle w:val="30"/>
          <w:rFonts w:ascii="黑体" w:hAnsi="黑体" w:eastAsia="黑体"/>
        </w:rPr>
      </w:pPr>
      <w:r>
        <w:rPr>
          <w:rFonts w:hint="eastAsia" w:ascii="黑体" w:eastAsia="黑体"/>
          <w:sz w:val="32"/>
          <w:szCs w:val="32"/>
        </w:rPr>
        <w:t>八、</w:t>
      </w:r>
      <w:r>
        <w:rPr>
          <w:rStyle w:val="30"/>
          <w:rFonts w:hint="eastAsia" w:ascii="黑体" w:hAnsi="黑体" w:eastAsia="黑体"/>
          <w:b w:val="0"/>
        </w:rPr>
        <w:t>政府性基金预算支出决算情况说明</w:t>
      </w:r>
      <w:bookmarkEnd w:id="35"/>
      <w:bookmarkEnd w:id="36"/>
    </w:p>
    <w:p>
      <w:pPr>
        <w:keepNext w:val="0"/>
        <w:keepLines w:val="0"/>
        <w:pageBreakBefore w:val="0"/>
        <w:kinsoku/>
        <w:wordWrap/>
        <w:overflowPunct/>
        <w:topLinePunct w:val="0"/>
        <w:bidi w:val="0"/>
        <w:snapToGrid/>
        <w:spacing w:line="600" w:lineRule="exact"/>
        <w:ind w:firstLine="640"/>
        <w:textAlignment w:val="auto"/>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92.11</w:t>
      </w:r>
      <w:r>
        <w:rPr>
          <w:rFonts w:hint="eastAsia" w:ascii="仿宋_GB2312" w:eastAsia="仿宋_GB2312"/>
          <w:sz w:val="32"/>
          <w:szCs w:val="32"/>
        </w:rPr>
        <w:t>万元。</w:t>
      </w:r>
    </w:p>
    <w:p>
      <w:pPr>
        <w:keepNext w:val="0"/>
        <w:keepLines w:val="0"/>
        <w:pageBreakBefore w:val="0"/>
        <w:numPr>
          <w:ilvl w:val="0"/>
          <w:numId w:val="3"/>
        </w:numPr>
        <w:kinsoku/>
        <w:wordWrap/>
        <w:overflowPunct/>
        <w:topLinePunct w:val="0"/>
        <w:bidi w:val="0"/>
        <w:snapToGrid/>
        <w:spacing w:line="600" w:lineRule="exact"/>
        <w:ind w:firstLine="640"/>
        <w:jc w:val="left"/>
        <w:textAlignment w:val="auto"/>
        <w:outlineLvl w:val="1"/>
        <w:rPr>
          <w:rStyle w:val="30"/>
          <w:rFonts w:ascii="黑体" w:hAnsi="黑体" w:eastAsia="黑体"/>
          <w:b w:val="0"/>
        </w:rPr>
      </w:pPr>
      <w:bookmarkStart w:id="37" w:name="_Toc15396611"/>
      <w:bookmarkStart w:id="38" w:name="_Toc15377219"/>
      <w:r>
        <w:rPr>
          <w:rStyle w:val="30"/>
          <w:rFonts w:hint="eastAsia" w:ascii="黑体" w:hAnsi="黑体" w:eastAsia="黑体"/>
          <w:b w:val="0"/>
        </w:rPr>
        <w:t>国有资本经营预算支出决算情况说明</w:t>
      </w:r>
      <w:bookmarkEnd w:id="37"/>
      <w:bookmarkEnd w:id="38"/>
    </w:p>
    <w:p>
      <w:pPr>
        <w:keepNext w:val="0"/>
        <w:keepLines w:val="0"/>
        <w:pageBreakBefore w:val="0"/>
        <w:kinsoku/>
        <w:wordWrap/>
        <w:overflowPunct/>
        <w:topLinePunct w:val="0"/>
        <w:bidi w:val="0"/>
        <w:snapToGrid/>
        <w:spacing w:line="600" w:lineRule="exact"/>
        <w:ind w:firstLine="640"/>
        <w:textAlignment w:val="auto"/>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keepNext w:val="0"/>
        <w:keepLines w:val="0"/>
        <w:pageBreakBefore w:val="0"/>
        <w:numPr>
          <w:ilvl w:val="0"/>
          <w:numId w:val="3"/>
        </w:numPr>
        <w:kinsoku/>
        <w:wordWrap/>
        <w:overflowPunct/>
        <w:topLinePunct w:val="0"/>
        <w:bidi w:val="0"/>
        <w:snapToGrid/>
        <w:spacing w:line="600" w:lineRule="exact"/>
        <w:ind w:firstLine="640"/>
        <w:jc w:val="left"/>
        <w:textAlignment w:val="auto"/>
        <w:outlineLvl w:val="1"/>
        <w:rPr>
          <w:rStyle w:val="30"/>
          <w:rFonts w:ascii="黑体" w:hAnsi="黑体" w:eastAsia="黑体"/>
          <w:b w:val="0"/>
        </w:rPr>
      </w:pPr>
      <w:bookmarkStart w:id="39" w:name="_Toc15396612"/>
      <w:bookmarkStart w:id="40" w:name="_Toc15377221"/>
      <w:r>
        <w:rPr>
          <w:rStyle w:val="30"/>
          <w:rFonts w:hint="eastAsia" w:ascii="黑体" w:hAnsi="黑体" w:eastAsia="黑体"/>
          <w:b w:val="0"/>
        </w:rPr>
        <w:t>其他重要事项的情况说明</w:t>
      </w:r>
      <w:bookmarkEnd w:id="39"/>
      <w:bookmarkEnd w:id="40"/>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outlineLvl w:val="2"/>
        <w:rPr>
          <w:rFonts w:hint="eastAsia" w:ascii="楷体_GB2312" w:hAnsi="楷体_GB2312" w:eastAsia="楷体_GB2312" w:cs="楷体_GB2312"/>
          <w:b w:val="0"/>
          <w:bCs/>
          <w:sz w:val="32"/>
          <w:szCs w:val="32"/>
        </w:rPr>
      </w:pPr>
      <w:bookmarkStart w:id="41" w:name="_Toc15377222"/>
      <w:r>
        <w:rPr>
          <w:rFonts w:hint="eastAsia" w:ascii="楷体_GB2312" w:hAnsi="楷体_GB2312" w:eastAsia="楷体_GB2312" w:cs="楷体_GB2312"/>
          <w:b w:val="0"/>
          <w:bCs/>
          <w:sz w:val="32"/>
          <w:szCs w:val="32"/>
        </w:rPr>
        <w:t>（一）机关运行经费支出情况</w:t>
      </w:r>
      <w:bookmarkEnd w:id="41"/>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2023年度，</w:t>
      </w:r>
      <w:r>
        <w:rPr>
          <w:rFonts w:hint="eastAsia" w:ascii="仿宋_GB2312" w:hAnsi="仿宋_GB2312" w:eastAsia="仿宋_GB2312" w:cs="仿宋_GB2312"/>
          <w:b/>
          <w:sz w:val="32"/>
          <w:szCs w:val="32"/>
        </w:rPr>
        <w:t>中国共产党攀枝花市西区委员会办公室</w:t>
      </w:r>
      <w:r>
        <w:rPr>
          <w:rFonts w:hint="eastAsia" w:ascii="仿宋_GB2312" w:hAnsi="仿宋_GB2312" w:eastAsia="仿宋_GB2312" w:cs="仿宋_GB2312"/>
          <w:sz w:val="32"/>
          <w:szCs w:val="32"/>
        </w:rPr>
        <w:t>机关运行经费支出</w:t>
      </w:r>
      <w:r>
        <w:rPr>
          <w:rFonts w:hint="eastAsia" w:ascii="仿宋_GB2312" w:hAnsi="仿宋_GB2312" w:eastAsia="仿宋_GB2312" w:cs="仿宋_GB2312"/>
          <w:b/>
          <w:sz w:val="32"/>
          <w:szCs w:val="32"/>
        </w:rPr>
        <w:t>62.84</w:t>
      </w:r>
      <w:r>
        <w:rPr>
          <w:rFonts w:hint="eastAsia" w:ascii="仿宋_GB2312" w:hAnsi="仿宋_GB2312" w:eastAsia="仿宋_GB2312" w:cs="仿宋_GB2312"/>
          <w:sz w:val="32"/>
          <w:szCs w:val="32"/>
        </w:rPr>
        <w:t>万元，比2022年度增加18.89万元，增长4</w:t>
      </w:r>
      <w:r>
        <w:rPr>
          <w:rFonts w:hint="eastAsia" w:ascii="仿宋_GB2312" w:hAnsi="仿宋_GB2312" w:eastAsia="仿宋_GB2312" w:cs="仿宋_GB2312"/>
          <w:sz w:val="32"/>
          <w:szCs w:val="32"/>
          <w:lang w:val="en-US" w:eastAsia="zh-CN"/>
        </w:rPr>
        <w:t>2.98</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3"/>
          <w:szCs w:val="33"/>
        </w:rPr>
        <w:t>2023年度，组织4名职工外出培训，培训费用增加；人员变动，其他交通费用增加等。</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outlineLvl w:val="2"/>
        <w:rPr>
          <w:rFonts w:hint="eastAsia" w:ascii="楷体_GB2312" w:hAnsi="楷体_GB2312" w:eastAsia="楷体_GB2312" w:cs="楷体_GB2312"/>
          <w:b w:val="0"/>
          <w:bCs/>
          <w:sz w:val="32"/>
          <w:szCs w:val="32"/>
        </w:rPr>
      </w:pPr>
      <w:bookmarkStart w:id="42" w:name="_Toc15377223"/>
      <w:r>
        <w:rPr>
          <w:rFonts w:hint="eastAsia" w:ascii="楷体_GB2312" w:hAnsi="楷体_GB2312" w:eastAsia="楷体_GB2312" w:cs="楷体_GB2312"/>
          <w:b w:val="0"/>
          <w:bCs/>
          <w:sz w:val="32"/>
          <w:szCs w:val="32"/>
        </w:rPr>
        <w:t>（二）政府采购支出情况</w:t>
      </w:r>
      <w:bookmarkEnd w:id="42"/>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w:t>
      </w:r>
      <w:r>
        <w:rPr>
          <w:rFonts w:hint="eastAsia" w:ascii="仿宋_GB2312" w:hAnsi="仿宋_GB2312" w:eastAsia="仿宋_GB2312" w:cs="仿宋_GB2312"/>
          <w:b/>
          <w:sz w:val="32"/>
          <w:szCs w:val="32"/>
        </w:rPr>
        <w:t>中国共产党攀枝花市西区委员会办公室</w:t>
      </w:r>
      <w:r>
        <w:rPr>
          <w:rFonts w:hint="eastAsia" w:ascii="仿宋_GB2312" w:hAnsi="仿宋_GB2312" w:eastAsia="仿宋_GB2312" w:cs="仿宋_GB2312"/>
          <w:sz w:val="32"/>
          <w:szCs w:val="32"/>
        </w:rPr>
        <w:t>政府采购支出总额</w:t>
      </w:r>
      <w:r>
        <w:rPr>
          <w:rFonts w:hint="eastAsia" w:ascii="仿宋_GB2312" w:hAnsi="仿宋_GB2312" w:eastAsia="仿宋_GB2312" w:cs="仿宋_GB2312"/>
          <w:b/>
          <w:sz w:val="32"/>
          <w:szCs w:val="32"/>
        </w:rPr>
        <w:t>37.04</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b/>
          <w:sz w:val="32"/>
          <w:szCs w:val="32"/>
        </w:rPr>
        <w:t>37.04</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万元。主要用于办公设备和专用设备购置。授予中小企业合同金额</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万元，占政府采购支出总额的0%，其中：授予小微企业合同金额</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outlineLvl w:val="2"/>
        <w:rPr>
          <w:rFonts w:hint="eastAsia" w:ascii="楷体_GB2312" w:hAnsi="楷体_GB2312" w:eastAsia="楷体_GB2312" w:cs="楷体_GB2312"/>
          <w:b w:val="0"/>
          <w:bCs/>
          <w:sz w:val="32"/>
          <w:szCs w:val="32"/>
        </w:rPr>
      </w:pPr>
      <w:bookmarkStart w:id="43" w:name="_Toc15377224"/>
      <w:r>
        <w:rPr>
          <w:rFonts w:hint="eastAsia" w:ascii="楷体_GB2312" w:hAnsi="楷体_GB2312" w:eastAsia="楷体_GB2312" w:cs="楷体_GB2312"/>
          <w:b w:val="0"/>
          <w:bCs/>
          <w:sz w:val="32"/>
          <w:szCs w:val="32"/>
        </w:rPr>
        <w:t>（三）国有资产占有使用情况</w:t>
      </w:r>
      <w:bookmarkEnd w:id="43"/>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截至2023年12月31日，</w:t>
      </w:r>
      <w:r>
        <w:rPr>
          <w:rFonts w:hint="eastAsia" w:ascii="仿宋_GB2312" w:hAnsi="仿宋_GB2312" w:eastAsia="仿宋_GB2312" w:cs="仿宋_GB2312"/>
          <w:b/>
          <w:sz w:val="32"/>
          <w:szCs w:val="32"/>
        </w:rPr>
        <w:t>中国共产党攀枝花市西区委员会办公室</w:t>
      </w:r>
      <w:r>
        <w:rPr>
          <w:rFonts w:hint="eastAsia" w:ascii="仿宋_GB2312" w:hAnsi="仿宋_GB2312" w:eastAsia="仿宋_GB2312" w:cs="仿宋_GB2312"/>
          <w:sz w:val="32"/>
          <w:szCs w:val="32"/>
        </w:rPr>
        <w:t>共有车辆</w:t>
      </w:r>
      <w:r>
        <w:rPr>
          <w:rFonts w:hint="eastAsia" w:ascii="仿宋_GB2312" w:hAnsi="仿宋_GB2312" w:eastAsia="仿宋_GB2312" w:cs="仿宋_GB2312"/>
          <w:b/>
          <w:sz w:val="32"/>
          <w:szCs w:val="32"/>
        </w:rPr>
        <w:t>1</w:t>
      </w:r>
      <w:r>
        <w:rPr>
          <w:rFonts w:hint="eastAsia" w:ascii="仿宋_GB2312" w:hAnsi="仿宋_GB2312" w:eastAsia="仿宋_GB2312" w:cs="仿宋_GB2312"/>
          <w:sz w:val="32"/>
          <w:szCs w:val="32"/>
        </w:rPr>
        <w:t>辆，其中：主要领导干部用车0辆、机要通信用车1辆、应急保障用车0辆、其他用车0辆。单价100万元以上设备（不含车辆）</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台（套）。</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outlineLvl w:val="2"/>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（四）预算绩效管理情况</w:t>
      </w:r>
    </w:p>
    <w:p>
      <w:pPr>
        <w:keepNext w:val="0"/>
        <w:keepLines w:val="0"/>
        <w:pageBreakBefore w:val="0"/>
        <w:widowControl/>
        <w:kinsoku/>
        <w:wordWrap/>
        <w:overflowPunct/>
        <w:topLinePunct w:val="0"/>
        <w:bidi w:val="0"/>
        <w:snapToGrid/>
        <w:spacing w:line="600" w:lineRule="exact"/>
        <w:ind w:firstLine="660" w:firstLineChars="200"/>
        <w:textAlignment w:val="auto"/>
        <w:rPr>
          <w:rFonts w:hint="eastAsia" w:ascii="仿宋_GB2312" w:hAnsi="仿宋_GB2312" w:eastAsia="仿宋_GB2312" w:cs="仿宋_GB2312"/>
          <w:color w:val="FF0000"/>
          <w:sz w:val="33"/>
          <w:szCs w:val="33"/>
        </w:rPr>
      </w:pPr>
      <w:r>
        <w:rPr>
          <w:rFonts w:hint="eastAsia" w:ascii="仿宋_GB2312" w:hAnsi="仿宋_GB2312" w:eastAsia="仿宋_GB2312" w:cs="仿宋_GB2312"/>
          <w:sz w:val="33"/>
          <w:szCs w:val="33"/>
        </w:rPr>
        <w:t>根据预算绩效管理要求，本部门在2023年度预算编制阶段，组织对派驻纪检组业务费、目标绩效管理和综合督查工作、牵头统筹全区重大活动项目经费3个项目开展了预算事前绩效评估，对3个项目编制了绩效目标，预算执行过程中，选取1个项目开展绩效监控，</w:t>
      </w:r>
      <w:r>
        <w:rPr>
          <w:rFonts w:hint="eastAsia" w:ascii="仿宋_GB2312" w:hAnsi="仿宋_GB2312" w:eastAsia="仿宋_GB2312" w:cs="仿宋_GB2312"/>
          <w:sz w:val="32"/>
          <w:szCs w:val="32"/>
        </w:rPr>
        <w:t>组织对3个项目开展绩效自评，绩效自评表详见第四部分附件。</w:t>
      </w:r>
    </w:p>
    <w:p>
      <w:pPr>
        <w:keepNext w:val="0"/>
        <w:keepLines w:val="0"/>
        <w:pageBreakBefore w:val="0"/>
        <w:widowControl/>
        <w:kinsoku/>
        <w:wordWrap/>
        <w:overflowPunct/>
        <w:topLinePunct w:val="0"/>
        <w:bidi w:val="0"/>
        <w:snapToGrid/>
        <w:spacing w:line="600" w:lineRule="exact"/>
        <w:ind w:firstLine="660" w:firstLineChars="200"/>
        <w:jc w:val="left"/>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2023年我办部门整体支出绩效自查自评结果良好，全年基本支出保证了部门的正常运转，项目支出保障了重点工作的开展。</w:t>
      </w:r>
    </w:p>
    <w:p>
      <w:pPr>
        <w:keepNext w:val="0"/>
        <w:keepLines w:val="0"/>
        <w:pageBreakBefore w:val="0"/>
        <w:kinsoku/>
        <w:wordWrap/>
        <w:overflowPunct/>
        <w:topLinePunct w:val="0"/>
        <w:bidi w:val="0"/>
        <w:snapToGrid/>
        <w:spacing w:line="600" w:lineRule="exact"/>
        <w:ind w:firstLine="707" w:firstLineChars="221"/>
        <w:textAlignment w:val="auto"/>
        <w:rPr>
          <w:rFonts w:ascii="仿宋_GB2312" w:eastAsia="仿宋_GB2312"/>
          <w:sz w:val="32"/>
          <w:szCs w:val="32"/>
        </w:rPr>
      </w:pPr>
    </w:p>
    <w:p>
      <w:pPr>
        <w:keepNext w:val="0"/>
        <w:keepLines w:val="0"/>
        <w:pageBreakBefore w:val="0"/>
        <w:widowControl/>
        <w:kinsoku/>
        <w:wordWrap/>
        <w:overflowPunct/>
        <w:topLinePunct w:val="0"/>
        <w:bidi w:val="0"/>
        <w:snapToGrid/>
        <w:spacing w:line="600" w:lineRule="exact"/>
        <w:ind w:firstLine="643" w:firstLineChars="200"/>
        <w:textAlignment w:val="auto"/>
        <w:rPr>
          <w:rFonts w:eastAsia="仿宋_GB2312"/>
          <w:b/>
          <w:color w:val="FF0000"/>
          <w:sz w:val="32"/>
          <w:szCs w:val="32"/>
        </w:rPr>
      </w:pPr>
      <w:r>
        <w:rPr>
          <w:rFonts w:eastAsia="仿宋_GB2312"/>
          <w:b/>
          <w:color w:val="FF0000"/>
          <w:sz w:val="32"/>
          <w:szCs w:val="32"/>
        </w:rPr>
        <w:br w:type="page"/>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jc w:val="center"/>
        <w:textAlignment w:val="auto"/>
        <w:outlineLvl w:val="0"/>
        <w:rPr>
          <w:rStyle w:val="29"/>
          <w:rFonts w:ascii="黑体" w:hAnsi="黑体" w:eastAsia="黑体"/>
          <w:b w:val="0"/>
        </w:rPr>
      </w:pPr>
      <w:bookmarkStart w:id="44" w:name="_Toc15377225"/>
      <w:bookmarkStart w:id="45" w:name="_Toc15396613"/>
      <w:r>
        <w:rPr>
          <w:rStyle w:val="29"/>
          <w:rFonts w:hint="eastAsia" w:ascii="方正小标宋_GBK" w:hAnsi="黑体" w:eastAsia="方正小标宋_GBK" w:cs="Times New Roman"/>
          <w:b w:val="0"/>
          <w:lang w:val="en-US" w:eastAsia="zh-CN"/>
        </w:rPr>
        <w:t xml:space="preserve"> </w:t>
      </w:r>
      <w:r>
        <w:rPr>
          <w:rStyle w:val="29"/>
          <w:rFonts w:hint="eastAsia" w:ascii="方正小标宋_GBK" w:hAnsi="黑体" w:eastAsia="方正小标宋_GBK" w:cs="Times New Roman"/>
          <w:b w:val="0"/>
        </w:rPr>
        <w:t>名词解</w:t>
      </w:r>
      <w:r>
        <w:rPr>
          <w:rStyle w:val="29"/>
          <w:rFonts w:hint="eastAsia" w:ascii="黑体" w:hAnsi="黑体" w:eastAsia="黑体"/>
          <w:b w:val="0"/>
        </w:rPr>
        <w:t>释</w:t>
      </w:r>
      <w:bookmarkEnd w:id="44"/>
      <w:bookmarkEnd w:id="45"/>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b/>
          <w:sz w:val="44"/>
          <w:szCs w:val="44"/>
        </w:rPr>
      </w:pPr>
    </w:p>
    <w:p>
      <w:pPr>
        <w:pStyle w:val="27"/>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bookmarkStart w:id="46" w:name="_Toc15396614"/>
      <w:bookmarkStart w:id="47" w:name="_Toc15377226"/>
      <w:r>
        <w:rPr>
          <w:rFonts w:hint="eastAsia" w:ascii="仿宋_GB2312" w:hAnsi="仿宋_GB2312" w:eastAsia="仿宋_GB2312" w:cs="仿宋_GB2312"/>
          <w:color w:val="auto"/>
          <w:sz w:val="32"/>
          <w:szCs w:val="32"/>
        </w:rPr>
        <w:t>1.财政拨款收入：指单位从同级财政部门取得的财政预算资金。</w:t>
      </w:r>
    </w:p>
    <w:p>
      <w:pPr>
        <w:pStyle w:val="27"/>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2.年初结转和结余：指以前年度尚未完成、结转到本年按有关规定继续使用的资金。 </w:t>
      </w:r>
    </w:p>
    <w:p>
      <w:pPr>
        <w:pStyle w:val="27"/>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3.年末结转和结余：指单位按有关规定结转到下年或以后年度继续使用的资金。</w:t>
      </w:r>
    </w:p>
    <w:p>
      <w:pPr>
        <w:pStyle w:val="27"/>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3.一般公共服务（类）党委办公厅（室）及相关机构事务（款）行政运行（项）：指行政单位（包括实行公务员管理的事业单位）的基本支出。</w:t>
      </w:r>
    </w:p>
    <w:p>
      <w:pPr>
        <w:pStyle w:val="27"/>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4.一般公共服务（类）党委办公厅（室）及相关机构事务（款）一般行政管理事务（项）：指行政单位（包括实行公务员管理的事业单位）未单独设置项级科目的其他项目支出。</w:t>
      </w:r>
    </w:p>
    <w:p>
      <w:pPr>
        <w:pStyle w:val="27"/>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5.一般公共服务（类）党委办公厅（室）及相关机构事务（款）事业运行（项）：指事业单位的基本支出，不包括行政单位（包括实行公务员管理的事业单位）后勤服务中心、医务室等附属事业单位。</w:t>
      </w:r>
    </w:p>
    <w:p>
      <w:pPr>
        <w:pStyle w:val="27"/>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6.社会保障和就业（类）行政事业单位养老支出（款）行政单位离退休（项）：指行政单位（包括实行公务员管理的事业单位）开支离退休经费。</w:t>
      </w:r>
    </w:p>
    <w:p>
      <w:pPr>
        <w:pStyle w:val="27"/>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7.社会保障和就业（类）行政事业单位养老支出（款）机关事业单位基本养老保险缴费支出（项）：指机关事业单位实施养老保险制度由单位缴纳的基本养老保险费支出。</w:t>
      </w:r>
    </w:p>
    <w:p>
      <w:pPr>
        <w:pStyle w:val="27"/>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8.社会保障和就业（类）行政事业单位养老支出（款）机关事业单位职业年金缴费支出（项）：指机关事业单位实施养老保险制度由单位实际缴纳的职业年金费支出。</w:t>
      </w:r>
    </w:p>
    <w:p>
      <w:pPr>
        <w:pStyle w:val="27"/>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卫生健康（类）行政事业单位医疗（款）行政单位医疗（项）：指财政部门安排的行政单位（包括实行公务员管理的事业单位）基本医疗保险缴费经费，未参加医疗保险的行政单位的公费医疗经费，按国家规定享受离休人员、红军老战士待遇人员的医疗经费。</w:t>
      </w:r>
    </w:p>
    <w:p>
      <w:pPr>
        <w:pStyle w:val="27"/>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10.卫生健康（类）行政事业单位医疗（款）事业单位医疗（项）：指财政部门安排的事业单位基本医疗保险缴费经费，未参加医疗保险的事业单位的公费医疗经费，按国家规定享受离休人员待遇人员的医疗经费。</w:t>
      </w:r>
    </w:p>
    <w:p>
      <w:pPr>
        <w:pStyle w:val="27"/>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11.卫生健康（类）行政事业单位医疗（款）公务员医疗补助（项）：指财政部门安排的公务员医疗补助经费。</w:t>
      </w:r>
    </w:p>
    <w:p>
      <w:pPr>
        <w:pStyle w:val="27"/>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12.卫生健康（类）行政事业单位医疗（款）其他行政事业单位医疗支出（项）：指除上述项目以外的其他用于行政事业单位医疗方面的支出。</w:t>
      </w:r>
    </w:p>
    <w:p>
      <w:pPr>
        <w:pStyle w:val="27"/>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13.城乡社区（类）国有土地使用权出让收入安排的支出（款）土地开发支出（项）：指新疆生产建设兵团和地方政府用于前期土地开发性支出以及与前期土地开发相关的费用等支出。</w:t>
      </w:r>
    </w:p>
    <w:p>
      <w:pPr>
        <w:pStyle w:val="27"/>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14.住房保障（类）住房改革支出（款）住房公积金（项）：指行政事业单位按人力资源和社会保障部、财政部规定的基本工资和津贴补贴以及规定比例为职工缴纳的住房公积金。</w:t>
      </w:r>
    </w:p>
    <w:p>
      <w:pPr>
        <w:pStyle w:val="27"/>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15.基本支出：指为保障机构正常运转、完成日常工作任务而发生的人员支出和公用支出。</w:t>
      </w:r>
    </w:p>
    <w:p>
      <w:pPr>
        <w:pStyle w:val="27"/>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16.项目支出：指在基本支出之外为完成特定行政任务和事业发展目标所发生的支出。</w:t>
      </w:r>
    </w:p>
    <w:p>
      <w:pPr>
        <w:pStyle w:val="27"/>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46"/>
    <w:p>
      <w:pPr>
        <w:spacing w:line="600" w:lineRule="exact"/>
        <w:jc w:val="center"/>
        <w:outlineLvl w:val="0"/>
        <w:rPr>
          <w:rStyle w:val="29"/>
          <w:rFonts w:hint="eastAsia" w:ascii="方正小标宋_GBK" w:hAnsi="黑体" w:eastAsia="方正小标宋_GBK"/>
          <w:sz w:val="38"/>
          <w:szCs w:val="38"/>
        </w:rPr>
      </w:pPr>
      <w:bookmarkStart w:id="48" w:name="_Toc15396618"/>
      <w:r>
        <w:rPr>
          <w:rStyle w:val="29"/>
          <w:rFonts w:hint="eastAsia" w:ascii="方正小标宋_GBK" w:hAnsi="黑体" w:eastAsia="方正小标宋_GBK" w:cs="Times New Roman"/>
          <w:b w:val="0"/>
        </w:rPr>
        <w:t>第四部分  附件</w:t>
      </w:r>
    </w:p>
    <w:p>
      <w:pPr>
        <w:spacing w:line="572" w:lineRule="exact"/>
        <w:jc w:val="center"/>
        <w:outlineLvl w:val="0"/>
        <w:rPr>
          <w:rFonts w:hint="eastAsia" w:ascii="仿宋_GB2312" w:eastAsia="仿宋_GB2312"/>
          <w:color w:val="auto"/>
          <w:sz w:val="32"/>
          <w:szCs w:val="32"/>
          <w:highlight w:val="none"/>
          <w:lang w:val="en-US" w:eastAsia="zh-CN"/>
        </w:rPr>
      </w:pPr>
    </w:p>
    <w:p>
      <w:pPr>
        <w:spacing w:line="572" w:lineRule="exact"/>
        <w:jc w:val="center"/>
        <w:outlineLvl w:val="0"/>
        <w:rPr>
          <w:rFonts w:hint="eastAsia" w:ascii="黑体" w:hAnsi="黑体" w:eastAsia="黑体" w:cs="黑体"/>
          <w:color w:val="FF0000"/>
          <w:sz w:val="32"/>
          <w:szCs w:val="32"/>
        </w:rPr>
      </w:pPr>
      <w:r>
        <w:rPr>
          <w:rFonts w:hint="eastAsia" w:ascii="仿宋_GB2312" w:eastAsia="仿宋_GB2312"/>
          <w:color w:val="auto"/>
          <w:sz w:val="32"/>
          <w:szCs w:val="32"/>
          <w:highlight w:val="none"/>
          <w:lang w:val="en-US" w:eastAsia="zh-CN"/>
        </w:rPr>
        <w:t>部门预算项目支出绩效自评表（2023年度）</w:t>
      </w:r>
    </w:p>
    <w:p>
      <w:pPr>
        <w:jc w:val="center"/>
        <w:outlineLvl w:val="0"/>
        <w:rPr>
          <w:rFonts w:hint="eastAsia" w:ascii="黑体" w:hAnsi="黑体" w:eastAsia="黑体"/>
          <w:sz w:val="44"/>
          <w:szCs w:val="44"/>
        </w:rPr>
      </w:pPr>
    </w:p>
    <w:p>
      <w:pPr>
        <w:jc w:val="center"/>
        <w:outlineLvl w:val="0"/>
        <w:rPr>
          <w:rFonts w:hint="eastAsia" w:ascii="黑体" w:hAnsi="黑体" w:eastAsia="黑体"/>
          <w:sz w:val="44"/>
          <w:szCs w:val="44"/>
        </w:rPr>
      </w:pPr>
    </w:p>
    <w:p>
      <w:pPr>
        <w:jc w:val="center"/>
        <w:outlineLvl w:val="0"/>
        <w:rPr>
          <w:rFonts w:hint="eastAsia" w:ascii="黑体" w:hAnsi="黑体" w:eastAsia="黑体"/>
          <w:sz w:val="44"/>
          <w:szCs w:val="44"/>
        </w:rPr>
      </w:pPr>
    </w:p>
    <w:p>
      <w:pPr>
        <w:jc w:val="center"/>
        <w:outlineLvl w:val="0"/>
        <w:rPr>
          <w:rFonts w:hint="eastAsia" w:ascii="黑体" w:hAnsi="黑体" w:eastAsia="黑体"/>
          <w:sz w:val="44"/>
          <w:szCs w:val="44"/>
        </w:rPr>
      </w:pPr>
    </w:p>
    <w:p>
      <w:pPr>
        <w:jc w:val="center"/>
        <w:outlineLvl w:val="0"/>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rPr>
          <w:rFonts w:hint="eastAsia"/>
        </w:rPr>
      </w:pPr>
    </w:p>
    <w:p>
      <w:pPr>
        <w:jc w:val="center"/>
        <w:outlineLvl w:val="0"/>
        <w:rPr>
          <w:rFonts w:ascii="仿宋" w:hAnsi="仿宋" w:eastAsia="仿宋"/>
        </w:rPr>
      </w:pPr>
      <w:r>
        <w:rPr>
          <w:rFonts w:hint="eastAsia" w:ascii="黑体" w:hAnsi="黑体" w:eastAsia="黑体"/>
          <w:sz w:val="44"/>
          <w:szCs w:val="44"/>
        </w:rPr>
        <w:t>第</w:t>
      </w:r>
      <w:r>
        <w:rPr>
          <w:rStyle w:val="29"/>
          <w:rFonts w:hint="eastAsia" w:ascii="黑体" w:hAnsi="黑体" w:eastAsia="黑体"/>
          <w:b w:val="0"/>
        </w:rPr>
        <w:t>五部分</w:t>
      </w:r>
      <w:r>
        <w:rPr>
          <w:rStyle w:val="29"/>
          <w:rFonts w:hint="eastAsia" w:ascii="黑体" w:hAnsi="黑体" w:eastAsia="黑体"/>
          <w:b w:val="0"/>
          <w:lang w:val="en-US" w:eastAsia="zh-CN"/>
        </w:rPr>
        <w:t xml:space="preserve">  </w:t>
      </w:r>
      <w:r>
        <w:rPr>
          <w:rStyle w:val="29"/>
          <w:rFonts w:hint="eastAsia" w:ascii="黑体" w:hAnsi="黑体" w:eastAsia="黑体"/>
          <w:b w:val="0"/>
        </w:rPr>
        <w:t>附表</w:t>
      </w:r>
      <w:bookmarkEnd w:id="47"/>
      <w:bookmarkEnd w:id="48"/>
      <w:bookmarkStart w:id="49" w:name="_Toc15396619"/>
    </w:p>
    <w:p>
      <w:pPr>
        <w:pStyle w:val="4"/>
        <w:spacing w:before="0" w:after="0" w:line="240" w:lineRule="auto"/>
        <w:rPr>
          <w:rFonts w:hint="eastAsia" w:ascii="仿宋" w:hAnsi="仿宋" w:eastAsia="仿宋"/>
          <w:b w:val="0"/>
        </w:rPr>
      </w:pPr>
    </w:p>
    <w:p>
      <w:pPr>
        <w:pStyle w:val="4"/>
        <w:spacing w:before="0" w:after="0" w:line="240" w:lineRule="auto"/>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b w:val="0"/>
        </w:rPr>
        <w:t>一、收</w:t>
      </w:r>
      <w:r>
        <w:rPr>
          <w:rStyle w:val="30"/>
          <w:rFonts w:hint="eastAsia" w:ascii="仿宋_GB2312" w:hAnsi="仿宋_GB2312" w:eastAsia="仿宋_GB2312" w:cs="仿宋_GB2312"/>
          <w:b w:val="0"/>
          <w:bCs w:val="0"/>
        </w:rPr>
        <w:t>入支出决算总表</w:t>
      </w:r>
      <w:bookmarkEnd w:id="49"/>
    </w:p>
    <w:p>
      <w:pPr>
        <w:pStyle w:val="4"/>
        <w:spacing w:before="0" w:after="0" w:line="240" w:lineRule="auto"/>
        <w:ind w:left="0" w:leftChars="0" w:firstLine="640" w:firstLineChars="200"/>
        <w:rPr>
          <w:rFonts w:hint="eastAsia" w:ascii="仿宋_GB2312" w:hAnsi="仿宋_GB2312" w:eastAsia="仿宋_GB2312" w:cs="仿宋_GB2312"/>
        </w:rPr>
      </w:pPr>
      <w:bookmarkStart w:id="50" w:name="_Toc15396620"/>
      <w:r>
        <w:rPr>
          <w:rFonts w:hint="eastAsia" w:ascii="仿宋_GB2312" w:hAnsi="仿宋_GB2312" w:eastAsia="仿宋_GB2312" w:cs="仿宋_GB2312"/>
          <w:b w:val="0"/>
        </w:rPr>
        <w:t>二、收</w:t>
      </w:r>
      <w:r>
        <w:rPr>
          <w:rStyle w:val="30"/>
          <w:rFonts w:hint="eastAsia" w:ascii="仿宋_GB2312" w:hAnsi="仿宋_GB2312" w:eastAsia="仿宋_GB2312" w:cs="仿宋_GB2312"/>
          <w:b w:val="0"/>
          <w:bCs w:val="0"/>
        </w:rPr>
        <w:t>入决算表</w:t>
      </w:r>
      <w:bookmarkEnd w:id="50"/>
    </w:p>
    <w:p>
      <w:pPr>
        <w:pStyle w:val="4"/>
        <w:spacing w:before="0" w:after="0" w:line="240" w:lineRule="auto"/>
        <w:ind w:left="0" w:leftChars="0" w:firstLine="640" w:firstLineChars="200"/>
        <w:rPr>
          <w:rFonts w:hint="eastAsia" w:ascii="仿宋_GB2312" w:hAnsi="仿宋_GB2312" w:eastAsia="仿宋_GB2312" w:cs="仿宋_GB2312"/>
        </w:rPr>
      </w:pPr>
      <w:bookmarkStart w:id="51" w:name="_Toc15396621"/>
      <w:r>
        <w:rPr>
          <w:rStyle w:val="30"/>
          <w:rFonts w:hint="eastAsia" w:ascii="仿宋_GB2312" w:hAnsi="仿宋_GB2312" w:eastAsia="仿宋_GB2312" w:cs="仿宋_GB2312"/>
          <w:b w:val="0"/>
          <w:bCs w:val="0"/>
        </w:rPr>
        <w:t>三、</w:t>
      </w:r>
      <w:r>
        <w:rPr>
          <w:rFonts w:hint="eastAsia" w:ascii="仿宋_GB2312" w:hAnsi="仿宋_GB2312" w:eastAsia="仿宋_GB2312" w:cs="仿宋_GB2312"/>
          <w:b w:val="0"/>
        </w:rPr>
        <w:t>支</w:t>
      </w:r>
      <w:r>
        <w:rPr>
          <w:rStyle w:val="30"/>
          <w:rFonts w:hint="eastAsia" w:ascii="仿宋_GB2312" w:hAnsi="仿宋_GB2312" w:eastAsia="仿宋_GB2312" w:cs="仿宋_GB2312"/>
          <w:b w:val="0"/>
          <w:bCs w:val="0"/>
        </w:rPr>
        <w:t>出决算表</w:t>
      </w:r>
      <w:bookmarkEnd w:id="51"/>
    </w:p>
    <w:p>
      <w:pPr>
        <w:pStyle w:val="4"/>
        <w:spacing w:before="0" w:after="0" w:line="240" w:lineRule="auto"/>
        <w:ind w:left="0" w:leftChars="0" w:firstLine="640" w:firstLineChars="200"/>
        <w:rPr>
          <w:rFonts w:hint="eastAsia" w:ascii="仿宋_GB2312" w:hAnsi="仿宋_GB2312" w:eastAsia="仿宋_GB2312" w:cs="仿宋_GB2312"/>
          <w:b w:val="0"/>
        </w:rPr>
      </w:pPr>
      <w:bookmarkStart w:id="52" w:name="_Toc15396622"/>
      <w:r>
        <w:rPr>
          <w:rStyle w:val="30"/>
          <w:rFonts w:hint="eastAsia" w:ascii="仿宋_GB2312" w:hAnsi="仿宋_GB2312" w:eastAsia="仿宋_GB2312" w:cs="仿宋_GB2312"/>
          <w:b w:val="0"/>
          <w:bCs w:val="0"/>
        </w:rPr>
        <w:t>四、</w:t>
      </w:r>
      <w:r>
        <w:rPr>
          <w:rFonts w:hint="eastAsia" w:ascii="仿宋_GB2312" w:hAnsi="仿宋_GB2312" w:eastAsia="仿宋_GB2312" w:cs="仿宋_GB2312"/>
          <w:b w:val="0"/>
        </w:rPr>
        <w:t>财</w:t>
      </w:r>
      <w:r>
        <w:rPr>
          <w:rStyle w:val="30"/>
          <w:rFonts w:hint="eastAsia" w:ascii="仿宋_GB2312" w:hAnsi="仿宋_GB2312" w:eastAsia="仿宋_GB2312" w:cs="仿宋_GB2312"/>
          <w:b w:val="0"/>
          <w:bCs w:val="0"/>
        </w:rPr>
        <w:t>政拨款收入支出决算总表</w:t>
      </w:r>
      <w:bookmarkEnd w:id="52"/>
    </w:p>
    <w:p>
      <w:pPr>
        <w:pStyle w:val="4"/>
        <w:spacing w:before="0" w:after="0" w:line="240" w:lineRule="auto"/>
        <w:ind w:left="0" w:leftChars="0" w:firstLine="640" w:firstLineChars="200"/>
        <w:rPr>
          <w:rStyle w:val="30"/>
          <w:rFonts w:hint="eastAsia" w:ascii="仿宋_GB2312" w:hAnsi="仿宋_GB2312" w:eastAsia="仿宋_GB2312" w:cs="仿宋_GB2312"/>
          <w:b w:val="0"/>
          <w:bCs w:val="0"/>
        </w:rPr>
      </w:pPr>
      <w:bookmarkStart w:id="53" w:name="_Toc15396623"/>
      <w:r>
        <w:rPr>
          <w:rStyle w:val="30"/>
          <w:rFonts w:hint="eastAsia" w:ascii="仿宋_GB2312" w:hAnsi="仿宋_GB2312" w:eastAsia="仿宋_GB2312" w:cs="仿宋_GB2312"/>
          <w:b w:val="0"/>
          <w:bCs w:val="0"/>
        </w:rPr>
        <w:t>五、</w:t>
      </w:r>
      <w:r>
        <w:rPr>
          <w:rFonts w:hint="eastAsia" w:ascii="仿宋_GB2312" w:hAnsi="仿宋_GB2312" w:eastAsia="仿宋_GB2312" w:cs="仿宋_GB2312"/>
          <w:b w:val="0"/>
        </w:rPr>
        <w:t>财</w:t>
      </w:r>
      <w:r>
        <w:rPr>
          <w:rStyle w:val="30"/>
          <w:rFonts w:hint="eastAsia" w:ascii="仿宋_GB2312" w:hAnsi="仿宋_GB2312" w:eastAsia="仿宋_GB2312" w:cs="仿宋_GB2312"/>
          <w:b w:val="0"/>
          <w:bCs w:val="0"/>
        </w:rPr>
        <w:t>政拨款支出决算明细表</w:t>
      </w:r>
      <w:bookmarkEnd w:id="53"/>
      <w:bookmarkStart w:id="54" w:name="_Toc15396624"/>
    </w:p>
    <w:p>
      <w:pPr>
        <w:pStyle w:val="4"/>
        <w:spacing w:before="0" w:after="0" w:line="240" w:lineRule="auto"/>
        <w:ind w:left="0" w:leftChars="0" w:firstLine="640" w:firstLineChars="200"/>
        <w:rPr>
          <w:rFonts w:hint="eastAsia" w:ascii="仿宋_GB2312" w:hAnsi="仿宋_GB2312" w:eastAsia="仿宋_GB2312" w:cs="仿宋_GB2312"/>
        </w:rPr>
      </w:pPr>
      <w:r>
        <w:rPr>
          <w:rStyle w:val="30"/>
          <w:rFonts w:hint="eastAsia" w:ascii="仿宋_GB2312" w:hAnsi="仿宋_GB2312" w:eastAsia="仿宋_GB2312" w:cs="仿宋_GB2312"/>
          <w:b w:val="0"/>
          <w:bCs w:val="0"/>
        </w:rPr>
        <w:t>六、</w:t>
      </w:r>
      <w:r>
        <w:rPr>
          <w:rFonts w:hint="eastAsia" w:ascii="仿宋_GB2312" w:hAnsi="仿宋_GB2312" w:eastAsia="仿宋_GB2312" w:cs="仿宋_GB2312"/>
          <w:b w:val="0"/>
        </w:rPr>
        <w:t>一</w:t>
      </w:r>
      <w:r>
        <w:rPr>
          <w:rStyle w:val="30"/>
          <w:rFonts w:hint="eastAsia" w:ascii="仿宋_GB2312" w:hAnsi="仿宋_GB2312" w:eastAsia="仿宋_GB2312" w:cs="仿宋_GB2312"/>
          <w:b w:val="0"/>
          <w:bCs w:val="0"/>
        </w:rPr>
        <w:t>般公共预算财政拨款支出决算表</w:t>
      </w:r>
      <w:bookmarkEnd w:id="54"/>
    </w:p>
    <w:p>
      <w:pPr>
        <w:pStyle w:val="4"/>
        <w:spacing w:before="0" w:after="0" w:line="240" w:lineRule="auto"/>
        <w:ind w:left="0" w:leftChars="0" w:firstLine="640" w:firstLineChars="200"/>
        <w:rPr>
          <w:rFonts w:hint="eastAsia" w:ascii="仿宋_GB2312" w:hAnsi="仿宋_GB2312" w:eastAsia="仿宋_GB2312" w:cs="仿宋_GB2312"/>
        </w:rPr>
      </w:pPr>
      <w:bookmarkStart w:id="55" w:name="_Toc15396625"/>
      <w:r>
        <w:rPr>
          <w:rStyle w:val="30"/>
          <w:rFonts w:hint="eastAsia" w:ascii="仿宋_GB2312" w:hAnsi="仿宋_GB2312" w:eastAsia="仿宋_GB2312" w:cs="仿宋_GB2312"/>
          <w:b w:val="0"/>
          <w:bCs w:val="0"/>
        </w:rPr>
        <w:t>七、</w:t>
      </w:r>
      <w:r>
        <w:rPr>
          <w:rFonts w:hint="eastAsia" w:ascii="仿宋_GB2312" w:hAnsi="仿宋_GB2312" w:eastAsia="仿宋_GB2312" w:cs="仿宋_GB2312"/>
          <w:b w:val="0"/>
        </w:rPr>
        <w:t>一</w:t>
      </w:r>
      <w:r>
        <w:rPr>
          <w:rStyle w:val="30"/>
          <w:rFonts w:hint="eastAsia" w:ascii="仿宋_GB2312" w:hAnsi="仿宋_GB2312" w:eastAsia="仿宋_GB2312" w:cs="仿宋_GB2312"/>
          <w:b w:val="0"/>
          <w:bCs w:val="0"/>
        </w:rPr>
        <w:t>般公共预算财政拨款支出决算明细表</w:t>
      </w:r>
      <w:bookmarkEnd w:id="55"/>
    </w:p>
    <w:p>
      <w:pPr>
        <w:pStyle w:val="4"/>
        <w:spacing w:before="0" w:after="0" w:line="240" w:lineRule="auto"/>
        <w:ind w:left="0" w:leftChars="0" w:firstLine="640" w:firstLineChars="200"/>
        <w:rPr>
          <w:rFonts w:hint="eastAsia" w:ascii="仿宋_GB2312" w:hAnsi="仿宋_GB2312" w:eastAsia="仿宋_GB2312" w:cs="仿宋_GB2312"/>
        </w:rPr>
      </w:pPr>
      <w:bookmarkStart w:id="56" w:name="_Toc15396626"/>
      <w:r>
        <w:rPr>
          <w:rStyle w:val="30"/>
          <w:rFonts w:hint="eastAsia" w:ascii="仿宋_GB2312" w:hAnsi="仿宋_GB2312" w:eastAsia="仿宋_GB2312" w:cs="仿宋_GB2312"/>
          <w:b w:val="0"/>
          <w:bCs w:val="0"/>
        </w:rPr>
        <w:t>八、</w:t>
      </w:r>
      <w:r>
        <w:rPr>
          <w:rFonts w:hint="eastAsia" w:ascii="仿宋_GB2312" w:hAnsi="仿宋_GB2312" w:eastAsia="仿宋_GB2312" w:cs="仿宋_GB2312"/>
          <w:b w:val="0"/>
        </w:rPr>
        <w:t>一</w:t>
      </w:r>
      <w:r>
        <w:rPr>
          <w:rStyle w:val="30"/>
          <w:rFonts w:hint="eastAsia" w:ascii="仿宋_GB2312" w:hAnsi="仿宋_GB2312" w:eastAsia="仿宋_GB2312" w:cs="仿宋_GB2312"/>
          <w:b w:val="0"/>
          <w:bCs w:val="0"/>
        </w:rPr>
        <w:t>般公共预算财政拨款基本支出决算表</w:t>
      </w:r>
      <w:bookmarkEnd w:id="56"/>
    </w:p>
    <w:p>
      <w:pPr>
        <w:pStyle w:val="4"/>
        <w:spacing w:before="0" w:after="0" w:line="240" w:lineRule="auto"/>
        <w:ind w:left="0" w:leftChars="0" w:firstLine="640" w:firstLineChars="200"/>
        <w:rPr>
          <w:rFonts w:hint="eastAsia" w:ascii="仿宋_GB2312" w:hAnsi="仿宋_GB2312" w:eastAsia="仿宋_GB2312" w:cs="仿宋_GB2312"/>
        </w:rPr>
      </w:pPr>
      <w:bookmarkStart w:id="57" w:name="_Toc15396627"/>
      <w:r>
        <w:rPr>
          <w:rStyle w:val="30"/>
          <w:rFonts w:hint="eastAsia" w:ascii="仿宋_GB2312" w:hAnsi="仿宋_GB2312" w:eastAsia="仿宋_GB2312" w:cs="仿宋_GB2312"/>
          <w:b w:val="0"/>
          <w:bCs w:val="0"/>
        </w:rPr>
        <w:t>九、</w:t>
      </w:r>
      <w:r>
        <w:rPr>
          <w:rFonts w:hint="eastAsia" w:ascii="仿宋_GB2312" w:hAnsi="仿宋_GB2312" w:eastAsia="仿宋_GB2312" w:cs="仿宋_GB2312"/>
          <w:b w:val="0"/>
        </w:rPr>
        <w:t>一</w:t>
      </w:r>
      <w:r>
        <w:rPr>
          <w:rStyle w:val="30"/>
          <w:rFonts w:hint="eastAsia" w:ascii="仿宋_GB2312" w:hAnsi="仿宋_GB2312" w:eastAsia="仿宋_GB2312" w:cs="仿宋_GB2312"/>
          <w:b w:val="0"/>
          <w:bCs w:val="0"/>
        </w:rPr>
        <w:t>般公共预算财政拨款项目支出决算表</w:t>
      </w:r>
      <w:bookmarkEnd w:id="57"/>
    </w:p>
    <w:p>
      <w:pPr>
        <w:pStyle w:val="4"/>
        <w:spacing w:before="0" w:after="0" w:line="240" w:lineRule="auto"/>
        <w:ind w:left="0" w:leftChars="0" w:firstLine="640" w:firstLineChars="200"/>
        <w:rPr>
          <w:rFonts w:hint="eastAsia" w:ascii="仿宋_GB2312" w:hAnsi="仿宋_GB2312" w:eastAsia="仿宋_GB2312" w:cs="仿宋_GB2312"/>
        </w:rPr>
      </w:pPr>
      <w:bookmarkStart w:id="58" w:name="_Toc15396628"/>
      <w:r>
        <w:rPr>
          <w:rStyle w:val="30"/>
          <w:rFonts w:hint="eastAsia" w:ascii="仿宋_GB2312" w:hAnsi="仿宋_GB2312" w:eastAsia="仿宋_GB2312" w:cs="仿宋_GB2312"/>
          <w:b w:val="0"/>
          <w:bCs w:val="0"/>
        </w:rPr>
        <w:t>十、</w:t>
      </w:r>
      <w:bookmarkEnd w:id="58"/>
      <w:r>
        <w:rPr>
          <w:rFonts w:hint="eastAsia" w:ascii="仿宋_GB2312" w:hAnsi="仿宋_GB2312" w:eastAsia="仿宋_GB2312" w:cs="仿宋_GB2312"/>
          <w:b w:val="0"/>
        </w:rPr>
        <w:t>政</w:t>
      </w:r>
      <w:r>
        <w:rPr>
          <w:rStyle w:val="30"/>
          <w:rFonts w:hint="eastAsia" w:ascii="仿宋_GB2312" w:hAnsi="仿宋_GB2312" w:eastAsia="仿宋_GB2312" w:cs="仿宋_GB2312"/>
          <w:b w:val="0"/>
          <w:bCs w:val="0"/>
        </w:rPr>
        <w:t>府性基金预算财政拨款收入支出决算表</w:t>
      </w:r>
    </w:p>
    <w:p>
      <w:pPr>
        <w:pStyle w:val="4"/>
        <w:spacing w:before="0" w:after="0" w:line="240" w:lineRule="auto"/>
        <w:ind w:left="0" w:leftChars="0" w:firstLine="640" w:firstLineChars="200"/>
        <w:rPr>
          <w:rFonts w:hint="eastAsia" w:ascii="仿宋_GB2312" w:hAnsi="仿宋_GB2312" w:eastAsia="仿宋_GB2312" w:cs="仿宋_GB2312"/>
        </w:rPr>
      </w:pPr>
      <w:bookmarkStart w:id="59" w:name="_Toc15396629"/>
      <w:r>
        <w:rPr>
          <w:rStyle w:val="30"/>
          <w:rFonts w:hint="eastAsia" w:ascii="仿宋_GB2312" w:hAnsi="仿宋_GB2312" w:eastAsia="仿宋_GB2312" w:cs="仿宋_GB2312"/>
          <w:b w:val="0"/>
          <w:bCs w:val="0"/>
        </w:rPr>
        <w:t>十一、</w:t>
      </w:r>
      <w:bookmarkEnd w:id="59"/>
      <w:r>
        <w:rPr>
          <w:rFonts w:hint="eastAsia" w:ascii="仿宋_GB2312" w:hAnsi="仿宋_GB2312" w:eastAsia="仿宋_GB2312" w:cs="仿宋_GB2312"/>
          <w:b w:val="0"/>
        </w:rPr>
        <w:t>国</w:t>
      </w:r>
      <w:r>
        <w:rPr>
          <w:rStyle w:val="30"/>
          <w:rFonts w:hint="eastAsia" w:ascii="仿宋_GB2312" w:hAnsi="仿宋_GB2312" w:eastAsia="仿宋_GB2312" w:cs="仿宋_GB2312"/>
          <w:b w:val="0"/>
          <w:bCs w:val="0"/>
        </w:rPr>
        <w:t>有资本经营预算财政拨款收入支出决算表</w:t>
      </w:r>
    </w:p>
    <w:p>
      <w:pPr>
        <w:pStyle w:val="4"/>
        <w:spacing w:before="0" w:after="0" w:line="240" w:lineRule="auto"/>
        <w:ind w:left="0" w:leftChars="0" w:firstLine="640" w:firstLineChars="200"/>
        <w:rPr>
          <w:rFonts w:hint="eastAsia" w:ascii="仿宋_GB2312" w:hAnsi="仿宋_GB2312" w:eastAsia="仿宋_GB2312" w:cs="仿宋_GB2312"/>
        </w:rPr>
      </w:pPr>
      <w:bookmarkStart w:id="60" w:name="_Toc15396630"/>
      <w:r>
        <w:rPr>
          <w:rStyle w:val="30"/>
          <w:rFonts w:hint="eastAsia" w:ascii="仿宋_GB2312" w:hAnsi="仿宋_GB2312" w:eastAsia="仿宋_GB2312" w:cs="仿宋_GB2312"/>
          <w:b w:val="0"/>
          <w:bCs w:val="0"/>
        </w:rPr>
        <w:t>十二、</w:t>
      </w:r>
      <w:bookmarkEnd w:id="60"/>
      <w:r>
        <w:rPr>
          <w:rStyle w:val="30"/>
          <w:rFonts w:hint="eastAsia" w:ascii="仿宋_GB2312" w:hAnsi="仿宋_GB2312" w:eastAsia="仿宋_GB2312" w:cs="仿宋_GB2312"/>
          <w:b w:val="0"/>
          <w:bCs w:val="0"/>
        </w:rPr>
        <w:t>国有资本经营预算财政拨款支出决算表</w:t>
      </w:r>
    </w:p>
    <w:p>
      <w:pPr>
        <w:pStyle w:val="4"/>
        <w:spacing w:before="0" w:after="0" w:line="240" w:lineRule="auto"/>
        <w:ind w:left="0" w:leftChars="0" w:firstLine="640" w:firstLineChars="200"/>
        <w:rPr>
          <w:rFonts w:hint="eastAsia" w:ascii="仿宋_GB2312" w:hAnsi="仿宋_GB2312" w:eastAsia="仿宋_GB2312" w:cs="仿宋_GB2312"/>
        </w:rPr>
      </w:pPr>
      <w:bookmarkStart w:id="61" w:name="_Toc15396631"/>
      <w:r>
        <w:rPr>
          <w:rStyle w:val="30"/>
          <w:rFonts w:hint="eastAsia" w:ascii="仿宋_GB2312" w:hAnsi="仿宋_GB2312" w:eastAsia="仿宋_GB2312" w:cs="仿宋_GB2312"/>
          <w:b w:val="0"/>
          <w:bCs w:val="0"/>
        </w:rPr>
        <w:t>十三、</w:t>
      </w:r>
      <w:bookmarkEnd w:id="61"/>
      <w:r>
        <w:rPr>
          <w:rStyle w:val="30"/>
          <w:rFonts w:hint="eastAsia" w:ascii="仿宋_GB2312" w:hAnsi="仿宋_GB2312" w:eastAsia="仿宋_GB2312" w:cs="仿宋_GB2312"/>
          <w:b w:val="0"/>
          <w:bCs w:val="0"/>
        </w:rPr>
        <w:t>财政拨款“三公”经费支出决算表</w:t>
      </w:r>
    </w:p>
    <w:p>
      <w:pPr>
        <w:ind w:left="0" w:leftChars="0" w:firstLine="640" w:firstLineChars="200"/>
        <w:rPr>
          <w:rFonts w:hint="eastAsia" w:ascii="仿宋_GB2312" w:hAnsi="仿宋_GB2312" w:eastAsia="仿宋_GB2312" w:cs="仿宋_GB2312"/>
          <w:sz w:val="32"/>
          <w:szCs w:val="32"/>
        </w:rPr>
      </w:pPr>
    </w:p>
    <w:sectPr>
      <w:footerReference r:id="rId7" w:type="default"/>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华文仿宋"/>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994781956"/>
                          </w:sdtPr>
                          <w:sdtContent>
                            <w:p>
                              <w:pPr>
                                <w:pStyle w:val="11"/>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5</w:t>
                              </w:r>
                              <w:r>
                                <w:rPr>
                                  <w:rFonts w:hint="eastAsia" w:asciiTheme="minorEastAsia" w:hAnsiTheme="minorEastAsia" w:eastAsiaTheme="minorEastAsia" w:cstheme="minorEastAsia"/>
                                  <w:sz w:val="28"/>
                                  <w:szCs w:val="28"/>
                                </w:rPr>
                                <w:fldChar w:fldCharType="end"/>
                              </w:r>
                            </w:p>
                          </w:sdtContent>
                        </w:sdt>
                        <w:p>
                          <w:pPr>
                            <w:pStyle w:val="6"/>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ZYhMo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vZYhMoBAACcAwAADgAAAAAAAAABACAAAAAeAQAAZHJzL2Uyb0Rv&#10;Yy54bWxQSwUGAAAAAAYABgBZAQAAWgUAAAAA&#10;">
              <v:fill on="f" focussize="0,0"/>
              <v:stroke on="f"/>
              <v:imagedata o:title=""/>
              <o:lock v:ext="edit" aspectratio="f"/>
              <v:textbox inset="0mm,0mm,0mm,0mm" style="mso-fit-shape-to-text:t;">
                <w:txbxContent>
                  <w:sdt>
                    <w:sdtPr>
                      <w:id w:val="-1994781956"/>
                    </w:sdtPr>
                    <w:sdtContent>
                      <w:p>
                        <w:pPr>
                          <w:pStyle w:val="11"/>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5</w:t>
                        </w:r>
                        <w:r>
                          <w:rPr>
                            <w:rFonts w:hint="eastAsia" w:asciiTheme="minorEastAsia" w:hAnsiTheme="minorEastAsia" w:eastAsiaTheme="minorEastAsia" w:cstheme="minorEastAsia"/>
                            <w:sz w:val="28"/>
                            <w:szCs w:val="28"/>
                          </w:rPr>
                          <w:fldChar w:fldCharType="end"/>
                        </w:r>
                      </w:p>
                    </w:sdtContent>
                  </w:sdt>
                  <w:p>
                    <w:pPr>
                      <w:pStyle w:val="6"/>
                    </w:pP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6BF6469"/>
    <w:multiLevelType w:val="singleLevel"/>
    <w:tmpl w:val="46BF6469"/>
    <w:lvl w:ilvl="0" w:tentative="0">
      <w:start w:val="4"/>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YmQwZWRkM2Y5NDNiNDY1ZTFiYWQxMWYzNjkyYTcifQ=="/>
  </w:docVars>
  <w:rsids>
    <w:rsidRoot w:val="00F1361C"/>
    <w:rsid w:val="00014A1C"/>
    <w:rsid w:val="000222C6"/>
    <w:rsid w:val="0002549F"/>
    <w:rsid w:val="00035392"/>
    <w:rsid w:val="000468DB"/>
    <w:rsid w:val="0006487A"/>
    <w:rsid w:val="00065F8F"/>
    <w:rsid w:val="00070A43"/>
    <w:rsid w:val="000768F2"/>
    <w:rsid w:val="00082EAC"/>
    <w:rsid w:val="0009184B"/>
    <w:rsid w:val="00091DDE"/>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15A42"/>
    <w:rsid w:val="00115E07"/>
    <w:rsid w:val="00142216"/>
    <w:rsid w:val="00142C8A"/>
    <w:rsid w:val="00144D6A"/>
    <w:rsid w:val="0014729F"/>
    <w:rsid w:val="00157BAB"/>
    <w:rsid w:val="001654D1"/>
    <w:rsid w:val="001730E5"/>
    <w:rsid w:val="00174518"/>
    <w:rsid w:val="0018106D"/>
    <w:rsid w:val="001877A7"/>
    <w:rsid w:val="00191536"/>
    <w:rsid w:val="00196687"/>
    <w:rsid w:val="001C076F"/>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671B9"/>
    <w:rsid w:val="0027258D"/>
    <w:rsid w:val="00280496"/>
    <w:rsid w:val="00283D47"/>
    <w:rsid w:val="00294DC9"/>
    <w:rsid w:val="00295495"/>
    <w:rsid w:val="002A31DE"/>
    <w:rsid w:val="002A62F7"/>
    <w:rsid w:val="002B2613"/>
    <w:rsid w:val="002C1468"/>
    <w:rsid w:val="002D6D05"/>
    <w:rsid w:val="002F1818"/>
    <w:rsid w:val="002F5109"/>
    <w:rsid w:val="002F567B"/>
    <w:rsid w:val="003216A9"/>
    <w:rsid w:val="00322E82"/>
    <w:rsid w:val="00330FCA"/>
    <w:rsid w:val="003348B1"/>
    <w:rsid w:val="00335A74"/>
    <w:rsid w:val="00362A72"/>
    <w:rsid w:val="0036561B"/>
    <w:rsid w:val="0037013F"/>
    <w:rsid w:val="00380C92"/>
    <w:rsid w:val="003A450E"/>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5A4A"/>
    <w:rsid w:val="003E6F55"/>
    <w:rsid w:val="003E7824"/>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1B61"/>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2EB"/>
    <w:rsid w:val="00585B33"/>
    <w:rsid w:val="0059014D"/>
    <w:rsid w:val="005A09FD"/>
    <w:rsid w:val="005A192F"/>
    <w:rsid w:val="005A2FF4"/>
    <w:rsid w:val="005B0198"/>
    <w:rsid w:val="005B321C"/>
    <w:rsid w:val="005B5C64"/>
    <w:rsid w:val="005B5C8C"/>
    <w:rsid w:val="005C5337"/>
    <w:rsid w:val="005C6BD0"/>
    <w:rsid w:val="005D1C8B"/>
    <w:rsid w:val="005D468D"/>
    <w:rsid w:val="005D5CED"/>
    <w:rsid w:val="005D6484"/>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7657F"/>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7D0"/>
    <w:rsid w:val="00785FBA"/>
    <w:rsid w:val="00786E4A"/>
    <w:rsid w:val="007875EB"/>
    <w:rsid w:val="0079426B"/>
    <w:rsid w:val="007A7321"/>
    <w:rsid w:val="007C74B6"/>
    <w:rsid w:val="007D1682"/>
    <w:rsid w:val="007D312A"/>
    <w:rsid w:val="007D3F19"/>
    <w:rsid w:val="007E23B0"/>
    <w:rsid w:val="007E23E5"/>
    <w:rsid w:val="007E6A82"/>
    <w:rsid w:val="007F0C44"/>
    <w:rsid w:val="007F1991"/>
    <w:rsid w:val="007F2C2F"/>
    <w:rsid w:val="007F55FC"/>
    <w:rsid w:val="007F5665"/>
    <w:rsid w:val="007F7385"/>
    <w:rsid w:val="00800112"/>
    <w:rsid w:val="00813348"/>
    <w:rsid w:val="008240F3"/>
    <w:rsid w:val="008253BB"/>
    <w:rsid w:val="0083706E"/>
    <w:rsid w:val="008408F6"/>
    <w:rsid w:val="008423A5"/>
    <w:rsid w:val="00850625"/>
    <w:rsid w:val="00853718"/>
    <w:rsid w:val="00855221"/>
    <w:rsid w:val="00860645"/>
    <w:rsid w:val="00871F71"/>
    <w:rsid w:val="00872FD8"/>
    <w:rsid w:val="00875641"/>
    <w:rsid w:val="00885065"/>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58F"/>
    <w:rsid w:val="00935C98"/>
    <w:rsid w:val="00946945"/>
    <w:rsid w:val="00951248"/>
    <w:rsid w:val="0095152F"/>
    <w:rsid w:val="009546E4"/>
    <w:rsid w:val="00954C49"/>
    <w:rsid w:val="00955E37"/>
    <w:rsid w:val="0097099F"/>
    <w:rsid w:val="00971997"/>
    <w:rsid w:val="00971FFC"/>
    <w:rsid w:val="009802B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1293"/>
    <w:rsid w:val="00AD4478"/>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0531"/>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23FF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A29FC"/>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9054E"/>
    <w:rsid w:val="00EA010F"/>
    <w:rsid w:val="00EA5690"/>
    <w:rsid w:val="00EB0FAE"/>
    <w:rsid w:val="00EB194D"/>
    <w:rsid w:val="00ED1B63"/>
    <w:rsid w:val="00ED3C1F"/>
    <w:rsid w:val="00ED4085"/>
    <w:rsid w:val="00ED420E"/>
    <w:rsid w:val="00ED6FBE"/>
    <w:rsid w:val="00EE2F57"/>
    <w:rsid w:val="00EF4C34"/>
    <w:rsid w:val="00EF77C6"/>
    <w:rsid w:val="00F03938"/>
    <w:rsid w:val="00F05438"/>
    <w:rsid w:val="00F1191B"/>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FEBE30"/>
    <w:rsid w:val="036F8141"/>
    <w:rsid w:val="066E0107"/>
    <w:rsid w:val="07996F6E"/>
    <w:rsid w:val="07DFD8BA"/>
    <w:rsid w:val="0A2032A3"/>
    <w:rsid w:val="0D35B1ED"/>
    <w:rsid w:val="0E7ED1F5"/>
    <w:rsid w:val="0F98263C"/>
    <w:rsid w:val="0FD31A1D"/>
    <w:rsid w:val="101860EC"/>
    <w:rsid w:val="10C055FF"/>
    <w:rsid w:val="118107EC"/>
    <w:rsid w:val="11D4346D"/>
    <w:rsid w:val="13D50BC4"/>
    <w:rsid w:val="13F5616D"/>
    <w:rsid w:val="14D84B60"/>
    <w:rsid w:val="16BB723D"/>
    <w:rsid w:val="17F9714D"/>
    <w:rsid w:val="1918F934"/>
    <w:rsid w:val="1BE8440E"/>
    <w:rsid w:val="1D155CEE"/>
    <w:rsid w:val="1DFBC4B3"/>
    <w:rsid w:val="1E740ACF"/>
    <w:rsid w:val="1F19C781"/>
    <w:rsid w:val="1F33FCE5"/>
    <w:rsid w:val="1F7F7398"/>
    <w:rsid w:val="1FD2DB6F"/>
    <w:rsid w:val="1FF35744"/>
    <w:rsid w:val="1FF6BC77"/>
    <w:rsid w:val="1FF9236D"/>
    <w:rsid w:val="2333840E"/>
    <w:rsid w:val="23860B96"/>
    <w:rsid w:val="240371BF"/>
    <w:rsid w:val="257C638F"/>
    <w:rsid w:val="279F674B"/>
    <w:rsid w:val="29FD04D3"/>
    <w:rsid w:val="2BFF7BC6"/>
    <w:rsid w:val="2C8A61B5"/>
    <w:rsid w:val="2CD59C95"/>
    <w:rsid w:val="2DF04E50"/>
    <w:rsid w:val="2E9972B8"/>
    <w:rsid w:val="2EFD05E5"/>
    <w:rsid w:val="2F040D46"/>
    <w:rsid w:val="2F4F95CE"/>
    <w:rsid w:val="2FACAFDD"/>
    <w:rsid w:val="2FAE5751"/>
    <w:rsid w:val="2FB1A395"/>
    <w:rsid w:val="2FCF0B76"/>
    <w:rsid w:val="2FD9A7D8"/>
    <w:rsid w:val="319F7F4E"/>
    <w:rsid w:val="3304709D"/>
    <w:rsid w:val="36331EDB"/>
    <w:rsid w:val="36AA5135"/>
    <w:rsid w:val="36BE0DA7"/>
    <w:rsid w:val="376B6AA6"/>
    <w:rsid w:val="376D39B2"/>
    <w:rsid w:val="37E16F03"/>
    <w:rsid w:val="37F53A3B"/>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4E268DA"/>
    <w:rsid w:val="457F4F6B"/>
    <w:rsid w:val="4737FB58"/>
    <w:rsid w:val="47ECCB02"/>
    <w:rsid w:val="47FA6A3F"/>
    <w:rsid w:val="49D7AE48"/>
    <w:rsid w:val="4A3F6C7E"/>
    <w:rsid w:val="4A627F82"/>
    <w:rsid w:val="4B0E749A"/>
    <w:rsid w:val="4B4F25DA"/>
    <w:rsid w:val="4BBB4781"/>
    <w:rsid w:val="4BD709A5"/>
    <w:rsid w:val="4BDD9BFF"/>
    <w:rsid w:val="4BE068DB"/>
    <w:rsid w:val="4C742085"/>
    <w:rsid w:val="4D577224"/>
    <w:rsid w:val="4DBF1CEB"/>
    <w:rsid w:val="4DBF6A6B"/>
    <w:rsid w:val="4DC86598"/>
    <w:rsid w:val="4DF6A672"/>
    <w:rsid w:val="4EAB630A"/>
    <w:rsid w:val="4ECE2238"/>
    <w:rsid w:val="4F7EA413"/>
    <w:rsid w:val="4FAB812F"/>
    <w:rsid w:val="4FE9BD67"/>
    <w:rsid w:val="4FEE4C07"/>
    <w:rsid w:val="4FFB052F"/>
    <w:rsid w:val="537E6D0A"/>
    <w:rsid w:val="53AB6B88"/>
    <w:rsid w:val="53F74C96"/>
    <w:rsid w:val="5583522D"/>
    <w:rsid w:val="56A35995"/>
    <w:rsid w:val="57BD3DD4"/>
    <w:rsid w:val="57F9CD1E"/>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1CA71D5"/>
    <w:rsid w:val="627EE9EA"/>
    <w:rsid w:val="63B23AA5"/>
    <w:rsid w:val="647F5392"/>
    <w:rsid w:val="64E322C4"/>
    <w:rsid w:val="65FB93B9"/>
    <w:rsid w:val="6633C463"/>
    <w:rsid w:val="67D55B77"/>
    <w:rsid w:val="67EE7F84"/>
    <w:rsid w:val="686F5F53"/>
    <w:rsid w:val="6AFFCEAF"/>
    <w:rsid w:val="6B96E9E6"/>
    <w:rsid w:val="6BCE57B5"/>
    <w:rsid w:val="6BFEA4DB"/>
    <w:rsid w:val="6BFFB662"/>
    <w:rsid w:val="6C4A05C8"/>
    <w:rsid w:val="6CFF4FB8"/>
    <w:rsid w:val="6D395BEE"/>
    <w:rsid w:val="6D6BD6E0"/>
    <w:rsid w:val="6D77E73C"/>
    <w:rsid w:val="6DBF5E93"/>
    <w:rsid w:val="6DFF077E"/>
    <w:rsid w:val="6E0E0719"/>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87EFA"/>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247861"/>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165271"/>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200"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0"/>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Header Char"/>
    <w:basedOn w:val="18"/>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8"/>
    <w:semiHidden/>
    <w:qFormat/>
    <w:uiPriority w:val="99"/>
    <w:rPr>
      <w:rFonts w:ascii="Times New Roman" w:hAnsi="Times New Roman"/>
      <w:sz w:val="18"/>
      <w:szCs w:val="18"/>
    </w:rPr>
  </w:style>
  <w:style w:type="character" w:customStyle="1" w:styleId="24">
    <w:name w:val="页脚 Char"/>
    <w:link w:val="11"/>
    <w:qFormat/>
    <w:locked/>
    <w:uiPriority w:val="0"/>
    <w:rPr>
      <w:sz w:val="18"/>
    </w:rPr>
  </w:style>
  <w:style w:type="character" w:customStyle="1" w:styleId="25">
    <w:name w:val="Body Text Char"/>
    <w:basedOn w:val="18"/>
    <w:semiHidden/>
    <w:qFormat/>
    <w:uiPriority w:val="99"/>
    <w:rPr>
      <w:rFonts w:ascii="Times New Roman" w:hAnsi="Times New Roman"/>
      <w:szCs w:val="24"/>
    </w:rPr>
  </w:style>
  <w:style w:type="character" w:customStyle="1" w:styleId="26">
    <w:name w:val="正文文本 Char"/>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8"/>
    <w:link w:val="3"/>
    <w:qFormat/>
    <w:uiPriority w:val="9"/>
    <w:rPr>
      <w:rFonts w:ascii="Times New Roman" w:hAnsi="Times New Roman"/>
      <w:b/>
      <w:bCs/>
      <w:kern w:val="44"/>
      <w:sz w:val="44"/>
      <w:szCs w:val="44"/>
    </w:rPr>
  </w:style>
  <w:style w:type="character" w:customStyle="1" w:styleId="30">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8"/>
    <w:link w:val="10"/>
    <w:semiHidden/>
    <w:qFormat/>
    <w:uiPriority w:val="99"/>
    <w:rPr>
      <w:rFonts w:ascii="Times New Roman" w:hAnsi="Times New Roman"/>
      <w:kern w:val="2"/>
      <w:sz w:val="18"/>
      <w:szCs w:val="18"/>
    </w:rPr>
  </w:style>
  <w:style w:type="character" w:customStyle="1" w:styleId="33">
    <w:name w:val="标题 3 Char"/>
    <w:basedOn w:val="18"/>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21306;&#22996;&#21150;\2023&#24180;&#20915;&#31639;&#20844;&#24320;\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21306;&#22996;&#21150;\2023&#24180;&#20915;&#31639;&#20844;&#24320;\Book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21306;&#22996;&#21150;\2023&#24180;&#20915;&#31639;&#20844;&#24320;\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21306;&#22996;&#21150;\2023&#24180;&#20915;&#31639;&#20844;&#24320;\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21306;&#22996;&#21150;\2023&#24180;&#20915;&#31639;&#20844;&#24320;\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21306;&#22996;&#21150;\2023&#24180;&#20915;&#31639;&#20844;&#24320;\Book1.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21306;&#22996;&#21150;\2023&#24180;&#20915;&#31639;&#20844;&#24320;\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t>收、支决算总计变动情况图</a:t>
            </a:r>
            <a:endParaRPr lang="zh-CN" altLang="en-US"/>
          </a:p>
        </c:rich>
      </c:tx>
      <c:layout/>
      <c:overlay val="0"/>
    </c:title>
    <c:autoTitleDeleted val="0"/>
    <c:plotArea>
      <c:layout/>
      <c:barChart>
        <c:barDir val="col"/>
        <c:grouping val="clustered"/>
        <c:varyColors val="0"/>
        <c:ser>
          <c:idx val="0"/>
          <c:order val="0"/>
          <c:tx>
            <c:strRef>
              <c:f>Sheet1!$A$4</c:f>
              <c:strCache>
                <c:ptCount val="1"/>
                <c:pt idx="0">
                  <c:v>2023</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Sheet1!$B$3:$E$3</c:f>
              <c:strCache>
                <c:ptCount val="3"/>
                <c:pt idx="0">
                  <c:v>收入</c:v>
                </c:pt>
                <c:pt idx="2">
                  <c:v>支出</c:v>
                </c:pt>
              </c:strCache>
            </c:strRef>
          </c:cat>
          <c:val>
            <c:numRef>
              <c:f>Sheet1!$B$4:$E$4</c:f>
              <c:numCache>
                <c:formatCode>General</c:formatCode>
                <c:ptCount val="4"/>
                <c:pt idx="0">
                  <c:v>861.15</c:v>
                </c:pt>
                <c:pt idx="2">
                  <c:v>861.15</c:v>
                </c:pt>
              </c:numCache>
            </c:numRef>
          </c:val>
        </c:ser>
        <c:ser>
          <c:idx val="1"/>
          <c:order val="1"/>
          <c:tx>
            <c:strRef>
              <c:f>Sheet1!$A$5</c:f>
              <c:strCache>
                <c:ptCount val="1"/>
                <c:pt idx="0">
                  <c:v>2022</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Sheet1!$B$3:$E$3</c:f>
              <c:strCache>
                <c:ptCount val="3"/>
                <c:pt idx="0">
                  <c:v>收入</c:v>
                </c:pt>
                <c:pt idx="2">
                  <c:v>支出</c:v>
                </c:pt>
              </c:strCache>
            </c:strRef>
          </c:cat>
          <c:val>
            <c:numRef>
              <c:f>Sheet1!$B$5:$E$5</c:f>
              <c:numCache>
                <c:formatCode>General</c:formatCode>
                <c:ptCount val="4"/>
                <c:pt idx="0">
                  <c:v>828.76</c:v>
                </c:pt>
                <c:pt idx="2">
                  <c:v>828.76</c:v>
                </c:pt>
              </c:numCache>
            </c:numRef>
          </c:val>
        </c:ser>
        <c:dLbls>
          <c:showLegendKey val="0"/>
          <c:showVal val="1"/>
          <c:showCatName val="0"/>
          <c:showSerName val="0"/>
          <c:showPercent val="0"/>
          <c:showBubbleSize val="0"/>
        </c:dLbls>
        <c:gapWidth val="150"/>
        <c:axId val="184378880"/>
        <c:axId val="257104128"/>
      </c:barChart>
      <c:catAx>
        <c:axId val="1843788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7104128"/>
        <c:crosses val="autoZero"/>
        <c:auto val="1"/>
        <c:lblAlgn val="ctr"/>
        <c:lblOffset val="100"/>
        <c:noMultiLvlLbl val="0"/>
      </c:catAx>
      <c:valAx>
        <c:axId val="25710412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37888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收入决算结构图</a:t>
            </a:r>
            <a:endParaRPr lang="zh-CN" altLang="en-US"/>
          </a:p>
        </c:rich>
      </c:tx>
      <c:layout/>
      <c:overlay val="0"/>
    </c:title>
    <c:autoTitleDeleted val="0"/>
    <c:plotArea>
      <c:layout/>
      <c:pieChart>
        <c:varyColors val="1"/>
        <c:ser>
          <c:idx val="0"/>
          <c:order val="0"/>
          <c:explosion val="25"/>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679.31</a:t>
                    </a:r>
                    <a:endParaRPr lang="en-US" altLang="en-US"/>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48.33</a:t>
                    </a:r>
                    <a:endParaRPr lang="en-US" altLang="en-US"/>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Sheet2!$B$4:$B$5</c:f>
              <c:strCache>
                <c:ptCount val="2"/>
                <c:pt idx="0">
                  <c:v>2023年度一般公共预算财政拨款收入</c:v>
                </c:pt>
                <c:pt idx="1">
                  <c:v>2023年度政府性基金预算财政拨款收入</c:v>
                </c:pt>
              </c:strCache>
            </c:strRef>
          </c:cat>
          <c:val>
            <c:numRef>
              <c:f>Sheet2!$C$4:$C$5</c:f>
              <c:numCache>
                <c:formatCode>General</c:formatCode>
                <c:ptCount val="2"/>
                <c:pt idx="0">
                  <c:v>679.31</c:v>
                </c:pt>
                <c:pt idx="1">
                  <c:v>48.33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ofPieChart>
        <c:ofPieType val="pie"/>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[Book1.xlsx]Sheet3!$A$5:$A$6</c:f>
              <c:strCache>
                <c:ptCount val="2"/>
                <c:pt idx="0">
                  <c:v>基本支出</c:v>
                </c:pt>
                <c:pt idx="1">
                  <c:v>项目支出</c:v>
                </c:pt>
              </c:strCache>
            </c:strRef>
          </c:cat>
          <c:val>
            <c:numRef>
              <c:f>[Book1.xlsx]Sheet3!$B$5:$B$6</c:f>
              <c:numCache>
                <c:formatCode>General</c:formatCode>
                <c:ptCount val="2"/>
                <c:pt idx="0">
                  <c:v>679.31</c:v>
                </c:pt>
                <c:pt idx="1">
                  <c:v>181.84</c:v>
                </c:pt>
              </c:numCache>
            </c:numRef>
          </c:val>
        </c:ser>
        <c:dLbls>
          <c:showLegendKey val="0"/>
          <c:showVal val="1"/>
          <c:showCatName val="0"/>
          <c:showSerName val="0"/>
          <c:showPercent val="0"/>
          <c:showBubbleSize val="0"/>
          <c:showLeaderLines val="1"/>
        </c:dLbls>
        <c:gapWidth val="15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财政拨款收、支总计变动表</a:t>
            </a:r>
            <a:endParaRPr lang="zh-CN" altLang="en-US"/>
          </a:p>
        </c:rich>
      </c:tx>
      <c:layout/>
      <c:overlay val="0"/>
    </c:title>
    <c:autoTitleDeleted val="0"/>
    <c:plotArea>
      <c:layout/>
      <c:barChart>
        <c:barDir val="col"/>
        <c:grouping val="clustered"/>
        <c:varyColors val="0"/>
        <c:ser>
          <c:idx val="0"/>
          <c:order val="0"/>
          <c:tx>
            <c:strRef>
              <c:f>Sheet6!$B$4</c:f>
              <c:strCache>
                <c:ptCount val="1"/>
                <c:pt idx="0">
                  <c:v>2023</c:v>
                </c:pt>
              </c:strCache>
            </c:strRef>
          </c:tx>
          <c:invertIfNegative val="0"/>
          <c:dLbls>
            <c:delete val="1"/>
          </c:dLbls>
          <c:cat>
            <c:strRef>
              <c:f>Sheet6!$C$3:$E$3</c:f>
              <c:strCache>
                <c:ptCount val="3"/>
                <c:pt idx="0">
                  <c:v>收入</c:v>
                </c:pt>
                <c:pt idx="2">
                  <c:v>支出</c:v>
                </c:pt>
              </c:strCache>
            </c:strRef>
          </c:cat>
          <c:val>
            <c:numRef>
              <c:f>Sheet6!$C$4:$E$4</c:f>
              <c:numCache>
                <c:formatCode>General</c:formatCode>
                <c:ptCount val="3"/>
                <c:pt idx="0">
                  <c:v>727.64</c:v>
                </c:pt>
                <c:pt idx="2">
                  <c:v>861.15</c:v>
                </c:pt>
              </c:numCache>
            </c:numRef>
          </c:val>
        </c:ser>
        <c:ser>
          <c:idx val="1"/>
          <c:order val="1"/>
          <c:tx>
            <c:strRef>
              <c:f>Sheet6!$B$5</c:f>
              <c:strCache>
                <c:ptCount val="1"/>
                <c:pt idx="0">
                  <c:v>2022</c:v>
                </c:pt>
              </c:strCache>
            </c:strRef>
          </c:tx>
          <c:invertIfNegative val="0"/>
          <c:dLbls>
            <c:delete val="1"/>
          </c:dLbls>
          <c:cat>
            <c:strRef>
              <c:f>Sheet6!$C$3:$E$3</c:f>
              <c:strCache>
                <c:ptCount val="3"/>
                <c:pt idx="0">
                  <c:v>收入</c:v>
                </c:pt>
                <c:pt idx="2">
                  <c:v>支出</c:v>
                </c:pt>
              </c:strCache>
            </c:strRef>
          </c:cat>
          <c:val>
            <c:numRef>
              <c:f>Sheet6!$C$5:$E$5</c:f>
              <c:numCache>
                <c:formatCode>General</c:formatCode>
                <c:ptCount val="3"/>
                <c:pt idx="0">
                  <c:v>828.76</c:v>
                </c:pt>
                <c:pt idx="2">
                  <c:v>828.76</c:v>
                </c:pt>
              </c:numCache>
            </c:numRef>
          </c:val>
        </c:ser>
        <c:dLbls>
          <c:showLegendKey val="0"/>
          <c:showVal val="0"/>
          <c:showCatName val="0"/>
          <c:showSerName val="0"/>
          <c:showPercent val="0"/>
          <c:showBubbleSize val="0"/>
        </c:dLbls>
        <c:gapWidth val="150"/>
        <c:axId val="242213632"/>
        <c:axId val="242215168"/>
      </c:barChart>
      <c:catAx>
        <c:axId val="24221363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2215168"/>
        <c:crosses val="autoZero"/>
        <c:auto val="1"/>
        <c:lblAlgn val="ctr"/>
        <c:lblOffset val="100"/>
        <c:noMultiLvlLbl val="0"/>
      </c:catAx>
      <c:valAx>
        <c:axId val="24221516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2213632"/>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sz="1600"/>
              <a:t>一般公共预算财政拨款支出变动情况表</a:t>
            </a:r>
            <a:endParaRPr lang="zh-CN" sz="1600"/>
          </a:p>
        </c:rich>
      </c:tx>
      <c:layout>
        <c:manualLayout>
          <c:xMode val="edge"/>
          <c:yMode val="edge"/>
          <c:x val="0.0985415573053368"/>
          <c:y val="0.013888888888889"/>
        </c:manualLayout>
      </c:layout>
      <c:overlay val="0"/>
    </c:title>
    <c:autoTitleDeleted val="0"/>
    <c:plotArea>
      <c:layout/>
      <c:barChart>
        <c:barDir val="col"/>
        <c:grouping val="stacked"/>
        <c:varyColors val="0"/>
        <c:ser>
          <c:idx val="0"/>
          <c:order val="0"/>
          <c:invertIfNegative val="0"/>
          <c:dLbls>
            <c:delete val="1"/>
          </c:dLbls>
          <c:cat>
            <c:strRef>
              <c:f>Sheet5!$D$4:$D$6</c:f>
              <c:strCache>
                <c:ptCount val="3"/>
                <c:pt idx="1">
                  <c:v>2023年度一般公共预算财政拨款支出</c:v>
                </c:pt>
                <c:pt idx="2">
                  <c:v>2022年度一般公共预算财政拨款支出</c:v>
                </c:pt>
              </c:strCache>
            </c:strRef>
          </c:cat>
          <c:val>
            <c:numRef>
              <c:f>Sheet5!$E$4:$E$6</c:f>
              <c:numCache>
                <c:formatCode>General</c:formatCode>
                <c:ptCount val="3"/>
                <c:pt idx="1">
                  <c:v>769.03</c:v>
                </c:pt>
                <c:pt idx="2">
                  <c:v>561.01</c:v>
                </c:pt>
              </c:numCache>
            </c:numRef>
          </c:val>
        </c:ser>
        <c:dLbls>
          <c:showLegendKey val="0"/>
          <c:showVal val="0"/>
          <c:showCatName val="0"/>
          <c:showSerName val="0"/>
          <c:showPercent val="0"/>
          <c:showBubbleSize val="0"/>
        </c:dLbls>
        <c:gapWidth val="95"/>
        <c:overlap val="100"/>
        <c:axId val="251695104"/>
        <c:axId val="251696640"/>
      </c:barChart>
      <c:catAx>
        <c:axId val="25169510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1696640"/>
        <c:crosses val="autoZero"/>
        <c:auto val="1"/>
        <c:lblAlgn val="ctr"/>
        <c:lblOffset val="100"/>
        <c:noMultiLvlLbl val="0"/>
      </c:catAx>
      <c:valAx>
        <c:axId val="25169664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1695104"/>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Sheet4!$B$3:$B$9</c:f>
              <c:strCache>
                <c:ptCount val="7"/>
                <c:pt idx="0">
                  <c:v>2023年一般公共服务支出</c:v>
                </c:pt>
                <c:pt idx="2">
                  <c:v>2023年社会保障和就业支出</c:v>
                </c:pt>
                <c:pt idx="4">
                  <c:v>2023年卫生健康支出</c:v>
                </c:pt>
                <c:pt idx="6">
                  <c:v>2023年住房保障支出</c:v>
                </c:pt>
              </c:strCache>
            </c:strRef>
          </c:cat>
          <c:val>
            <c:numRef>
              <c:f>Sheet4!$C$3:$C$9</c:f>
              <c:numCache>
                <c:formatCode>General</c:formatCode>
                <c:ptCount val="7"/>
                <c:pt idx="0">
                  <c:v>597.04</c:v>
                </c:pt>
                <c:pt idx="2">
                  <c:v>69.16</c:v>
                </c:pt>
                <c:pt idx="4">
                  <c:v>53.94</c:v>
                </c:pt>
                <c:pt idx="6">
                  <c:v>48.89</c:v>
                </c:pt>
              </c:numCache>
            </c:numRef>
          </c:val>
        </c:ser>
        <c:dLbls>
          <c:showLegendKey val="0"/>
          <c:showVal val="1"/>
          <c:showCatName val="0"/>
          <c:showSerName val="0"/>
          <c:showPercent val="0"/>
          <c:showBubbleSize val="0"/>
          <c:showLeaderLines val="1"/>
        </c:dLbls>
        <c:firstSliceAng val="6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“三公”经费财政拨款支出结构图</a:t>
            </a:r>
          </a:p>
        </c:rich>
      </c:tx>
      <c:layout>
        <c:manualLayout>
          <c:xMode val="edge"/>
          <c:yMode val="edge"/>
          <c:x val="0.144426898276089"/>
          <c:y val="0.0217542235593613"/>
        </c:manualLayout>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9525"/>
          </c:spPr>
          <c:explosion val="0"/>
          <c:dPt>
            <c:idx val="0"/>
            <c:bubble3D val="0"/>
            <c:spPr>
              <a:solidFill>
                <a:schemeClr val="accent1"/>
              </a:solidFill>
              <a:ln>
                <a:solidFill>
                  <a:schemeClr val="bg1"/>
                </a:solidFill>
              </a:ln>
              <a:effectLst/>
              <a:scene3d>
                <a:camera prst="orthographicFront"/>
                <a:lightRig rig="threePt" dir="t"/>
              </a:scene3d>
              <a:sp3d contourW="9525"/>
            </c:spPr>
          </c:dPt>
          <c:dPt>
            <c:idx val="1"/>
            <c:bubble3D val="0"/>
            <c:spPr>
              <a:solidFill>
                <a:schemeClr val="accent2"/>
              </a:solidFill>
              <a:ln>
                <a:solidFill>
                  <a:schemeClr val="bg1"/>
                </a:solidFill>
              </a:ln>
              <a:effectLst/>
              <a:scene3d>
                <a:camera prst="orthographicFront"/>
                <a:lightRig rig="threePt" dir="t"/>
              </a:scene3d>
              <a:sp3d contourW="9525"/>
            </c:spPr>
          </c:dPt>
          <c:dPt>
            <c:idx val="2"/>
            <c:bubble3D val="0"/>
            <c:spPr>
              <a:solidFill>
                <a:schemeClr val="accent3"/>
              </a:solidFill>
              <a:ln>
                <a:solidFill>
                  <a:schemeClr val="bg1"/>
                </a:solidFill>
              </a:ln>
              <a:effectLst/>
              <a:scene3d>
                <a:camera prst="orthographicFront"/>
                <a:lightRig rig="threePt" dir="t"/>
              </a:scene3d>
              <a:sp3d contourW="9525"/>
            </c:spPr>
          </c:dPt>
          <c:dLbls>
            <c:delete val="1"/>
          </c:dLbls>
          <c:cat>
            <c:strRef>
              <c:f>[Book1.xlsx]Sheet7!$A$93:$A$95</c:f>
              <c:strCache>
                <c:ptCount val="3"/>
                <c:pt idx="0">
                  <c:v>因公出国（境）费</c:v>
                </c:pt>
                <c:pt idx="1">
                  <c:v>公务用车购置及运行维护费</c:v>
                </c:pt>
                <c:pt idx="2">
                  <c:v>公务接待费</c:v>
                </c:pt>
              </c:strCache>
            </c:strRef>
          </c:cat>
          <c:val>
            <c:numRef>
              <c:f>[Book1.xlsx]Sheet7!$B$93:$B$95</c:f>
              <c:numCache>
                <c:formatCode>General</c:formatCode>
                <c:ptCount val="3"/>
                <c:pt idx="0">
                  <c:v>0</c:v>
                </c:pt>
                <c:pt idx="1">
                  <c:v>3.3</c:v>
                </c:pt>
                <c:pt idx="2">
                  <c:v>0</c:v>
                </c:pt>
              </c:numCache>
            </c:numRef>
          </c:val>
        </c:ser>
        <c:dLbls>
          <c:showLegendKey val="0"/>
          <c:showVal val="0"/>
          <c:showCatName val="0"/>
          <c:showSerName val="0"/>
          <c:showPercent val="0"/>
          <c:showBubbleSize val="0"/>
        </c:dLbls>
      </c:pie3D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27</Pages>
  <Words>8473</Words>
  <Characters>9334</Characters>
  <Lines>8</Lines>
  <Paragraphs>13</Paragraphs>
  <TotalTime>4</TotalTime>
  <ScaleCrop>false</ScaleCrop>
  <LinksUpToDate>false</LinksUpToDate>
  <CharactersWithSpaces>9370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2024-09-28T22:00:00Z</dcterms:created>
  <dc:creator>曹颖</dc:creator>
  <cp:lastModifiedBy>admin</cp:lastModifiedBy>
  <cp:lastPrinted>2023-08-03T18:35:00Z</cp:lastPrinted>
  <dcterms:modified xsi:type="dcterms:W3CDTF">2024-10-28T05:36:38Z</dcterms:modified>
  <dc:title>四川省***</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04644B29B19240C88A15FFF126F538CE_13</vt:lpwstr>
  </property>
</Properties>
</file>