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bookmarkEnd w:id="0"/>
    <w:p>
      <w:pPr>
        <w:pStyle w:val="6"/>
        <w:spacing w:before="93"/>
        <w:jc w:val="center"/>
        <w:rPr>
          <w:rFonts w:hint="eastAsia" w:ascii="方正小标宋简体" w:hAnsi="宋体" w:eastAsia="方正小标宋简体"/>
          <w:spacing w:val="-36"/>
          <w:sz w:val="44"/>
          <w:szCs w:val="44"/>
        </w:rPr>
      </w:pPr>
      <w:bookmarkStart w:id="1" w:name="_Toc15396599"/>
      <w:bookmarkStart w:id="2" w:name="_Toc15377196"/>
    </w:p>
    <w:p>
      <w:pPr>
        <w:pStyle w:val="6"/>
        <w:spacing w:before="93"/>
        <w:jc w:val="center"/>
        <w:rPr>
          <w:rFonts w:hint="eastAsia" w:ascii="方正小标宋简体" w:hAnsi="宋体" w:eastAsia="方正小标宋简体"/>
          <w:spacing w:val="-36"/>
          <w:sz w:val="44"/>
          <w:szCs w:val="44"/>
        </w:rPr>
      </w:pPr>
    </w:p>
    <w:p>
      <w:pPr>
        <w:pStyle w:val="6"/>
        <w:spacing w:before="93"/>
        <w:jc w:val="center"/>
        <w:rPr>
          <w:rFonts w:hint="eastAsia" w:ascii="方正小标宋简体" w:hAnsi="宋体" w:eastAsia="方正小标宋简体"/>
          <w:spacing w:val="-36"/>
          <w:sz w:val="44"/>
          <w:szCs w:val="44"/>
        </w:rPr>
      </w:pPr>
    </w:p>
    <w:p>
      <w:pPr>
        <w:pStyle w:val="6"/>
        <w:spacing w:before="93"/>
        <w:jc w:val="center"/>
        <w:rPr>
          <w:rFonts w:hint="eastAsia" w:ascii="方正小标宋简体" w:hAnsi="宋体" w:eastAsia="方正小标宋简体"/>
          <w:spacing w:val="-36"/>
          <w:sz w:val="44"/>
          <w:szCs w:val="44"/>
        </w:rPr>
      </w:pPr>
    </w:p>
    <w:p>
      <w:pPr>
        <w:pStyle w:val="6"/>
        <w:spacing w:before="93"/>
        <w:jc w:val="center"/>
        <w:rPr>
          <w:rFonts w:ascii="方正小标宋简体" w:hAnsi="宋体" w:eastAsia="方正小标宋简体"/>
          <w:spacing w:val="-36"/>
          <w:sz w:val="44"/>
          <w:szCs w:val="44"/>
        </w:rPr>
      </w:pPr>
      <w:r>
        <w:rPr>
          <w:rFonts w:hint="eastAsia" w:ascii="方正小标宋简体" w:hAnsi="宋体" w:eastAsia="方正小标宋简体"/>
          <w:spacing w:val="-36"/>
          <w:sz w:val="44"/>
          <w:szCs w:val="44"/>
        </w:rPr>
        <w:t>2023年度中国人民政治协商会议</w:t>
      </w:r>
    </w:p>
    <w:p>
      <w:pPr>
        <w:pStyle w:val="6"/>
        <w:spacing w:before="93"/>
        <w:jc w:val="center"/>
        <w:rPr>
          <w:rFonts w:ascii="方正小标宋简体" w:hAnsi="宋体" w:eastAsia="方正小标宋简体"/>
          <w:sz w:val="44"/>
          <w:szCs w:val="44"/>
        </w:rPr>
      </w:pPr>
      <w:r>
        <w:rPr>
          <w:rFonts w:hint="eastAsia" w:ascii="方正小标宋简体" w:hAnsi="宋体" w:eastAsia="方正小标宋简体"/>
          <w:spacing w:val="-36"/>
          <w:sz w:val="44"/>
          <w:szCs w:val="44"/>
        </w:rPr>
        <w:t>攀枝花市西区委员会办公室</w:t>
      </w:r>
      <w:bookmarkStart w:id="3" w:name="_Toc15396476"/>
      <w:bookmarkStart w:id="4" w:name="_Toc15306268"/>
      <w:bookmarkStart w:id="5" w:name="_Toc15378442"/>
      <w:bookmarkStart w:id="6" w:name="_Toc15396598"/>
      <w:bookmarkStart w:id="7" w:name="_Toc15377194"/>
      <w:bookmarkStart w:id="8" w:name="_Toc15377426"/>
      <w:r>
        <w:rPr>
          <w:rFonts w:hint="eastAsia" w:ascii="方正小标宋简体" w:hAnsi="宋体" w:eastAsia="方正小标宋简体"/>
          <w:sz w:val="44"/>
          <w:szCs w:val="44"/>
          <w:lang w:val="en-US" w:eastAsia="zh-CN"/>
        </w:rPr>
        <w:t>单位</w:t>
      </w:r>
      <w:r>
        <w:rPr>
          <w:rFonts w:hint="eastAsia" w:ascii="方正小标宋简体" w:hAnsi="宋体" w:eastAsia="方正小标宋简体"/>
          <w:sz w:val="44"/>
          <w:szCs w:val="44"/>
        </w:rPr>
        <w:t>决算</w:t>
      </w:r>
      <w:bookmarkEnd w:id="3"/>
      <w:bookmarkEnd w:id="4"/>
      <w:bookmarkEnd w:id="5"/>
      <w:bookmarkEnd w:id="6"/>
      <w:bookmarkEnd w:id="7"/>
      <w:bookmarkEnd w:id="8"/>
    </w:p>
    <w:p>
      <w:pPr>
        <w:widowControl/>
        <w:jc w:val="center"/>
        <w:rPr>
          <w:rFonts w:hint="eastAsia" w:ascii="方正小标宋_GBK" w:hAnsi="黑体" w:eastAsia="方正小标宋_GBK"/>
          <w:sz w:val="44"/>
          <w:szCs w:val="44"/>
        </w:rPr>
        <w:sectPr>
          <w:footerReference r:id="rId4" w:type="first"/>
          <w:footerReference r:id="rId3" w:type="default"/>
          <w:pgSz w:w="11906" w:h="16838"/>
          <w:pgMar w:top="2098" w:right="1474" w:bottom="1984" w:left="1588" w:header="851" w:footer="1417" w:gutter="0"/>
          <w:pgNumType w:fmt="numberInDash" w:start="1"/>
          <w:cols w:space="0" w:num="1"/>
          <w:titlePg/>
          <w:docGrid w:type="lines" w:linePitch="312" w:charSpace="0"/>
        </w:sectPr>
      </w:pPr>
    </w:p>
    <w:p>
      <w:pPr>
        <w:widowControl/>
        <w:jc w:val="center"/>
        <w:rPr>
          <w:rFonts w:ascii="方正小标宋_GBK" w:hAnsi="黑体" w:eastAsia="方正小标宋_GBK"/>
          <w:sz w:val="44"/>
          <w:szCs w:val="44"/>
        </w:rPr>
      </w:pPr>
      <w:r>
        <w:rPr>
          <w:rFonts w:hint="eastAsia" w:ascii="方正小标宋_GBK" w:hAnsi="黑体" w:eastAsia="方正小标宋_GBK"/>
          <w:sz w:val="44"/>
          <w:szCs w:val="44"/>
        </w:rPr>
        <w:t>目录</w:t>
      </w:r>
    </w:p>
    <w:p>
      <w:pPr>
        <w:widowControl/>
        <w:jc w:val="center"/>
        <w:rPr>
          <w:rFonts w:ascii="黑体" w:hAnsi="黑体" w:eastAsia="黑体"/>
          <w:sz w:val="28"/>
          <w:szCs w:val="28"/>
        </w:rPr>
      </w:pPr>
    </w:p>
    <w:p>
      <w:pPr>
        <w:pStyle w:val="12"/>
        <w:rPr>
          <w:rFonts w:ascii="仿宋_GB2312" w:eastAsia="仿宋_GB2312"/>
        </w:rPr>
      </w:pPr>
      <w:r>
        <w:rPr>
          <w:rFonts w:hint="eastAsia" w:ascii="仿宋_GB2312" w:eastAsia="仿宋_GB2312"/>
        </w:rPr>
        <w:t>公开时间：</w:t>
      </w:r>
      <w:r>
        <w:rPr>
          <w:rFonts w:hint="eastAsia" w:ascii="仿宋_GB2312" w:hAnsi="Times New Roman" w:eastAsia="仿宋_GB2312"/>
        </w:rPr>
        <w:t>2024</w:t>
      </w:r>
      <w:r>
        <w:rPr>
          <w:rFonts w:hint="eastAsia" w:ascii="仿宋_GB2312" w:eastAsia="仿宋_GB2312"/>
        </w:rPr>
        <w:t>年</w:t>
      </w:r>
      <w:r>
        <w:rPr>
          <w:rFonts w:hint="eastAsia" w:ascii="仿宋_GB2312" w:hAnsi="Times New Roman" w:eastAsia="仿宋_GB2312"/>
        </w:rPr>
        <w:t>10</w:t>
      </w:r>
      <w:r>
        <w:rPr>
          <w:rFonts w:hint="eastAsia" w:ascii="仿宋_GB2312" w:eastAsia="仿宋_GB2312"/>
        </w:rPr>
        <w:t>月</w:t>
      </w:r>
      <w:r>
        <w:rPr>
          <w:rFonts w:hint="eastAsia" w:ascii="仿宋_GB2312" w:hAnsi="Times New Roman" w:eastAsia="仿宋_GB2312"/>
          <w:lang w:val="en-US" w:eastAsia="zh-CN"/>
        </w:rPr>
        <w:t>25</w:t>
      </w:r>
      <w:r>
        <w:rPr>
          <w:rFonts w:hint="eastAsia" w:ascii="仿宋_GB2312" w:eastAsia="仿宋_GB2312"/>
        </w:rPr>
        <w:t>日</w:t>
      </w:r>
    </w:p>
    <w:p>
      <w:pPr>
        <w:rPr>
          <w:rFonts w:ascii="仿宋_GB2312" w:eastAsia="仿宋_GB2312"/>
        </w:rPr>
      </w:pPr>
    </w:p>
    <w:p>
      <w:pPr>
        <w:pStyle w:val="12"/>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第一部分 部门概况</w:t>
      </w:r>
      <w:r>
        <w:rPr>
          <w:rFonts w:hint="eastAsia" w:ascii="仿宋_GB2312" w:hAnsi="Times New Roman" w:eastAsia="仿宋_GB2312"/>
        </w:rPr>
        <w:tab/>
      </w:r>
      <w:r>
        <w:rPr>
          <w:rFonts w:hint="eastAsia" w:ascii="仿宋_GB2312" w:hAnsi="Times New Roman" w:eastAsia="仿宋_GB2312"/>
        </w:rPr>
        <w:t>1</w:t>
      </w:r>
    </w:p>
    <w:p>
      <w:pPr>
        <w:pStyle w:val="13"/>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一、部门职责</w:t>
      </w:r>
      <w:r>
        <w:rPr>
          <w:rFonts w:hint="eastAsia" w:ascii="仿宋_GB2312" w:eastAsia="仿宋_GB2312"/>
          <w:sz w:val="28"/>
          <w:szCs w:val="28"/>
        </w:rPr>
        <w:tab/>
      </w:r>
      <w:r>
        <w:rPr>
          <w:rFonts w:hint="eastAsia" w:ascii="仿宋_GB2312" w:eastAsia="仿宋_GB2312"/>
          <w:sz w:val="28"/>
          <w:szCs w:val="28"/>
        </w:rPr>
        <w:t>1</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lang w:val="en-US" w:eastAsia="zh-CN"/>
        </w:rPr>
        <w:t>2</w:t>
      </w:r>
    </w:p>
    <w:p>
      <w:pPr>
        <w:pStyle w:val="12"/>
        <w:adjustRightInd w:val="0"/>
        <w:snapToGrid w:val="0"/>
        <w:spacing w:before="0" w:line="500" w:lineRule="exact"/>
        <w:jc w:val="left"/>
        <w:rPr>
          <w:rFonts w:hint="eastAsia" w:ascii="仿宋_GB2312" w:hAnsi="Times New Roman" w:eastAsia="仿宋_GB2312"/>
          <w:lang w:eastAsia="zh-CN"/>
        </w:rPr>
      </w:pPr>
      <w:r>
        <w:rPr>
          <w:rFonts w:hint="eastAsia" w:ascii="仿宋_GB2312" w:hAnsi="Times New Roman" w:eastAsia="仿宋_GB2312"/>
        </w:rPr>
        <w:t>第二部分 2023年度部门决算情况说明</w:t>
      </w:r>
      <w:r>
        <w:rPr>
          <w:rFonts w:hint="eastAsia" w:ascii="仿宋_GB2312" w:hAnsi="Times New Roman" w:eastAsia="仿宋_GB2312"/>
        </w:rPr>
        <w:tab/>
      </w:r>
      <w:r>
        <w:rPr>
          <w:rFonts w:hint="eastAsia" w:ascii="仿宋_GB2312" w:hAnsi="Times New Roman" w:eastAsia="仿宋_GB2312"/>
          <w:lang w:val="en-US" w:eastAsia="zh-CN"/>
        </w:rPr>
        <w:t>3</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一、收入支出决算总体情况说明</w:t>
      </w:r>
      <w:r>
        <w:rPr>
          <w:rFonts w:hint="eastAsia" w:ascii="仿宋_GB2312" w:eastAsia="仿宋_GB2312"/>
          <w:sz w:val="28"/>
          <w:szCs w:val="28"/>
        </w:rPr>
        <w:tab/>
      </w:r>
      <w:r>
        <w:rPr>
          <w:rFonts w:hint="eastAsia" w:ascii="仿宋_GB2312" w:eastAsia="仿宋_GB2312"/>
          <w:sz w:val="28"/>
          <w:szCs w:val="28"/>
          <w:lang w:val="en-US" w:eastAsia="zh-CN"/>
        </w:rPr>
        <w:t>3</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二、收入决算情况说明</w:t>
      </w:r>
      <w:r>
        <w:rPr>
          <w:rFonts w:hint="eastAsia" w:ascii="仿宋_GB2312" w:eastAsia="仿宋_GB2312"/>
          <w:sz w:val="28"/>
          <w:szCs w:val="28"/>
        </w:rPr>
        <w:tab/>
      </w:r>
      <w:r>
        <w:rPr>
          <w:rFonts w:hint="eastAsia" w:ascii="仿宋_GB2312" w:eastAsia="仿宋_GB2312"/>
          <w:sz w:val="28"/>
          <w:szCs w:val="28"/>
          <w:lang w:val="en-US" w:eastAsia="zh-CN"/>
        </w:rPr>
        <w:t>3</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三、支出决算情况说明</w:t>
      </w:r>
      <w:r>
        <w:rPr>
          <w:rFonts w:hint="eastAsia" w:ascii="仿宋_GB2312" w:eastAsia="仿宋_GB2312"/>
          <w:sz w:val="28"/>
          <w:szCs w:val="28"/>
        </w:rPr>
        <w:tab/>
      </w:r>
      <w:r>
        <w:rPr>
          <w:rFonts w:hint="eastAsia" w:ascii="仿宋_GB2312" w:eastAsia="仿宋_GB2312"/>
          <w:sz w:val="28"/>
          <w:szCs w:val="28"/>
          <w:lang w:val="en-US" w:eastAsia="zh-CN"/>
        </w:rPr>
        <w:t>4</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四、财政拨款收入支出决算总体情况说明</w:t>
      </w:r>
      <w:r>
        <w:rPr>
          <w:rFonts w:hint="eastAsia" w:ascii="仿宋_GB2312" w:eastAsia="仿宋_GB2312"/>
          <w:sz w:val="28"/>
          <w:szCs w:val="28"/>
        </w:rPr>
        <w:tab/>
      </w:r>
      <w:r>
        <w:rPr>
          <w:rFonts w:hint="eastAsia" w:ascii="仿宋_GB2312" w:eastAsia="仿宋_GB2312"/>
          <w:sz w:val="28"/>
          <w:szCs w:val="28"/>
          <w:lang w:val="en-US" w:eastAsia="zh-CN"/>
        </w:rPr>
        <w:t>5</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五、一般公共预算财政拨款支出决算情况说明</w:t>
      </w:r>
      <w:r>
        <w:rPr>
          <w:rFonts w:hint="eastAsia" w:ascii="仿宋_GB2312" w:eastAsia="仿宋_GB2312"/>
          <w:sz w:val="28"/>
          <w:szCs w:val="28"/>
        </w:rPr>
        <w:tab/>
      </w:r>
      <w:r>
        <w:rPr>
          <w:rFonts w:hint="eastAsia" w:ascii="仿宋_GB2312" w:eastAsia="仿宋_GB2312"/>
          <w:sz w:val="28"/>
          <w:szCs w:val="28"/>
          <w:lang w:val="en-US" w:eastAsia="zh-CN"/>
        </w:rPr>
        <w:t>5</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六、一般公共预算财政拨款基本支出决算情况说明</w:t>
      </w:r>
      <w:r>
        <w:rPr>
          <w:rFonts w:hint="eastAsia" w:ascii="仿宋_GB2312" w:eastAsia="仿宋_GB2312"/>
          <w:sz w:val="28"/>
          <w:szCs w:val="28"/>
        </w:rPr>
        <w:tab/>
      </w:r>
      <w:r>
        <w:rPr>
          <w:rFonts w:hint="eastAsia" w:ascii="仿宋_GB2312" w:eastAsia="仿宋_GB2312"/>
          <w:sz w:val="28"/>
          <w:szCs w:val="28"/>
          <w:lang w:val="en-US" w:eastAsia="zh-CN"/>
        </w:rPr>
        <w:t>8</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七、财政拨款“三公”经费支出决算情况说明</w:t>
      </w:r>
      <w:r>
        <w:rPr>
          <w:rFonts w:hint="eastAsia" w:ascii="仿宋_GB2312" w:eastAsia="仿宋_GB2312"/>
          <w:sz w:val="28"/>
          <w:szCs w:val="28"/>
        </w:rPr>
        <w:tab/>
      </w:r>
      <w:r>
        <w:rPr>
          <w:rFonts w:hint="eastAsia" w:ascii="仿宋_GB2312" w:eastAsia="仿宋_GB2312"/>
          <w:sz w:val="28"/>
          <w:szCs w:val="28"/>
          <w:lang w:val="en-US" w:eastAsia="zh-CN"/>
        </w:rPr>
        <w:t>8</w:t>
      </w:r>
    </w:p>
    <w:p>
      <w:pPr>
        <w:pStyle w:val="13"/>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八、政府性基金预算支出决算情况说明</w:t>
      </w:r>
      <w:r>
        <w:rPr>
          <w:rFonts w:hint="eastAsia" w:ascii="仿宋_GB2312" w:eastAsia="仿宋_GB2312"/>
          <w:sz w:val="28"/>
          <w:szCs w:val="28"/>
        </w:rPr>
        <w:tab/>
      </w:r>
      <w:r>
        <w:rPr>
          <w:rFonts w:hint="eastAsia" w:ascii="仿宋_GB2312" w:eastAsia="仿宋_GB2312"/>
          <w:sz w:val="28"/>
          <w:szCs w:val="28"/>
        </w:rPr>
        <w:t>10</w:t>
      </w:r>
    </w:p>
    <w:p>
      <w:pPr>
        <w:pStyle w:val="13"/>
        <w:adjustRightInd w:val="0"/>
        <w:snapToGrid w:val="0"/>
        <w:spacing w:line="500" w:lineRule="exact"/>
        <w:jc w:val="left"/>
        <w:rPr>
          <w:rFonts w:ascii="仿宋_GB2312" w:eastAsia="仿宋_GB2312"/>
          <w:sz w:val="28"/>
          <w:szCs w:val="28"/>
        </w:rPr>
      </w:pPr>
      <w:r>
        <w:rPr>
          <w:rFonts w:hint="eastAsia" w:ascii="仿宋_GB2312" w:eastAsia="仿宋_GB2312"/>
          <w:sz w:val="28"/>
          <w:szCs w:val="28"/>
        </w:rPr>
        <w:t>九、国有资本经营预算支出决算情况说明</w:t>
      </w:r>
      <w:r>
        <w:rPr>
          <w:rFonts w:hint="eastAsia" w:ascii="仿宋_GB2312" w:eastAsia="仿宋_GB2312"/>
          <w:sz w:val="28"/>
          <w:szCs w:val="28"/>
        </w:rPr>
        <w:tab/>
      </w:r>
      <w:r>
        <w:rPr>
          <w:rFonts w:hint="eastAsia" w:ascii="仿宋_GB2312" w:eastAsia="仿宋_GB2312"/>
          <w:sz w:val="28"/>
          <w:szCs w:val="28"/>
        </w:rPr>
        <w:t>10</w:t>
      </w:r>
    </w:p>
    <w:p>
      <w:pPr>
        <w:pStyle w:val="13"/>
        <w:adjustRightInd w:val="0"/>
        <w:snapToGrid w:val="0"/>
        <w:spacing w:line="500" w:lineRule="exact"/>
        <w:jc w:val="left"/>
        <w:rPr>
          <w:rFonts w:hint="eastAsia" w:ascii="仿宋_GB2312" w:eastAsia="仿宋_GB2312"/>
          <w:sz w:val="28"/>
          <w:szCs w:val="28"/>
          <w:lang w:eastAsia="zh-CN"/>
        </w:rPr>
      </w:pPr>
      <w:r>
        <w:rPr>
          <w:rFonts w:hint="eastAsia" w:ascii="仿宋_GB2312" w:eastAsia="仿宋_GB2312"/>
          <w:sz w:val="28"/>
          <w:szCs w:val="28"/>
        </w:rPr>
        <w:t>十、其他重要事项的情况说明</w:t>
      </w:r>
      <w:r>
        <w:rPr>
          <w:rFonts w:hint="eastAsia" w:ascii="仿宋_GB2312" w:eastAsia="仿宋_GB2312"/>
          <w:sz w:val="28"/>
          <w:szCs w:val="28"/>
        </w:rPr>
        <w:tab/>
      </w:r>
      <w:r>
        <w:rPr>
          <w:rFonts w:hint="eastAsia" w:ascii="仿宋_GB2312" w:eastAsia="仿宋_GB2312"/>
          <w:sz w:val="28"/>
          <w:szCs w:val="28"/>
        </w:rPr>
        <w:t>1</w:t>
      </w:r>
      <w:r>
        <w:rPr>
          <w:rFonts w:hint="eastAsia" w:ascii="仿宋_GB2312" w:eastAsia="仿宋_GB2312"/>
          <w:sz w:val="28"/>
          <w:szCs w:val="28"/>
          <w:lang w:val="en-US" w:eastAsia="zh-CN"/>
        </w:rPr>
        <w:t>1</w:t>
      </w:r>
    </w:p>
    <w:p>
      <w:pPr>
        <w:pStyle w:val="12"/>
        <w:adjustRightInd w:val="0"/>
        <w:snapToGrid w:val="0"/>
        <w:spacing w:before="0" w:line="500" w:lineRule="exact"/>
        <w:jc w:val="left"/>
        <w:rPr>
          <w:rFonts w:ascii="仿宋_GB2312" w:hAnsi="Times New Roman" w:eastAsia="仿宋_GB2312"/>
        </w:rPr>
      </w:pPr>
      <w:r>
        <w:rPr>
          <w:rFonts w:hint="eastAsia" w:ascii="仿宋_GB2312" w:hAnsi="Times New Roman" w:eastAsia="仿宋_GB2312"/>
        </w:rPr>
        <w:t>第三部分 名词解释</w:t>
      </w:r>
      <w:r>
        <w:rPr>
          <w:rFonts w:hint="eastAsia" w:ascii="仿宋_GB2312" w:hAnsi="Times New Roman" w:eastAsia="仿宋_GB2312"/>
        </w:rPr>
        <w:tab/>
      </w:r>
      <w:r>
        <w:rPr>
          <w:rFonts w:hint="eastAsia" w:ascii="仿宋_GB2312" w:hAnsi="Times New Roman" w:eastAsia="仿宋_GB2312"/>
        </w:rPr>
        <w:t>13</w:t>
      </w:r>
    </w:p>
    <w:p>
      <w:pPr>
        <w:pStyle w:val="12"/>
        <w:adjustRightInd w:val="0"/>
        <w:snapToGrid w:val="0"/>
        <w:spacing w:before="0" w:line="500" w:lineRule="exact"/>
        <w:jc w:val="left"/>
        <w:rPr>
          <w:rFonts w:hint="eastAsia" w:ascii="仿宋_GB2312" w:hAnsi="Times New Roman" w:eastAsia="仿宋_GB2312"/>
          <w:lang w:eastAsia="zh-CN"/>
        </w:rPr>
      </w:pPr>
      <w:r>
        <w:rPr>
          <w:rFonts w:hint="eastAsia" w:ascii="仿宋_GB2312" w:hAnsi="Times New Roman" w:eastAsia="仿宋_GB2312"/>
        </w:rPr>
        <w:t>第四部分 附件</w:t>
      </w:r>
      <w:r>
        <w:rPr>
          <w:rFonts w:hint="eastAsia" w:ascii="仿宋_GB2312" w:hAnsi="Times New Roman" w:eastAsia="仿宋_GB2312"/>
        </w:rPr>
        <w:tab/>
      </w:r>
      <w:r>
        <w:rPr>
          <w:rFonts w:hint="eastAsia" w:ascii="仿宋_GB2312" w:hAnsi="Times New Roman" w:eastAsia="仿宋_GB2312"/>
        </w:rPr>
        <w:t>1</w:t>
      </w:r>
      <w:r>
        <w:rPr>
          <w:rFonts w:hint="eastAsia" w:ascii="仿宋_GB2312" w:hAnsi="Times New Roman" w:eastAsia="仿宋_GB2312"/>
          <w:lang w:val="en-US" w:eastAsia="zh-CN"/>
        </w:rPr>
        <w:t>6</w:t>
      </w:r>
    </w:p>
    <w:p>
      <w:pPr>
        <w:pStyle w:val="12"/>
        <w:adjustRightInd w:val="0"/>
        <w:snapToGrid w:val="0"/>
        <w:spacing w:before="0" w:line="500" w:lineRule="exact"/>
        <w:jc w:val="left"/>
        <w:rPr>
          <w:rFonts w:hint="default" w:ascii="仿宋_GB2312" w:hAnsi="Times New Roman" w:eastAsia="仿宋_GB2312"/>
          <w:lang w:val="en-US" w:eastAsia="zh-CN"/>
        </w:rPr>
      </w:pPr>
      <w:r>
        <w:rPr>
          <w:rFonts w:hint="eastAsia" w:ascii="仿宋_GB2312" w:hAnsi="Times New Roman" w:eastAsia="仿宋_GB2312"/>
        </w:rPr>
        <w:t>第五部分 附表</w:t>
      </w:r>
      <w:r>
        <w:rPr>
          <w:rFonts w:hint="eastAsia" w:ascii="仿宋_GB2312" w:hAnsi="Times New Roman" w:eastAsia="仿宋_GB2312"/>
        </w:rPr>
        <w:tab/>
      </w:r>
      <w:r>
        <w:rPr>
          <w:rFonts w:hint="eastAsia" w:ascii="仿宋_GB2312" w:hAnsi="Times New Roman" w:eastAsia="仿宋_GB2312"/>
          <w:lang w:val="en-US" w:eastAsia="zh-CN"/>
        </w:rPr>
        <w:t>17</w:t>
      </w:r>
    </w:p>
    <w:p>
      <w:pPr>
        <w:pStyle w:val="13"/>
        <w:adjustRightInd w:val="0"/>
        <w:snapToGrid w:val="0"/>
        <w:spacing w:line="500" w:lineRule="exact"/>
        <w:jc w:val="left"/>
        <w:rPr>
          <w:rFonts w:hint="default" w:ascii="仿宋_GB2312" w:eastAsia="仿宋_GB2312"/>
          <w:sz w:val="28"/>
          <w:szCs w:val="28"/>
          <w:lang w:val="en-US"/>
        </w:rPr>
      </w:pPr>
      <w:r>
        <w:rPr>
          <w:rFonts w:hint="eastAsia" w:ascii="仿宋_GB2312" w:eastAsia="仿宋_GB2312"/>
          <w:sz w:val="28"/>
          <w:szCs w:val="28"/>
        </w:rPr>
        <w:t>一、收入支出决算总表</w:t>
      </w:r>
      <w:r>
        <w:rPr>
          <w:rFonts w:hint="eastAsia" w:ascii="仿宋_GB2312" w:eastAsia="仿宋_GB2312"/>
          <w:sz w:val="28"/>
          <w:szCs w:val="28"/>
        </w:rPr>
        <w:tab/>
      </w:r>
      <w:r>
        <w:rPr>
          <w:rFonts w:hint="eastAsia" w:ascii="仿宋_GB2312" w:eastAsia="仿宋_GB2312" w:cs="Times New Roman"/>
          <w:kern w:val="2"/>
          <w:sz w:val="28"/>
          <w:szCs w:val="28"/>
          <w:lang w:val="en-US" w:eastAsia="zh-CN" w:bidi="ar-SA"/>
        </w:rPr>
        <w:t>17</w:t>
      </w:r>
    </w:p>
    <w:p>
      <w:pPr>
        <w:pStyle w:val="13"/>
        <w:adjustRightInd w:val="0"/>
        <w:snapToGrid w:val="0"/>
        <w:spacing w:line="500" w:lineRule="exact"/>
        <w:jc w:val="left"/>
        <w:rPr>
          <w:rFonts w:hint="default" w:ascii="仿宋_GB2312" w:hAnsi="Times New Roman" w:eastAsia="仿宋_GB2312" w:cs="Times New Roman"/>
          <w:kern w:val="2"/>
          <w:sz w:val="28"/>
          <w:szCs w:val="28"/>
          <w:lang w:val="en-US" w:eastAsia="zh-CN" w:bidi="ar-SA"/>
        </w:rPr>
      </w:pPr>
      <w:r>
        <w:rPr>
          <w:rFonts w:hint="eastAsia" w:ascii="仿宋_GB2312" w:eastAsia="仿宋_GB2312"/>
          <w:sz w:val="28"/>
          <w:szCs w:val="28"/>
        </w:rPr>
        <w:t>二、收入决算表</w:t>
      </w:r>
      <w:r>
        <w:rPr>
          <w:rFonts w:hint="eastAsia" w:ascii="仿宋_GB2312" w:eastAsia="仿宋_GB2312"/>
          <w:sz w:val="28"/>
          <w:szCs w:val="28"/>
        </w:rPr>
        <w:tab/>
      </w:r>
      <w:r>
        <w:rPr>
          <w:rFonts w:hint="eastAsia" w:ascii="仿宋_GB2312" w:eastAsia="仿宋_GB2312" w:cs="Times New Roman"/>
          <w:kern w:val="2"/>
          <w:sz w:val="28"/>
          <w:szCs w:val="28"/>
          <w:lang w:val="en-US" w:eastAsia="zh-CN" w:bidi="ar-SA"/>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三、支出决算表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ascii="仿宋_GB2312" w:eastAsia="仿宋_GB2312"/>
          <w:sz w:val="28"/>
          <w:szCs w:val="28"/>
        </w:rPr>
        <w:sectPr>
          <w:footerReference r:id="rId7" w:type="first"/>
          <w:footerReference r:id="rId5" w:type="default"/>
          <w:footerReference r:id="rId6" w:type="even"/>
          <w:pgSz w:w="11906" w:h="16838"/>
          <w:pgMar w:top="2098" w:right="1474" w:bottom="1985" w:left="1588" w:header="851" w:footer="992" w:gutter="0"/>
          <w:pgNumType w:fmt="numberInDash" w:start="1"/>
          <w:cols w:space="720" w:num="1"/>
          <w:titlePg/>
          <w:docGrid w:type="lines" w:linePitch="312" w:charSpace="0"/>
        </w:sectPr>
      </w:pPr>
    </w:p>
    <w:p>
      <w:pPr>
        <w:pStyle w:val="13"/>
        <w:adjustRightInd w:val="0"/>
        <w:snapToGrid w:val="0"/>
        <w:spacing w:line="500" w:lineRule="exact"/>
        <w:jc w:val="left"/>
        <w:rPr>
          <w:rFonts w:hint="default" w:ascii="仿宋_GB2312" w:eastAsia="仿宋_GB2312"/>
          <w:sz w:val="28"/>
          <w:szCs w:val="28"/>
          <w:lang w:val="en-US" w:eastAsia="zh-CN"/>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2001520</wp:posOffset>
                </wp:positionH>
                <wp:positionV relativeFrom="paragraph">
                  <wp:posOffset>633095</wp:posOffset>
                </wp:positionV>
                <wp:extent cx="1257300" cy="495300"/>
                <wp:effectExtent l="0" t="0" r="0" b="0"/>
                <wp:wrapNone/>
                <wp:docPr id="10" name="矩形 10"/>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6pt;margin-top:49.85pt;height:39pt;width:99pt;z-index:251660288;v-text-anchor:middle;mso-width-relative:page;mso-height-relative:page;" fillcolor="#FFFFFF" filled="t" stroked="f" coordsize="21600,21600" o:gfxdata="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">
                <v:fill on="t" focussize="0,0"/>
                <v:stroke on="f" weight="2pt"/>
                <v:imagedata o:title=""/>
                <o:lock v:ext="edit" aspectratio="f"/>
              </v:rect>
            </w:pict>
          </mc:Fallback>
        </mc:AlternateContent>
      </w:r>
      <w:r>
        <w:rPr>
          <w:rFonts w:hint="eastAsia" w:ascii="仿宋_GB2312" w:eastAsia="仿宋_GB2312"/>
          <w:sz w:val="28"/>
          <w:szCs w:val="28"/>
        </w:rPr>
        <w:t>四、财政拨款收入支出决算总表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五、财政拨款支出决算明细表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六、一般公共预算财政拨款支出决算表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七、一般公共预算财政拨款支出决算明细表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八、一般公共预算财政拨款基本支出决算明细表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九、一般公共预算财政拨款项目支出决算表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十、政府性基金预算财政拨款收入支出决算表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十一、国有资本经营预算财政拨款收入支出决算表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十二、国有资本经营预算财政拨款支出决算表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13"/>
        <w:adjustRightInd w:val="0"/>
        <w:snapToGrid w:val="0"/>
        <w:spacing w:line="500" w:lineRule="exact"/>
        <w:jc w:val="left"/>
        <w:rPr>
          <w:rFonts w:hint="default" w:ascii="仿宋_GB2312" w:eastAsia="仿宋_GB2312"/>
          <w:sz w:val="28"/>
          <w:szCs w:val="28"/>
          <w:lang w:val="en-US" w:eastAsia="zh-CN"/>
        </w:rPr>
      </w:pPr>
      <w:r>
        <w:rPr>
          <w:rFonts w:hint="eastAsia" w:ascii="仿宋_GB2312" w:eastAsia="仿宋_GB2312"/>
          <w:sz w:val="28"/>
          <w:szCs w:val="28"/>
        </w:rPr>
        <w:t>十三、财政拨款“三公”经费支出决算表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17</w:t>
      </w:r>
    </w:p>
    <w:p>
      <w:pPr>
        <w:pStyle w:val="3"/>
        <w:jc w:val="center"/>
        <w:rPr>
          <w:rFonts w:hint="eastAsia" w:ascii="黑体" w:hAnsi="黑体" w:eastAsia="黑体"/>
          <w:b w:val="0"/>
        </w:rPr>
        <w:sectPr>
          <w:headerReference r:id="rId8" w:type="default"/>
          <w:footerReference r:id="rId9" w:type="default"/>
          <w:pgSz w:w="11906" w:h="16838"/>
          <w:pgMar w:top="2098" w:right="1474" w:bottom="1984" w:left="1587" w:header="851" w:footer="1417" w:gutter="0"/>
          <w:pgNumType w:fmt="numberInDash" w:start="1"/>
          <w:cols w:space="0" w:num="1"/>
          <w:titlePg/>
          <w:docGrid w:type="lines" w:linePitch="312" w:charSpace="0"/>
        </w:sectPr>
      </w:pP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
      <w:bookmarkEnd w:id="2"/>
    </w:p>
    <w:p>
      <w:pPr>
        <w:widowControl/>
        <w:jc w:val="left"/>
        <w:rPr>
          <w:rFonts w:ascii="黑体" w:eastAsia="黑体"/>
          <w:sz w:val="32"/>
          <w:szCs w:val="32"/>
        </w:rPr>
      </w:pPr>
    </w:p>
    <w:p>
      <w:pPr>
        <w:spacing w:line="600" w:lineRule="exact"/>
        <w:ind w:firstLine="537" w:firstLineChars="168"/>
        <w:rPr>
          <w:rFonts w:ascii="黑体" w:hAnsi="黑体" w:eastAsia="黑体"/>
          <w:color w:val="000000"/>
          <w:sz w:val="32"/>
          <w:szCs w:val="32"/>
        </w:rPr>
      </w:pPr>
      <w:bookmarkStart w:id="9" w:name="_Toc15396600"/>
      <w:bookmarkStart w:id="10" w:name="_Toc15377197"/>
      <w:r>
        <w:rPr>
          <w:rFonts w:hint="eastAsia" w:ascii="黑体" w:hAnsi="黑体" w:eastAsia="黑体"/>
          <w:color w:val="000000"/>
          <w:sz w:val="32"/>
          <w:szCs w:val="32"/>
        </w:rPr>
        <w:t>一、部门职责</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政协攀枝花市西区委员会办公室是政协攀枝花市西区委员会的综合办事机构，承担为区政协履行政治协商、民主监督、参政议政职能服务的各项工作。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1.负责政协攀枝花市西区委员会全体会议、常委会会议、主席会议和其他重要会议的会务工作；并起草全体会议、常委会会议和其他会议的文字工作以及政协工作的综合性文件。</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2.组织实施区政协组织的调研、视察、考察和其他各种活动的协调服务工作。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3.负责住区市政协委员活动服务工作和区政协委员活动的服务工作。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4.负责政协工作的对内对外宣传，收集反映各族各界人士的意见和建议。</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5.密切联系区委办公室、区人大常委会办公室、区政府办公室以及区级各部门，相互配合，协同工作。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6.负责区政协机关文电处理、文书档案、文印、通讯、机要保密工作。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7.负责区政协机关各种接待和联络工作。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8.承办区政协委员和各界人士的来信来访工作，加强与委员联系，为他们履职尽责做好服务工作。</w:t>
      </w:r>
    </w:p>
    <w:p>
      <w:pPr>
        <w:spacing w:line="600" w:lineRule="exact"/>
        <w:ind w:firstLine="707" w:firstLineChars="221"/>
        <w:rPr>
          <w:rFonts w:eastAsia="仿宋_GB2312" w:asciiTheme="minorHAnsi" w:hAnsiTheme="minorHAnsi"/>
          <w:sz w:val="32"/>
          <w:szCs w:val="32"/>
        </w:rPr>
      </w:pPr>
      <w:r>
        <w:rPr>
          <w:rFonts w:hint="eastAsia" w:ascii="仿宋_GB2312" w:eastAsia="仿宋_GB2312"/>
          <w:sz w:val="32"/>
          <w:szCs w:val="32"/>
        </w:rPr>
        <w:t>9.负责区政协机关国有资产管理、财务管理、车辆管理和物品采购管理，负责区政协机关综治、精神文明、卫生、消防和后勤保障及管理工作。</w:t>
      </w:r>
    </w:p>
    <w:p>
      <w:pPr>
        <w:spacing w:line="600" w:lineRule="exact"/>
        <w:ind w:firstLine="707" w:firstLineChars="221"/>
        <w:rPr>
          <w:rFonts w:hint="eastAsia" w:ascii="仿宋_GB2312" w:eastAsia="仿宋_GB2312"/>
          <w:sz w:val="32"/>
          <w:szCs w:val="32"/>
        </w:rPr>
      </w:pPr>
      <w:r>
        <w:rPr>
          <w:rFonts w:hint="eastAsia" w:ascii="仿宋_GB2312" w:eastAsia="仿宋_GB2312"/>
          <w:sz w:val="32"/>
          <w:szCs w:val="32"/>
        </w:rPr>
        <w:t>10.负责区政协机构编制、干部考核、目标管理和区政协机关的自身建设工作。</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11.承担区政协主席、副主席交办的其他事项。</w:t>
      </w:r>
    </w:p>
    <w:p>
      <w:pPr>
        <w:spacing w:line="600" w:lineRule="exact"/>
        <w:ind w:firstLine="707" w:firstLineChars="221"/>
        <w:outlineLvl w:val="1"/>
        <w:rPr>
          <w:rStyle w:val="33"/>
          <w:b w:val="0"/>
          <w:bCs w:val="0"/>
        </w:rPr>
      </w:pPr>
      <w:r>
        <w:rPr>
          <w:rFonts w:hint="eastAsia" w:ascii="黑体" w:hAnsi="黑体" w:eastAsia="黑体"/>
          <w:bCs/>
          <w:sz w:val="32"/>
          <w:szCs w:val="32"/>
        </w:rPr>
        <w:t>二、机</w:t>
      </w:r>
      <w:r>
        <w:rPr>
          <w:rStyle w:val="33"/>
          <w:rFonts w:hint="eastAsia" w:ascii="黑体" w:hAnsi="黑体" w:eastAsia="黑体"/>
          <w:b w:val="0"/>
          <w:bCs w:val="0"/>
        </w:rPr>
        <w:t>构设置</w:t>
      </w:r>
    </w:p>
    <w:p>
      <w:pPr>
        <w:spacing w:line="600" w:lineRule="exact"/>
        <w:ind w:firstLine="707" w:firstLineChars="221"/>
        <w:rPr>
          <w:rFonts w:ascii="仿宋_GB2312" w:eastAsia="仿宋_GB2312"/>
          <w:sz w:val="32"/>
          <w:szCs w:val="32"/>
        </w:rPr>
      </w:pPr>
      <w:r>
        <w:rPr>
          <w:rFonts w:hint="eastAsia" w:ascii="仿宋_GB2312" w:eastAsia="仿宋_GB2312"/>
          <w:color w:val="auto"/>
          <w:sz w:val="32"/>
          <w:szCs w:val="32"/>
        </w:rPr>
        <w:t>政协攀枝花市西区委员会内设二室七委：办公室（挂政策研究室牌子）、提案委员会、经济委员会、人口资源环境委员会、社会和法制委员会、文化文史和学习委员会、教科卫体委员会、委员联络委员会。</w:t>
      </w:r>
    </w:p>
    <w:p>
      <w:pPr>
        <w:spacing w:line="600"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本单位下属二级单位1个，财务未独立。</w:t>
      </w:r>
    </w:p>
    <w:p>
      <w:pPr>
        <w:spacing w:line="600" w:lineRule="exact"/>
        <w:ind w:firstLine="800" w:firstLineChars="250"/>
        <w:rPr>
          <w:rFonts w:ascii="仿宋_GB2312" w:hAnsi="仿宋" w:eastAsia="仿宋_GB2312"/>
          <w:color w:val="000000"/>
          <w:sz w:val="32"/>
          <w:szCs w:val="32"/>
        </w:rPr>
      </w:pPr>
    </w:p>
    <w:bookmarkEnd w:id="9"/>
    <w:bookmarkEnd w:id="10"/>
    <w:p>
      <w:pPr>
        <w:widowControl/>
        <w:jc w:val="left"/>
        <w:rPr>
          <w:rFonts w:ascii="仿宋" w:hAnsi="仿宋" w:eastAsia="仿宋"/>
          <w:kern w:val="0"/>
          <w:sz w:val="32"/>
          <w:szCs w:val="32"/>
        </w:rPr>
      </w:pPr>
      <w:r>
        <w:rPr>
          <w:rFonts w:ascii="仿宋" w:hAnsi="仿宋" w:eastAsia="仿宋"/>
          <w:sz w:val="32"/>
          <w:szCs w:val="32"/>
        </w:rPr>
        <w:br w:type="page"/>
      </w:r>
    </w:p>
    <w:p>
      <w:pPr>
        <w:pStyle w:val="3"/>
        <w:spacing w:before="0" w:after="0" w:line="600" w:lineRule="exact"/>
        <w:ind w:right="25" w:rightChars="0"/>
        <w:jc w:val="center"/>
        <w:rPr>
          <w:rStyle w:val="34"/>
          <w:rFonts w:hint="eastAsia" w:ascii="方正小标宋_GBK" w:hAnsi="黑体" w:eastAsia="方正小标宋_GBK"/>
          <w:b w:val="0"/>
          <w:bCs/>
        </w:rPr>
      </w:pPr>
      <w:bookmarkStart w:id="11" w:name="_Toc15377204"/>
      <w:bookmarkStart w:id="12" w:name="_Toc15396602"/>
      <w:r>
        <w:rPr>
          <w:rFonts w:hint="eastAsia" w:ascii="方正小标宋_GBK" w:hAnsi="黑体" w:eastAsia="方正小标宋_GBK"/>
          <w:b w:val="0"/>
        </w:rPr>
        <w:t>第二部分 2023年度</w:t>
      </w:r>
      <w:r>
        <w:rPr>
          <w:rStyle w:val="34"/>
          <w:rFonts w:hint="eastAsia" w:ascii="方正小标宋_GBK" w:hAnsi="黑体" w:eastAsia="方正小标宋_GBK"/>
          <w:b w:val="0"/>
          <w:bCs/>
          <w:lang w:eastAsia="zh-CN"/>
        </w:rPr>
        <w:t>单位</w:t>
      </w:r>
      <w:r>
        <w:rPr>
          <w:rStyle w:val="34"/>
          <w:rFonts w:hint="eastAsia" w:ascii="方正小标宋_GBK" w:hAnsi="黑体" w:eastAsia="方正小标宋_GBK"/>
          <w:b w:val="0"/>
          <w:bCs/>
        </w:rPr>
        <w:t>决算情况说明</w:t>
      </w:r>
    </w:p>
    <w:p>
      <w:pPr>
        <w:spacing w:line="600" w:lineRule="exact"/>
        <w:ind w:firstLine="566" w:firstLineChars="177"/>
        <w:outlineLvl w:val="1"/>
        <w:rPr>
          <w:rFonts w:hint="eastAsia" w:ascii="黑体" w:hAnsi="黑体" w:eastAsia="黑体"/>
          <w:sz w:val="32"/>
          <w:szCs w:val="32"/>
        </w:rPr>
      </w:pPr>
    </w:p>
    <w:bookmarkEnd w:id="11"/>
    <w:bookmarkEnd w:id="12"/>
    <w:p>
      <w:pPr>
        <w:spacing w:line="600" w:lineRule="exact"/>
        <w:ind w:firstLine="566" w:firstLineChars="177"/>
        <w:outlineLvl w:val="1"/>
        <w:rPr>
          <w:rStyle w:val="33"/>
          <w:rFonts w:ascii="黑体" w:hAnsi="黑体" w:eastAsia="黑体"/>
          <w:b w:val="0"/>
        </w:rPr>
      </w:pPr>
      <w:bookmarkStart w:id="13" w:name="_Toc15377205"/>
      <w:bookmarkStart w:id="14" w:name="_Toc15396603"/>
      <w:bookmarkStart w:id="15" w:name="_Toc15377209"/>
      <w:bookmarkStart w:id="16" w:name="_Toc15396607"/>
      <w:r>
        <w:rPr>
          <w:rFonts w:hint="eastAsia" w:ascii="黑体" w:hAnsi="黑体" w:eastAsia="黑体"/>
          <w:sz w:val="32"/>
          <w:szCs w:val="32"/>
        </w:rPr>
        <w:t>一</w:t>
      </w:r>
      <w:r>
        <w:rPr>
          <w:rFonts w:hint="eastAsia" w:ascii="黑体" w:hAnsi="黑体" w:eastAsia="黑体"/>
          <w:bCs/>
          <w:sz w:val="32"/>
          <w:szCs w:val="32"/>
        </w:rPr>
        <w:t>、</w:t>
      </w:r>
      <w:r>
        <w:rPr>
          <w:rFonts w:hint="eastAsia" w:ascii="黑体" w:hAnsi="黑体" w:eastAsia="黑体"/>
          <w:sz w:val="32"/>
          <w:szCs w:val="32"/>
        </w:rPr>
        <w:t>收</w:t>
      </w:r>
      <w:r>
        <w:rPr>
          <w:rStyle w:val="33"/>
          <w:rFonts w:hint="eastAsia" w:ascii="黑体" w:hAnsi="黑体" w:eastAsia="黑体"/>
          <w:b w:val="0"/>
        </w:rPr>
        <w:t>入支出决算总体情况说明</w:t>
      </w:r>
      <w:bookmarkEnd w:id="13"/>
      <w:bookmarkEnd w:id="14"/>
    </w:p>
    <w:p>
      <w:pPr>
        <w:spacing w:line="600" w:lineRule="exact"/>
        <w:ind w:firstLine="640" w:firstLineChars="200"/>
        <w:rPr>
          <w:rFonts w:ascii="Times" w:hAnsi="Times" w:eastAsia="仿宋_GB2312"/>
          <w:sz w:val="32"/>
          <w:szCs w:val="32"/>
        </w:rPr>
      </w:pPr>
      <w:r>
        <w:rPr>
          <w:rFonts w:ascii="Times" w:hAnsi="Times" w:eastAsia="仿宋_GB2312"/>
          <w:sz w:val="32"/>
          <w:szCs w:val="32"/>
        </w:rPr>
        <w:t>2023年度收入、支出总计均为716.9万元。与2022年度相比，收入、支出总计增加119.2万元，增加</w:t>
      </w:r>
      <w:r>
        <w:rPr>
          <w:rFonts w:ascii="Times" w:hAnsi="Times" w:eastAsia="仿宋_GB2312"/>
          <w:color w:val="auto"/>
          <w:sz w:val="32"/>
          <w:szCs w:val="32"/>
        </w:rPr>
        <w:t>19.</w:t>
      </w:r>
      <w:r>
        <w:rPr>
          <w:rFonts w:hint="eastAsia" w:ascii="Times" w:hAnsi="Times" w:eastAsia="仿宋_GB2312"/>
          <w:color w:val="auto"/>
          <w:sz w:val="32"/>
          <w:szCs w:val="32"/>
        </w:rPr>
        <w:t>9</w:t>
      </w:r>
      <w:r>
        <w:rPr>
          <w:rFonts w:ascii="Times" w:hAnsi="Times" w:eastAsia="仿宋_GB2312"/>
          <w:color w:val="auto"/>
          <w:sz w:val="32"/>
          <w:szCs w:val="32"/>
        </w:rPr>
        <w:t>4%，</w:t>
      </w:r>
      <w:r>
        <w:rPr>
          <w:rFonts w:ascii="Times" w:hAnsi="Times" w:eastAsia="仿宋_GB2312"/>
          <w:sz w:val="32"/>
          <w:szCs w:val="32"/>
        </w:rPr>
        <w:t>主要变动原因是人员新增，增加了人员经费及公用经费。</w:t>
      </w:r>
    </w:p>
    <w:p>
      <w:pPr>
        <w:spacing w:line="600" w:lineRule="exact"/>
        <w:ind w:firstLine="640" w:firstLineChars="200"/>
        <w:rPr>
          <w:rFonts w:ascii="Times" w:hAnsi="Times" w:eastAsia="仿宋_GB2312"/>
          <w:sz w:val="32"/>
          <w:szCs w:val="32"/>
        </w:rPr>
      </w:pPr>
      <w:r>
        <w:rPr>
          <w:rFonts w:ascii="Times" w:hAnsi="Times" w:eastAsia="仿宋_GB2312"/>
          <w:sz w:val="32"/>
          <w:szCs w:val="32"/>
        </w:rPr>
        <w:drawing>
          <wp:anchor distT="0" distB="0" distL="114300" distR="114300" simplePos="0" relativeHeight="251661312" behindDoc="0" locked="0" layoutInCell="1" allowOverlap="1">
            <wp:simplePos x="0" y="0"/>
            <wp:positionH relativeFrom="column">
              <wp:posOffset>474345</wp:posOffset>
            </wp:positionH>
            <wp:positionV relativeFrom="paragraph">
              <wp:posOffset>499110</wp:posOffset>
            </wp:positionV>
            <wp:extent cx="4574540" cy="2909570"/>
            <wp:effectExtent l="4445" t="4445" r="12065" b="1968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w:hAnsi="Times" w:eastAsia="仿宋_GB2312"/>
          <w:sz w:val="32"/>
          <w:szCs w:val="32"/>
        </w:rPr>
        <w:t>图1：收入、支出决算总计变动情况图（单位：万元）</w:t>
      </w:r>
    </w:p>
    <w:p>
      <w:pPr>
        <w:spacing w:line="600" w:lineRule="exact"/>
        <w:ind w:firstLine="707" w:firstLineChars="221"/>
        <w:rPr>
          <w:rStyle w:val="33"/>
          <w:rFonts w:ascii="仿宋" w:hAnsi="仿宋" w:eastAsia="仿宋" w:cs="Times New Roman"/>
          <w:b w:val="0"/>
          <w:bCs w:val="0"/>
        </w:rPr>
      </w:pPr>
      <w:bookmarkStart w:id="17" w:name="_Toc15396604"/>
      <w:bookmarkStart w:id="18" w:name="_Toc15377206"/>
      <w:r>
        <w:rPr>
          <w:rFonts w:hint="eastAsia" w:ascii="黑体" w:hAnsi="黑体" w:eastAsia="黑体"/>
          <w:sz w:val="32"/>
          <w:szCs w:val="32"/>
        </w:rPr>
        <w:t>二</w:t>
      </w:r>
      <w:r>
        <w:rPr>
          <w:rFonts w:hint="eastAsia" w:ascii="黑体" w:hAnsi="黑体" w:eastAsia="黑体"/>
          <w:bCs/>
          <w:sz w:val="32"/>
          <w:szCs w:val="32"/>
        </w:rPr>
        <w:t>、</w:t>
      </w:r>
      <w:r>
        <w:rPr>
          <w:rFonts w:hint="eastAsia" w:ascii="黑体" w:hAnsi="黑体" w:eastAsia="黑体"/>
          <w:sz w:val="32"/>
          <w:szCs w:val="32"/>
        </w:rPr>
        <w:t>收</w:t>
      </w:r>
      <w:r>
        <w:rPr>
          <w:rStyle w:val="33"/>
          <w:rFonts w:hint="eastAsia" w:ascii="黑体" w:hAnsi="黑体" w:eastAsia="黑体"/>
          <w:b w:val="0"/>
        </w:rPr>
        <w:t>入决算情况说明</w:t>
      </w:r>
      <w:bookmarkEnd w:id="17"/>
      <w:bookmarkEnd w:id="18"/>
    </w:p>
    <w:p>
      <w:pPr>
        <w:spacing w:line="60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2023年度本年收入合计</w:t>
      </w:r>
      <w:r>
        <w:rPr>
          <w:rFonts w:hint="eastAsia" w:ascii="仿宋_GB2312" w:eastAsia="仿宋_GB2312"/>
          <w:sz w:val="32"/>
          <w:szCs w:val="32"/>
        </w:rPr>
        <w:t>691.97</w:t>
      </w:r>
      <w:r>
        <w:rPr>
          <w:rFonts w:hint="eastAsia" w:ascii="仿宋_GB2312" w:hAnsi="仿宋" w:eastAsia="仿宋_GB2312"/>
          <w:sz w:val="32"/>
          <w:szCs w:val="32"/>
        </w:rPr>
        <w:t>万元，其中：一般公共预算财政拨款收入</w:t>
      </w:r>
      <w:r>
        <w:rPr>
          <w:rFonts w:hint="eastAsia" w:ascii="仿宋_GB2312" w:eastAsia="仿宋_GB2312"/>
          <w:sz w:val="32"/>
          <w:szCs w:val="32"/>
        </w:rPr>
        <w:t>682.37</w:t>
      </w:r>
      <w:r>
        <w:rPr>
          <w:rFonts w:hint="eastAsia" w:ascii="仿宋_GB2312" w:hAnsi="仿宋" w:eastAsia="仿宋_GB2312"/>
          <w:sz w:val="32"/>
          <w:szCs w:val="32"/>
        </w:rPr>
        <w:t>万元，占</w:t>
      </w:r>
      <w:r>
        <w:rPr>
          <w:rFonts w:hint="eastAsia" w:ascii="仿宋_GB2312" w:eastAsia="仿宋_GB2312"/>
          <w:sz w:val="32"/>
          <w:szCs w:val="32"/>
        </w:rPr>
        <w:t>98.61</w:t>
      </w:r>
      <w:r>
        <w:rPr>
          <w:rFonts w:hint="eastAsia" w:ascii="仿宋_GB2312" w:hAnsi="仿宋" w:eastAsia="仿宋_GB2312"/>
          <w:sz w:val="32"/>
          <w:szCs w:val="32"/>
        </w:rPr>
        <w:t>%；政府性基金预算财政拨款收入</w:t>
      </w:r>
      <w:r>
        <w:rPr>
          <w:rFonts w:hint="eastAsia" w:ascii="仿宋_GB2312" w:eastAsia="仿宋_GB2312"/>
          <w:sz w:val="32"/>
          <w:szCs w:val="32"/>
        </w:rPr>
        <w:t>9.6</w:t>
      </w:r>
      <w:r>
        <w:rPr>
          <w:rFonts w:hint="eastAsia" w:ascii="仿宋_GB2312" w:hAnsi="仿宋" w:eastAsia="仿宋_GB2312"/>
          <w:sz w:val="32"/>
          <w:szCs w:val="32"/>
        </w:rPr>
        <w:t>万元，占</w:t>
      </w:r>
      <w:r>
        <w:rPr>
          <w:rFonts w:hint="eastAsia" w:ascii="仿宋_GB2312" w:eastAsia="仿宋_GB2312"/>
          <w:color w:val="auto"/>
          <w:sz w:val="32"/>
          <w:szCs w:val="32"/>
        </w:rPr>
        <w:t>1.39</w:t>
      </w:r>
      <w:r>
        <w:rPr>
          <w:rFonts w:hint="eastAsia" w:ascii="仿宋_GB2312" w:hAnsi="仿宋" w:eastAsia="仿宋_GB2312"/>
          <w:color w:val="auto"/>
          <w:sz w:val="32"/>
          <w:szCs w:val="32"/>
        </w:rPr>
        <w:t>%；</w:t>
      </w:r>
      <w:r>
        <w:rPr>
          <w:rFonts w:hint="eastAsia" w:ascii="仿宋_GB2312" w:hAnsi="仿宋" w:eastAsia="仿宋_GB2312"/>
          <w:sz w:val="32"/>
          <w:szCs w:val="32"/>
        </w:rPr>
        <w:t>国有资本经营预算财政拨款收入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%；上级补助收入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%；事业收入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%；经营收入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%；附属单位上缴收入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%；其他收入</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图2：收入决算结构图（单位：万元）</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266700</wp:posOffset>
            </wp:positionH>
            <wp:positionV relativeFrom="paragraph">
              <wp:posOffset>187325</wp:posOffset>
            </wp:positionV>
            <wp:extent cx="4577080" cy="2249805"/>
            <wp:effectExtent l="4445" t="5080" r="9525" b="12065"/>
            <wp:wrapTight wrapText="bothSides">
              <wp:wrapPolygon>
                <wp:start x="-21" y="-49"/>
                <wp:lineTo x="-21" y="21533"/>
                <wp:lineTo x="21555" y="21533"/>
                <wp:lineTo x="21555" y="-49"/>
                <wp:lineTo x="-21" y="-49"/>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jc w:val="center"/>
      </w:pPr>
    </w:p>
    <w:p>
      <w:pPr>
        <w:pStyle w:val="26"/>
        <w:spacing w:line="600" w:lineRule="exact"/>
        <w:ind w:left="1288" w:firstLine="0" w:firstLineChars="0"/>
        <w:outlineLvl w:val="1"/>
        <w:rPr>
          <w:rFonts w:ascii="黑体" w:hAnsi="黑体" w:eastAsia="黑体"/>
          <w:sz w:val="32"/>
          <w:szCs w:val="32"/>
        </w:rPr>
      </w:pPr>
      <w:bookmarkStart w:id="19" w:name="_Toc15396605"/>
      <w:bookmarkStart w:id="20" w:name="_Toc15377207"/>
    </w:p>
    <w:p>
      <w:pPr>
        <w:pStyle w:val="26"/>
        <w:spacing w:line="600" w:lineRule="exact"/>
        <w:ind w:left="1288" w:firstLine="0" w:firstLineChars="0"/>
        <w:outlineLvl w:val="1"/>
        <w:rPr>
          <w:rFonts w:ascii="黑体" w:hAnsi="黑体" w:eastAsia="黑体"/>
          <w:sz w:val="32"/>
          <w:szCs w:val="32"/>
        </w:rPr>
      </w:pPr>
    </w:p>
    <w:p>
      <w:pPr>
        <w:pStyle w:val="26"/>
        <w:spacing w:line="600" w:lineRule="exact"/>
        <w:ind w:left="1288" w:firstLine="0" w:firstLineChars="0"/>
        <w:outlineLvl w:val="1"/>
        <w:rPr>
          <w:rFonts w:ascii="黑体" w:hAnsi="黑体" w:eastAsia="黑体"/>
          <w:sz w:val="32"/>
          <w:szCs w:val="32"/>
        </w:rPr>
      </w:pPr>
    </w:p>
    <w:p>
      <w:pPr>
        <w:pStyle w:val="26"/>
        <w:spacing w:line="600" w:lineRule="exact"/>
        <w:ind w:left="1288" w:firstLine="0" w:firstLineChars="0"/>
        <w:outlineLvl w:val="1"/>
        <w:rPr>
          <w:rFonts w:ascii="黑体" w:hAnsi="黑体" w:eastAsia="黑体"/>
          <w:sz w:val="32"/>
          <w:szCs w:val="32"/>
        </w:rPr>
      </w:pPr>
    </w:p>
    <w:p>
      <w:pPr>
        <w:spacing w:line="600" w:lineRule="exact"/>
        <w:ind w:firstLine="707" w:firstLineChars="221"/>
        <w:outlineLvl w:val="1"/>
        <w:rPr>
          <w:rStyle w:val="33"/>
          <w:rFonts w:ascii="黑体" w:hAnsi="黑体" w:eastAsia="黑体"/>
          <w:b w:val="0"/>
        </w:rPr>
      </w:pPr>
      <w:r>
        <w:rPr>
          <w:rFonts w:hint="eastAsia" w:ascii="黑体" w:hAnsi="黑体" w:eastAsia="黑体"/>
          <w:sz w:val="32"/>
          <w:szCs w:val="32"/>
        </w:rPr>
        <w:t>三</w:t>
      </w:r>
      <w:r>
        <w:rPr>
          <w:rFonts w:hint="eastAsia" w:ascii="黑体" w:hAnsi="黑体" w:eastAsia="黑体"/>
          <w:bCs/>
          <w:sz w:val="32"/>
          <w:szCs w:val="32"/>
        </w:rPr>
        <w:t>、</w:t>
      </w:r>
      <w:r>
        <w:rPr>
          <w:rFonts w:hint="eastAsia" w:ascii="黑体" w:hAnsi="黑体" w:eastAsia="黑体"/>
          <w:sz w:val="32"/>
          <w:szCs w:val="32"/>
        </w:rPr>
        <w:t>支</w:t>
      </w:r>
      <w:r>
        <w:rPr>
          <w:rStyle w:val="33"/>
          <w:rFonts w:hint="eastAsia" w:ascii="黑体" w:hAnsi="黑体" w:eastAsia="黑体"/>
          <w:b w:val="0"/>
        </w:rPr>
        <w:t>出决算情况说明</w:t>
      </w:r>
      <w:bookmarkEnd w:id="19"/>
      <w:bookmarkEnd w:id="20"/>
    </w:p>
    <w:p>
      <w:pPr>
        <w:spacing w:line="60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2023年度本年支出合计</w:t>
      </w:r>
      <w:r>
        <w:rPr>
          <w:rFonts w:ascii="仿宋_GB2312" w:hAnsi="仿宋" w:eastAsia="仿宋_GB2312"/>
          <w:sz w:val="32"/>
          <w:szCs w:val="32"/>
        </w:rPr>
        <w:t>714.81</w:t>
      </w:r>
      <w:r>
        <w:rPr>
          <w:rFonts w:hint="eastAsia" w:ascii="仿宋_GB2312" w:hAnsi="仿宋" w:eastAsia="仿宋_GB2312"/>
          <w:sz w:val="32"/>
          <w:szCs w:val="32"/>
        </w:rPr>
        <w:t>万元，其中：基本支出</w:t>
      </w:r>
      <w:r>
        <w:rPr>
          <w:rFonts w:ascii="仿宋_GB2312" w:hAnsi="仿宋" w:eastAsia="仿宋_GB2312"/>
          <w:sz w:val="32"/>
          <w:szCs w:val="32"/>
        </w:rPr>
        <w:t>668.27</w:t>
      </w:r>
      <w:r>
        <w:rPr>
          <w:rFonts w:hint="eastAsia" w:ascii="仿宋_GB2312" w:hAnsi="仿宋" w:eastAsia="仿宋_GB2312"/>
          <w:sz w:val="32"/>
          <w:szCs w:val="32"/>
        </w:rPr>
        <w:t>万元，占</w:t>
      </w:r>
      <w:r>
        <w:rPr>
          <w:rFonts w:ascii="仿宋_GB2312" w:hAnsi="仿宋" w:eastAsia="仿宋_GB2312"/>
          <w:color w:val="auto"/>
          <w:sz w:val="32"/>
          <w:szCs w:val="32"/>
        </w:rPr>
        <w:t>93.4</w:t>
      </w:r>
      <w:r>
        <w:rPr>
          <w:rFonts w:hint="eastAsia" w:ascii="仿宋_GB2312" w:hAnsi="仿宋" w:eastAsia="仿宋_GB2312"/>
          <w:color w:val="auto"/>
          <w:sz w:val="32"/>
          <w:szCs w:val="32"/>
        </w:rPr>
        <w:t>9</w:t>
      </w:r>
      <w:r>
        <w:rPr>
          <w:rFonts w:ascii="仿宋_GB2312" w:hAnsi="仿宋" w:eastAsia="仿宋_GB2312"/>
          <w:color w:val="auto"/>
          <w:sz w:val="32"/>
          <w:szCs w:val="32"/>
        </w:rPr>
        <w:t>%</w:t>
      </w:r>
      <w:r>
        <w:rPr>
          <w:rFonts w:hint="eastAsia" w:ascii="仿宋_GB2312" w:hAnsi="仿宋" w:eastAsia="仿宋_GB2312"/>
          <w:sz w:val="32"/>
          <w:szCs w:val="32"/>
        </w:rPr>
        <w:t>；项目支出</w:t>
      </w:r>
      <w:r>
        <w:rPr>
          <w:rFonts w:ascii="仿宋_GB2312" w:hAnsi="仿宋" w:eastAsia="仿宋_GB2312"/>
          <w:sz w:val="32"/>
          <w:szCs w:val="32"/>
        </w:rPr>
        <w:t>46.54</w:t>
      </w:r>
      <w:r>
        <w:rPr>
          <w:rFonts w:hint="eastAsia" w:ascii="仿宋_GB2312" w:hAnsi="仿宋" w:eastAsia="仿宋_GB2312"/>
          <w:sz w:val="32"/>
          <w:szCs w:val="32"/>
        </w:rPr>
        <w:t>万元，占</w:t>
      </w:r>
      <w:r>
        <w:rPr>
          <w:rFonts w:ascii="仿宋_GB2312" w:hAnsi="仿宋" w:eastAsia="仿宋_GB2312"/>
          <w:sz w:val="32"/>
          <w:szCs w:val="32"/>
        </w:rPr>
        <w:t>6.51%</w:t>
      </w:r>
      <w:r>
        <w:rPr>
          <w:rFonts w:hint="eastAsia" w:ascii="仿宋_GB2312" w:hAnsi="仿宋" w:eastAsia="仿宋_GB2312"/>
          <w:sz w:val="32"/>
          <w:szCs w:val="32"/>
        </w:rPr>
        <w:t>；上缴上级支出</w:t>
      </w:r>
      <w:r>
        <w:rPr>
          <w:rFonts w:ascii="仿宋_GB2312" w:hAnsi="仿宋" w:eastAsia="仿宋_GB2312"/>
          <w:sz w:val="32"/>
          <w:szCs w:val="32"/>
        </w:rPr>
        <w:t>0</w:t>
      </w:r>
      <w:r>
        <w:rPr>
          <w:rFonts w:hint="eastAsia" w:ascii="仿宋_GB2312" w:hAnsi="仿宋" w:eastAsia="仿宋_GB2312"/>
          <w:sz w:val="32"/>
          <w:szCs w:val="32"/>
        </w:rPr>
        <w:t>万元，占</w:t>
      </w:r>
      <w:r>
        <w:rPr>
          <w:rFonts w:ascii="仿宋_GB2312" w:hAnsi="仿宋" w:eastAsia="仿宋_GB2312"/>
          <w:sz w:val="32"/>
          <w:szCs w:val="32"/>
        </w:rPr>
        <w:t>0%</w:t>
      </w:r>
      <w:r>
        <w:rPr>
          <w:rFonts w:hint="eastAsia" w:ascii="仿宋_GB2312" w:hAnsi="仿宋" w:eastAsia="仿宋_GB2312"/>
          <w:sz w:val="32"/>
          <w:szCs w:val="32"/>
        </w:rPr>
        <w:t>；经营支出</w:t>
      </w:r>
      <w:r>
        <w:rPr>
          <w:rFonts w:ascii="仿宋_GB2312" w:hAnsi="仿宋" w:eastAsia="仿宋_GB2312"/>
          <w:sz w:val="32"/>
          <w:szCs w:val="32"/>
        </w:rPr>
        <w:t>0</w:t>
      </w:r>
      <w:r>
        <w:rPr>
          <w:rFonts w:hint="eastAsia" w:ascii="仿宋_GB2312" w:hAnsi="仿宋" w:eastAsia="仿宋_GB2312"/>
          <w:sz w:val="32"/>
          <w:szCs w:val="32"/>
        </w:rPr>
        <w:t>万元，占</w:t>
      </w:r>
      <w:r>
        <w:rPr>
          <w:rFonts w:ascii="仿宋_GB2312" w:hAnsi="仿宋" w:eastAsia="仿宋_GB2312"/>
          <w:sz w:val="32"/>
          <w:szCs w:val="32"/>
        </w:rPr>
        <w:t>0%</w:t>
      </w:r>
      <w:r>
        <w:rPr>
          <w:rFonts w:hint="eastAsia" w:ascii="仿宋_GB2312" w:hAnsi="仿宋" w:eastAsia="仿宋_GB2312"/>
          <w:sz w:val="32"/>
          <w:szCs w:val="32"/>
        </w:rPr>
        <w:t>；对附属单位补助支出</w:t>
      </w:r>
      <w:r>
        <w:rPr>
          <w:rFonts w:ascii="仿宋_GB2312" w:hAnsi="仿宋" w:eastAsia="仿宋_GB2312"/>
          <w:sz w:val="32"/>
          <w:szCs w:val="32"/>
        </w:rPr>
        <w:t>0</w:t>
      </w:r>
      <w:r>
        <w:rPr>
          <w:rFonts w:hint="eastAsia" w:ascii="仿宋_GB2312" w:hAnsi="仿宋" w:eastAsia="仿宋_GB2312"/>
          <w:sz w:val="32"/>
          <w:szCs w:val="32"/>
        </w:rPr>
        <w:t>万元，占</w:t>
      </w:r>
      <w:r>
        <w:rPr>
          <w:rFonts w:ascii="仿宋_GB2312" w:hAnsi="仿宋" w:eastAsia="仿宋_GB2312"/>
          <w:sz w:val="32"/>
          <w:szCs w:val="32"/>
        </w:rPr>
        <w:t>0%</w:t>
      </w:r>
      <w:r>
        <w:rPr>
          <w:rFonts w:hint="eastAsia" w:ascii="仿宋_GB2312" w:hAnsi="仿宋" w:eastAsia="仿宋_GB2312"/>
          <w:sz w:val="32"/>
          <w:szCs w:val="32"/>
        </w:rPr>
        <w:t>。</w:t>
      </w:r>
    </w:p>
    <w:p>
      <w:pPr>
        <w:spacing w:line="60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图3：支出决算结构图（单位：万元）</w:t>
      </w:r>
    </w:p>
    <w:p>
      <w:pPr>
        <w:spacing w:line="60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361950</wp:posOffset>
            </wp:positionH>
            <wp:positionV relativeFrom="paragraph">
              <wp:posOffset>115570</wp:posOffset>
            </wp:positionV>
            <wp:extent cx="4575810" cy="2305685"/>
            <wp:effectExtent l="4445" t="4445" r="1079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pPr>
    </w:p>
    <w:p>
      <w:pPr>
        <w:spacing w:line="600" w:lineRule="exact"/>
        <w:ind w:firstLine="640" w:firstLineChars="200"/>
        <w:outlineLvl w:val="1"/>
        <w:rPr>
          <w:rFonts w:ascii="黑体" w:hAnsi="黑体" w:eastAsia="黑体"/>
          <w:sz w:val="32"/>
          <w:szCs w:val="32"/>
        </w:rPr>
      </w:pPr>
      <w:bookmarkStart w:id="21" w:name="_Toc15396606"/>
      <w:bookmarkStart w:id="22" w:name="_Toc15377208"/>
    </w:p>
    <w:p>
      <w:pPr>
        <w:spacing w:line="600" w:lineRule="exact"/>
        <w:ind w:firstLine="640" w:firstLineChars="200"/>
        <w:outlineLvl w:val="1"/>
        <w:rPr>
          <w:rFonts w:ascii="黑体" w:hAnsi="黑体" w:eastAsia="黑体"/>
          <w:sz w:val="32"/>
          <w:szCs w:val="32"/>
        </w:rPr>
      </w:pPr>
    </w:p>
    <w:p>
      <w:pPr>
        <w:spacing w:line="600" w:lineRule="exact"/>
        <w:ind w:firstLine="640" w:firstLineChars="200"/>
        <w:outlineLvl w:val="1"/>
        <w:rPr>
          <w:rFonts w:ascii="黑体" w:hAnsi="黑体" w:eastAsia="黑体"/>
          <w:sz w:val="32"/>
          <w:szCs w:val="32"/>
        </w:rPr>
      </w:pPr>
    </w:p>
    <w:p>
      <w:pPr>
        <w:spacing w:line="600" w:lineRule="exact"/>
        <w:ind w:firstLine="640" w:firstLineChars="200"/>
        <w:jc w:val="right"/>
        <w:outlineLvl w:val="1"/>
        <w:rPr>
          <w:rFonts w:ascii="黑体" w:hAnsi="黑体" w:eastAsia="黑体"/>
          <w:sz w:val="32"/>
          <w:szCs w:val="32"/>
        </w:rPr>
      </w:pPr>
    </w:p>
    <w:p>
      <w:pPr>
        <w:spacing w:line="580" w:lineRule="exact"/>
        <w:ind w:firstLine="640" w:firstLineChars="200"/>
        <w:outlineLvl w:val="1"/>
        <w:rPr>
          <w:rStyle w:val="33"/>
          <w:rFonts w:ascii="黑体" w:hAnsi="黑体" w:eastAsia="黑体"/>
          <w:b w:val="0"/>
        </w:rPr>
      </w:pPr>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1"/>
      <w:bookmarkEnd w:id="22"/>
    </w:p>
    <w:p>
      <w:pPr>
        <w:spacing w:line="58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2023年度财政拨款收入、支出总计均为</w:t>
      </w:r>
      <w:r>
        <w:rPr>
          <w:rFonts w:ascii="仿宋_GB2312" w:hAnsi="仿宋" w:eastAsia="仿宋_GB2312"/>
          <w:sz w:val="32"/>
          <w:szCs w:val="32"/>
        </w:rPr>
        <w:t>714.73</w:t>
      </w:r>
      <w:r>
        <w:rPr>
          <w:rFonts w:hint="eastAsia" w:ascii="仿宋_GB2312" w:hAnsi="仿宋" w:eastAsia="仿宋_GB2312"/>
          <w:sz w:val="32"/>
          <w:szCs w:val="32"/>
        </w:rPr>
        <w:t>万元。与2022年度相比，财政拨款收、支总计各增加119.2万元，增</w:t>
      </w:r>
      <w:r>
        <w:rPr>
          <w:rFonts w:hint="eastAsia" w:ascii="仿宋_GB2312" w:hAnsi="仿宋" w:eastAsia="仿宋_GB2312"/>
          <w:color w:val="auto"/>
          <w:sz w:val="32"/>
          <w:szCs w:val="32"/>
        </w:rPr>
        <w:t>长20.02</w:t>
      </w:r>
      <w:r>
        <w:rPr>
          <w:rFonts w:ascii="仿宋_GB2312" w:hAnsi="仿宋" w:eastAsia="仿宋_GB2312"/>
          <w:color w:val="auto"/>
          <w:sz w:val="32"/>
          <w:szCs w:val="32"/>
        </w:rPr>
        <w:t>%</w:t>
      </w:r>
      <w:r>
        <w:rPr>
          <w:rFonts w:hint="eastAsia" w:ascii="仿宋_GB2312" w:hAnsi="仿宋" w:eastAsia="仿宋_GB2312"/>
          <w:sz w:val="32"/>
          <w:szCs w:val="32"/>
        </w:rPr>
        <w:t>。主要变动原因是人员工资正常增长，保险缴费基数调增。</w:t>
      </w:r>
    </w:p>
    <w:p>
      <w:pPr>
        <w:spacing w:line="58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图4：财政拨款收、支决算总计变动表（单位：万元）</w:t>
      </w:r>
    </w:p>
    <w:p>
      <w:pPr>
        <w:pStyle w:val="2"/>
        <w:jc w:val="center"/>
      </w:pPr>
      <w:r>
        <w:drawing>
          <wp:inline distT="0" distB="0" distL="0" distR="0">
            <wp:extent cx="4578985" cy="2814320"/>
            <wp:effectExtent l="4445" t="4445" r="7620" b="19685"/>
            <wp:docPr id="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outlineLvl w:val="1"/>
        <w:rPr>
          <w:rStyle w:val="33"/>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p>
    <w:p>
      <w:pPr>
        <w:spacing w:line="600" w:lineRule="exact"/>
        <w:ind w:firstLine="640" w:firstLineChars="200"/>
        <w:outlineLvl w:val="2"/>
        <w:rPr>
          <w:rFonts w:ascii="楷体_GB2312" w:hAnsi="仿宋" w:eastAsia="楷体_GB2312"/>
          <w:sz w:val="32"/>
          <w:szCs w:val="32"/>
        </w:rPr>
      </w:pPr>
      <w:bookmarkStart w:id="23" w:name="_Toc15377210"/>
      <w:r>
        <w:rPr>
          <w:rFonts w:hint="eastAsia" w:ascii="楷体_GB2312" w:hAnsi="仿宋" w:eastAsia="楷体_GB2312"/>
          <w:sz w:val="32"/>
          <w:szCs w:val="32"/>
        </w:rPr>
        <w:t>（一）一般公共预算财政拨款支出决算总体情况</w:t>
      </w:r>
      <w:bookmarkEnd w:id="23"/>
    </w:p>
    <w:p>
      <w:pPr>
        <w:spacing w:line="58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2023年度一般公共预算财政拨款支出</w:t>
      </w:r>
      <w:r>
        <w:rPr>
          <w:rFonts w:ascii="仿宋_GB2312" w:hAnsi="仿宋" w:eastAsia="仿宋_GB2312"/>
          <w:sz w:val="32"/>
          <w:szCs w:val="32"/>
        </w:rPr>
        <w:t>694.41</w:t>
      </w:r>
      <w:r>
        <w:rPr>
          <w:rFonts w:hint="eastAsia" w:ascii="仿宋_GB2312" w:hAnsi="仿宋" w:eastAsia="仿宋_GB2312"/>
          <w:sz w:val="32"/>
          <w:szCs w:val="32"/>
        </w:rPr>
        <w:t>万元，占本年支出合计的</w:t>
      </w:r>
      <w:r>
        <w:rPr>
          <w:rFonts w:ascii="仿宋_GB2312" w:hAnsi="仿宋" w:eastAsia="仿宋_GB2312"/>
          <w:color w:val="000000" w:themeColor="text1"/>
          <w:sz w:val="32"/>
          <w:szCs w:val="32"/>
          <w14:textFill>
            <w14:solidFill>
              <w14:schemeClr w14:val="tx1"/>
            </w14:solidFill>
          </w14:textFill>
        </w:rPr>
        <w:t>97.1</w:t>
      </w:r>
      <w:r>
        <w:rPr>
          <w:rFonts w:hint="eastAsia" w:ascii="仿宋_GB2312" w:hAnsi="仿宋" w:eastAsia="仿宋_GB2312"/>
          <w:color w:val="000000" w:themeColor="text1"/>
          <w:sz w:val="32"/>
          <w:szCs w:val="32"/>
          <w14:textFill>
            <w14:solidFill>
              <w14:schemeClr w14:val="tx1"/>
            </w14:solidFill>
          </w14:textFill>
        </w:rPr>
        <w:t>5</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sz w:val="32"/>
          <w:szCs w:val="32"/>
        </w:rPr>
        <w:t>。与2022年度相比，一般公共预算财政拨款支出增加142.71万元，增长25.87</w:t>
      </w:r>
      <w:r>
        <w:rPr>
          <w:rFonts w:ascii="仿宋_GB2312" w:hAnsi="仿宋" w:eastAsia="仿宋_GB2312"/>
          <w:sz w:val="32"/>
          <w:szCs w:val="32"/>
        </w:rPr>
        <w:t>%</w:t>
      </w:r>
      <w:r>
        <w:rPr>
          <w:rFonts w:hint="eastAsia" w:ascii="仿宋_GB2312" w:hAnsi="仿宋" w:eastAsia="仿宋_GB2312"/>
          <w:sz w:val="32"/>
          <w:szCs w:val="32"/>
        </w:rPr>
        <w:t>。主要变动原因是人员经费增长21%；公用经费增长41%。</w:t>
      </w:r>
    </w:p>
    <w:p>
      <w:pPr>
        <w:spacing w:line="58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图5：一般公共预算财政拨款支出决算变动情况表（单位：万元）</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266700</wp:posOffset>
            </wp:positionH>
            <wp:positionV relativeFrom="paragraph">
              <wp:posOffset>75565</wp:posOffset>
            </wp:positionV>
            <wp:extent cx="4573270" cy="2926080"/>
            <wp:effectExtent l="4445" t="4445" r="13335" b="2222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2" w:firstLineChars="200"/>
        <w:outlineLvl w:val="2"/>
        <w:rPr>
          <w:rFonts w:ascii="仿宋" w:hAnsi="仿宋" w:eastAsia="仿宋"/>
          <w:b/>
          <w:sz w:val="32"/>
          <w:szCs w:val="32"/>
        </w:rPr>
      </w:pPr>
      <w:bookmarkStart w:id="24" w:name="_Toc15377211"/>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0" w:firstLineChars="200"/>
        <w:outlineLvl w:val="2"/>
        <w:rPr>
          <w:rFonts w:ascii="仿宋" w:hAnsi="仿宋" w:eastAsia="仿宋"/>
          <w:b/>
          <w:sz w:val="32"/>
          <w:szCs w:val="32"/>
        </w:rPr>
      </w:pPr>
      <w:r>
        <w:rPr>
          <w:rFonts w:hint="eastAsia" w:ascii="楷体_GB2312" w:hAnsi="仿宋" w:eastAsia="楷体_GB2312"/>
          <w:sz w:val="32"/>
          <w:szCs w:val="32"/>
        </w:rPr>
        <w:t>（二）一般公共预算财政拨款支出决算结构情况</w:t>
      </w:r>
      <w:bookmarkEnd w:id="24"/>
    </w:p>
    <w:p>
      <w:pPr>
        <w:spacing w:line="600" w:lineRule="exact"/>
        <w:ind w:firstLine="640" w:firstLineChars="200"/>
        <w:jc w:val="left"/>
        <w:outlineLvl w:val="1"/>
        <w:rPr>
          <w:rFonts w:ascii="仿宋_GB2312" w:hAnsi="仿宋" w:eastAsia="仿宋_GB2312"/>
          <w:color w:val="auto"/>
          <w:sz w:val="32"/>
          <w:szCs w:val="32"/>
        </w:rPr>
      </w:pPr>
      <w:r>
        <w:rPr>
          <w:rFonts w:hint="eastAsia" w:ascii="仿宋_GB2312" w:hAnsi="仿宋" w:eastAsia="仿宋_GB2312"/>
          <w:sz w:val="32"/>
          <w:szCs w:val="32"/>
        </w:rPr>
        <w:t>2023年度一般公共预算财政拨款支出</w:t>
      </w:r>
      <w:r>
        <w:rPr>
          <w:rFonts w:ascii="仿宋_GB2312" w:hAnsi="仿宋" w:eastAsia="仿宋_GB2312"/>
          <w:sz w:val="32"/>
          <w:szCs w:val="32"/>
        </w:rPr>
        <w:t>694.41</w:t>
      </w:r>
      <w:r>
        <w:rPr>
          <w:rFonts w:hint="eastAsia" w:ascii="仿宋_GB2312" w:hAnsi="仿宋" w:eastAsia="仿宋_GB2312"/>
          <w:sz w:val="32"/>
          <w:szCs w:val="32"/>
        </w:rPr>
        <w:t>万元，主要用于以下方面</w:t>
      </w:r>
      <w:r>
        <w:rPr>
          <w:rFonts w:ascii="仿宋_GB2312" w:hAnsi="仿宋" w:eastAsia="仿宋_GB2312"/>
          <w:sz w:val="32"/>
          <w:szCs w:val="32"/>
        </w:rPr>
        <w:t>:</w:t>
      </w:r>
      <w:r>
        <w:rPr>
          <w:rFonts w:hint="eastAsia" w:ascii="仿宋_GB2312" w:hAnsi="仿宋" w:eastAsia="仿宋_GB2312"/>
          <w:sz w:val="32"/>
          <w:szCs w:val="32"/>
        </w:rPr>
        <w:t>一般公共服务支出</w:t>
      </w:r>
      <w:r>
        <w:rPr>
          <w:rFonts w:hint="eastAsia" w:ascii="仿宋_GB2312" w:hAnsi="仿宋" w:eastAsia="仿宋_GB2312"/>
          <w:color w:val="auto"/>
          <w:sz w:val="32"/>
          <w:szCs w:val="32"/>
          <w:lang w:val="en-US" w:eastAsia="zh-CN"/>
        </w:rPr>
        <w:t>508.10</w:t>
      </w:r>
      <w:r>
        <w:rPr>
          <w:rFonts w:hint="eastAsia" w:ascii="仿宋_GB2312" w:hAnsi="仿宋" w:eastAsia="仿宋_GB2312"/>
          <w:color w:val="auto"/>
          <w:sz w:val="32"/>
          <w:szCs w:val="32"/>
        </w:rPr>
        <w:t>万元，</w:t>
      </w:r>
      <w:r>
        <w:rPr>
          <w:rFonts w:hint="eastAsia" w:ascii="仿宋_GB2312" w:hAnsi="仿宋" w:eastAsia="仿宋_GB2312"/>
          <w:color w:val="000000" w:themeColor="text1"/>
          <w:sz w:val="32"/>
          <w:szCs w:val="32"/>
          <w14:textFill>
            <w14:solidFill>
              <w14:schemeClr w14:val="tx1"/>
            </w14:solidFill>
          </w14:textFill>
        </w:rPr>
        <w:t>占73.1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auto"/>
          <w:sz w:val="32"/>
          <w:szCs w:val="32"/>
        </w:rPr>
        <w:t>；教育支出0万元，占0</w:t>
      </w:r>
      <w:r>
        <w:rPr>
          <w:rFonts w:ascii="仿宋_GB2312" w:hAnsi="仿宋" w:eastAsia="仿宋_GB2312"/>
          <w:color w:val="auto"/>
          <w:sz w:val="32"/>
          <w:szCs w:val="32"/>
        </w:rPr>
        <w:t>%</w:t>
      </w:r>
      <w:r>
        <w:rPr>
          <w:rFonts w:hint="eastAsia" w:ascii="仿宋_GB2312" w:hAnsi="仿宋" w:eastAsia="仿宋_GB2312"/>
          <w:color w:val="auto"/>
          <w:sz w:val="32"/>
          <w:szCs w:val="32"/>
        </w:rPr>
        <w:t>；科学技术支出0万元，占0</w:t>
      </w:r>
      <w:r>
        <w:rPr>
          <w:rFonts w:ascii="仿宋_GB2312" w:hAnsi="仿宋" w:eastAsia="仿宋_GB2312"/>
          <w:color w:val="auto"/>
          <w:sz w:val="32"/>
          <w:szCs w:val="32"/>
        </w:rPr>
        <w:t>%</w:t>
      </w:r>
      <w:r>
        <w:rPr>
          <w:rFonts w:hint="eastAsia" w:ascii="仿宋_GB2312" w:hAnsi="仿宋" w:eastAsia="仿宋_GB2312"/>
          <w:color w:val="auto"/>
          <w:sz w:val="32"/>
          <w:szCs w:val="32"/>
        </w:rPr>
        <w:t>；文化旅游体育与传媒支出0万元，占0</w:t>
      </w:r>
      <w:r>
        <w:rPr>
          <w:rFonts w:ascii="仿宋_GB2312" w:hAnsi="仿宋" w:eastAsia="仿宋_GB2312"/>
          <w:color w:val="auto"/>
          <w:sz w:val="32"/>
          <w:szCs w:val="32"/>
        </w:rPr>
        <w:t>%</w:t>
      </w:r>
      <w:r>
        <w:rPr>
          <w:rFonts w:hint="eastAsia" w:ascii="仿宋_GB2312" w:hAnsi="仿宋" w:eastAsia="仿宋_GB2312"/>
          <w:color w:val="auto"/>
          <w:sz w:val="32"/>
          <w:szCs w:val="32"/>
        </w:rPr>
        <w:t>；社会保障和就业支出80.35万元，占11.57</w:t>
      </w:r>
      <w:r>
        <w:rPr>
          <w:rFonts w:ascii="仿宋_GB2312" w:hAnsi="仿宋" w:eastAsia="仿宋_GB2312"/>
          <w:color w:val="auto"/>
          <w:sz w:val="32"/>
          <w:szCs w:val="32"/>
        </w:rPr>
        <w:t>%</w:t>
      </w:r>
      <w:r>
        <w:rPr>
          <w:rFonts w:hint="eastAsia" w:ascii="仿宋_GB2312" w:hAnsi="仿宋" w:eastAsia="仿宋_GB2312"/>
          <w:color w:val="auto"/>
          <w:sz w:val="32"/>
          <w:szCs w:val="32"/>
        </w:rPr>
        <w:t>；卫生健康支出58.43万元，占8.41</w:t>
      </w:r>
      <w:r>
        <w:rPr>
          <w:rFonts w:ascii="仿宋_GB2312" w:hAnsi="仿宋" w:eastAsia="仿宋_GB2312"/>
          <w:color w:val="auto"/>
          <w:sz w:val="32"/>
          <w:szCs w:val="32"/>
        </w:rPr>
        <w:t>%</w:t>
      </w:r>
      <w:r>
        <w:rPr>
          <w:rFonts w:hint="eastAsia" w:ascii="仿宋_GB2312" w:hAnsi="仿宋" w:eastAsia="仿宋_GB2312"/>
          <w:color w:val="auto"/>
          <w:sz w:val="32"/>
          <w:szCs w:val="32"/>
        </w:rPr>
        <w:t>；住房保障支出47.53万元，占</w:t>
      </w:r>
      <w:r>
        <w:rPr>
          <w:rFonts w:hint="eastAsia" w:ascii="仿宋_GB2312" w:hAnsi="仿宋" w:eastAsia="仿宋_GB2312"/>
          <w:color w:val="000000" w:themeColor="text1"/>
          <w:sz w:val="32"/>
          <w:szCs w:val="32"/>
          <w14:textFill>
            <w14:solidFill>
              <w14:schemeClr w14:val="tx1"/>
            </w14:solidFill>
          </w14:textFill>
        </w:rPr>
        <w:t>6.8</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ascii="仿宋_GB2312" w:hAnsi="仿宋" w:eastAsia="仿宋_GB2312"/>
          <w:color w:val="auto"/>
          <w:sz w:val="32"/>
          <w:szCs w:val="32"/>
        </w:rPr>
        <w:t>%</w:t>
      </w:r>
      <w:r>
        <w:rPr>
          <w:rFonts w:hint="eastAsia" w:ascii="仿宋_GB2312" w:hAnsi="仿宋" w:eastAsia="仿宋_GB2312"/>
          <w:color w:val="auto"/>
          <w:sz w:val="32"/>
          <w:szCs w:val="32"/>
        </w:rPr>
        <w:t>。</w:t>
      </w:r>
    </w:p>
    <w:p>
      <w:pPr>
        <w:spacing w:line="600" w:lineRule="exact"/>
        <w:ind w:firstLine="640" w:firstLineChars="200"/>
        <w:jc w:val="left"/>
        <w:outlineLvl w:val="1"/>
        <w:rPr>
          <w:rFonts w:ascii="仿宋_GB2312" w:hAnsi="仿宋" w:eastAsia="仿宋_GB2312"/>
          <w:sz w:val="32"/>
          <w:szCs w:val="32"/>
        </w:rPr>
      </w:pPr>
      <w:r>
        <w:rPr>
          <w:rFonts w:hint="eastAsia" w:ascii="仿宋_GB2312" w:hAnsi="仿宋" w:eastAsia="仿宋_GB2312"/>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25" w:name="_Toc15377212"/>
      <w:r>
        <w:rPr>
          <w:rFonts w:hint="eastAsia" w:ascii="仿宋" w:hAnsi="仿宋" w:eastAsia="仿宋"/>
          <w:b/>
          <w:sz w:val="32"/>
          <w:szCs w:val="32"/>
        </w:rPr>
        <w:drawing>
          <wp:anchor distT="0" distB="0" distL="114300" distR="114300" simplePos="0" relativeHeight="251665408" behindDoc="1" locked="0" layoutInCell="1" allowOverlap="1">
            <wp:simplePos x="0" y="0"/>
            <wp:positionH relativeFrom="column">
              <wp:posOffset>408305</wp:posOffset>
            </wp:positionH>
            <wp:positionV relativeFrom="paragraph">
              <wp:posOffset>144145</wp:posOffset>
            </wp:positionV>
            <wp:extent cx="4577715" cy="1979930"/>
            <wp:effectExtent l="4445" t="5080" r="8890" b="1524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00" w:lineRule="exact"/>
        <w:ind w:firstLine="642" w:firstLineChars="200"/>
        <w:outlineLvl w:val="2"/>
        <w:rPr>
          <w:rFonts w:ascii="仿宋" w:hAnsi="仿宋" w:eastAsia="仿宋"/>
          <w:b/>
          <w:sz w:val="32"/>
          <w:szCs w:val="32"/>
        </w:rPr>
      </w:pPr>
    </w:p>
    <w:p>
      <w:pPr>
        <w:spacing w:line="640" w:lineRule="exact"/>
        <w:ind w:firstLine="640" w:firstLineChars="200"/>
        <w:outlineLvl w:val="2"/>
        <w:rPr>
          <w:rFonts w:ascii="楷体_GB2312" w:hAnsi="仿宋" w:eastAsia="楷体_GB2312"/>
          <w:sz w:val="32"/>
          <w:szCs w:val="32"/>
        </w:rPr>
      </w:pPr>
      <w:r>
        <w:rPr>
          <w:rFonts w:hint="eastAsia" w:ascii="楷体_GB2312" w:hAnsi="仿宋" w:eastAsia="楷体_GB2312"/>
          <w:sz w:val="32"/>
          <w:szCs w:val="32"/>
        </w:rPr>
        <w:t>（三）一般公共预算财政拨款支出决算具体情况</w:t>
      </w:r>
      <w:bookmarkEnd w:id="25"/>
    </w:p>
    <w:p>
      <w:pPr>
        <w:spacing w:line="640" w:lineRule="exact"/>
        <w:ind w:firstLine="642" w:firstLineChars="200"/>
        <w:outlineLvl w:val="2"/>
        <w:rPr>
          <w:rFonts w:ascii="仿宋_GB2312" w:hAnsi="仿宋" w:eastAsia="仿宋_GB2312"/>
          <w:sz w:val="32"/>
          <w:szCs w:val="32"/>
        </w:rPr>
      </w:pPr>
      <w:bookmarkStart w:id="26" w:name="_Toc15377444"/>
      <w:bookmarkStart w:id="27" w:name="_Toc15378460"/>
      <w:bookmarkStart w:id="28" w:name="_Toc15377213"/>
      <w:r>
        <w:rPr>
          <w:rFonts w:hint="eastAsia" w:ascii="仿宋_GB2312" w:hAnsi="仿宋" w:eastAsia="仿宋_GB2312"/>
          <w:b/>
          <w:sz w:val="32"/>
          <w:szCs w:val="32"/>
        </w:rPr>
        <w:t>2023年度一般公共预算支出决算数为</w:t>
      </w:r>
      <w:r>
        <w:rPr>
          <w:rFonts w:hint="eastAsia" w:ascii="仿宋_GB2312" w:eastAsia="仿宋_GB2312"/>
          <w:sz w:val="32"/>
          <w:szCs w:val="32"/>
        </w:rPr>
        <w:t>694.41</w:t>
      </w:r>
      <w:r>
        <w:rPr>
          <w:rFonts w:hint="eastAsia" w:ascii="仿宋_GB2312" w:hAnsi="仿宋" w:eastAsia="仿宋_GB2312"/>
          <w:sz w:val="32"/>
          <w:szCs w:val="32"/>
        </w:rPr>
        <w:t>，</w:t>
      </w:r>
      <w:r>
        <w:rPr>
          <w:rStyle w:val="17"/>
          <w:rFonts w:hint="eastAsia" w:ascii="仿宋_GB2312" w:hAnsi="仿宋" w:eastAsia="仿宋_GB2312"/>
          <w:bCs/>
          <w:sz w:val="32"/>
          <w:szCs w:val="32"/>
        </w:rPr>
        <w:t>完成预算100%。其中：</w:t>
      </w:r>
      <w:bookmarkEnd w:id="26"/>
      <w:bookmarkEnd w:id="27"/>
      <w:bookmarkEnd w:id="28"/>
    </w:p>
    <w:p>
      <w:pPr>
        <w:spacing w:line="640" w:lineRule="exact"/>
        <w:ind w:firstLine="642" w:firstLineChars="200"/>
        <w:rPr>
          <w:rStyle w:val="17"/>
          <w:rFonts w:ascii="仿宋_GB2312" w:hAnsi="仿宋" w:eastAsia="仿宋_GB2312"/>
          <w:b w:val="0"/>
          <w:bCs/>
          <w:sz w:val="32"/>
          <w:szCs w:val="32"/>
        </w:rPr>
      </w:pPr>
      <w:r>
        <w:rPr>
          <w:rStyle w:val="17"/>
          <w:rFonts w:hint="eastAsia" w:ascii="仿宋_GB2312" w:hAnsi="仿宋" w:eastAsia="仿宋_GB2312"/>
          <w:bCs/>
          <w:sz w:val="32"/>
          <w:szCs w:val="32"/>
        </w:rPr>
        <w:t>1.一般公共服务（类）政协事务（款）行政运行（项）</w:t>
      </w:r>
      <w:r>
        <w:rPr>
          <w:rStyle w:val="17"/>
          <w:rFonts w:hint="eastAsia" w:ascii="仿宋_GB2312" w:hAnsi="仿宋" w:eastAsia="仿宋_GB2312"/>
          <w:b w:val="0"/>
          <w:bCs/>
          <w:sz w:val="32"/>
          <w:szCs w:val="32"/>
        </w:rPr>
        <w:t>支出决算为422.91万元，完成预算100%</w:t>
      </w:r>
      <w:r>
        <w:rPr>
          <w:rStyle w:val="17"/>
          <w:rFonts w:hint="eastAsia" w:ascii="仿宋_GB2312" w:hAnsi="仿宋" w:eastAsia="仿宋_GB2312"/>
          <w:bCs/>
          <w:sz w:val="32"/>
          <w:szCs w:val="32"/>
        </w:rPr>
        <w:t>;一般行政管理事务（项）</w:t>
      </w:r>
      <w:r>
        <w:rPr>
          <w:rStyle w:val="17"/>
          <w:rFonts w:hint="eastAsia" w:ascii="仿宋_GB2312" w:hAnsi="仿宋" w:eastAsia="仿宋_GB2312"/>
          <w:b w:val="0"/>
          <w:bCs/>
          <w:sz w:val="32"/>
          <w:szCs w:val="32"/>
        </w:rPr>
        <w:t>支出决算为21.79万元，完成预算100%</w:t>
      </w:r>
      <w:r>
        <w:rPr>
          <w:rStyle w:val="17"/>
          <w:rFonts w:hint="eastAsia" w:ascii="仿宋_GB2312" w:hAnsi="仿宋" w:eastAsia="仿宋_GB2312"/>
          <w:bCs/>
          <w:sz w:val="32"/>
          <w:szCs w:val="32"/>
        </w:rPr>
        <w:t>;事业运行（项）</w:t>
      </w:r>
      <w:r>
        <w:rPr>
          <w:rStyle w:val="17"/>
          <w:rFonts w:hint="eastAsia" w:ascii="仿宋_GB2312" w:hAnsi="仿宋" w:eastAsia="仿宋_GB2312"/>
          <w:b w:val="0"/>
          <w:bCs/>
          <w:sz w:val="32"/>
          <w:szCs w:val="32"/>
        </w:rPr>
        <w:t>支出决算为58.97万元，完成预算100%</w:t>
      </w:r>
      <w:r>
        <w:rPr>
          <w:rStyle w:val="17"/>
          <w:rFonts w:hint="eastAsia" w:ascii="仿宋_GB2312" w:hAnsi="仿宋" w:eastAsia="仿宋_GB2312"/>
          <w:bCs/>
          <w:sz w:val="32"/>
          <w:szCs w:val="32"/>
        </w:rPr>
        <w:t>;其他政协事务支出（项）</w:t>
      </w:r>
      <w:r>
        <w:rPr>
          <w:rStyle w:val="17"/>
          <w:rFonts w:hint="eastAsia" w:ascii="仿宋_GB2312" w:hAnsi="仿宋" w:eastAsia="仿宋_GB2312"/>
          <w:b w:val="0"/>
          <w:bCs/>
          <w:sz w:val="32"/>
          <w:szCs w:val="32"/>
        </w:rPr>
        <w:t>支出决算为4.44万元，完成预算100%。</w:t>
      </w:r>
    </w:p>
    <w:p>
      <w:pPr>
        <w:spacing w:line="640" w:lineRule="exact"/>
        <w:ind w:firstLine="642" w:firstLineChars="200"/>
        <w:rPr>
          <w:rStyle w:val="17"/>
          <w:rFonts w:ascii="仿宋_GB2312" w:hAnsi="仿宋" w:eastAsia="仿宋_GB2312"/>
          <w:b w:val="0"/>
          <w:bCs/>
          <w:sz w:val="32"/>
          <w:szCs w:val="32"/>
        </w:rPr>
      </w:pPr>
      <w:r>
        <w:rPr>
          <w:rStyle w:val="17"/>
          <w:rFonts w:hint="eastAsia" w:ascii="仿宋_GB2312" w:hAnsi="仿宋" w:eastAsia="仿宋_GB2312"/>
          <w:bCs/>
          <w:sz w:val="32"/>
          <w:szCs w:val="32"/>
        </w:rPr>
        <w:t>2.社会保障和就业（类）行政事业单位养老支出（款）行政单位离退休（项）</w:t>
      </w:r>
      <w:r>
        <w:rPr>
          <w:rStyle w:val="17"/>
          <w:rFonts w:hint="eastAsia" w:ascii="仿宋_GB2312" w:hAnsi="仿宋" w:eastAsia="仿宋_GB2312"/>
          <w:b w:val="0"/>
          <w:bCs/>
          <w:sz w:val="32"/>
          <w:szCs w:val="32"/>
        </w:rPr>
        <w:t>支出决算为14.24万元，完成预算100%</w:t>
      </w:r>
      <w:r>
        <w:rPr>
          <w:rStyle w:val="17"/>
          <w:rFonts w:hint="eastAsia" w:ascii="仿宋_GB2312" w:hAnsi="仿宋" w:eastAsia="仿宋_GB2312"/>
          <w:bCs/>
          <w:sz w:val="32"/>
          <w:szCs w:val="32"/>
        </w:rPr>
        <w:t>;机关事业单位基本养老保险缴费支出（项）</w:t>
      </w:r>
      <w:r>
        <w:rPr>
          <w:rStyle w:val="17"/>
          <w:rFonts w:hint="eastAsia" w:ascii="仿宋_GB2312" w:hAnsi="仿宋" w:eastAsia="仿宋_GB2312"/>
          <w:b w:val="0"/>
          <w:bCs/>
          <w:sz w:val="32"/>
          <w:szCs w:val="32"/>
        </w:rPr>
        <w:t>支出决算为66.11万元，完成预算100% 。</w:t>
      </w:r>
    </w:p>
    <w:p>
      <w:pPr>
        <w:spacing w:line="640" w:lineRule="exact"/>
        <w:ind w:firstLine="642" w:firstLineChars="200"/>
        <w:rPr>
          <w:rFonts w:ascii="仿宋_GB2312" w:hAnsi="仿宋" w:eastAsia="仿宋_GB2312"/>
          <w:b/>
          <w:color w:val="auto"/>
          <w:sz w:val="32"/>
          <w:szCs w:val="32"/>
        </w:rPr>
      </w:pPr>
      <w:r>
        <w:rPr>
          <w:rStyle w:val="17"/>
          <w:rFonts w:hint="eastAsia" w:ascii="仿宋_GB2312" w:hAnsi="仿宋" w:eastAsia="仿宋_GB2312"/>
          <w:bCs/>
          <w:color w:val="auto"/>
          <w:sz w:val="32"/>
          <w:szCs w:val="32"/>
        </w:rPr>
        <w:t>3.</w:t>
      </w:r>
      <w:r>
        <w:rPr>
          <w:rFonts w:hint="eastAsia" w:ascii="仿宋_GB2312" w:hAnsi="仿宋" w:eastAsia="仿宋_GB2312"/>
          <w:b/>
          <w:bCs/>
          <w:color w:val="auto"/>
          <w:sz w:val="32"/>
          <w:szCs w:val="32"/>
        </w:rPr>
        <w:t>卫生健康210</w:t>
      </w:r>
      <w:r>
        <w:rPr>
          <w:rStyle w:val="17"/>
          <w:rFonts w:hint="eastAsia" w:ascii="仿宋_GB2312" w:hAnsi="仿宋" w:eastAsia="仿宋_GB2312"/>
          <w:bCs/>
          <w:color w:val="auto"/>
          <w:sz w:val="32"/>
          <w:szCs w:val="32"/>
        </w:rPr>
        <w:t>（类）行政事业单位医疗（款）行政单位医疗（项）</w:t>
      </w:r>
      <w:r>
        <w:rPr>
          <w:rStyle w:val="17"/>
          <w:rFonts w:hint="eastAsia" w:ascii="仿宋_GB2312" w:hAnsi="仿宋" w:eastAsia="仿宋_GB2312"/>
          <w:b w:val="0"/>
          <w:bCs/>
          <w:color w:val="auto"/>
          <w:sz w:val="32"/>
          <w:szCs w:val="32"/>
        </w:rPr>
        <w:t>支出决算为29.84万元，完成预算100% ;</w:t>
      </w:r>
      <w:r>
        <w:rPr>
          <w:rStyle w:val="17"/>
          <w:rFonts w:hint="eastAsia" w:ascii="仿宋_GB2312" w:hAnsi="仿宋" w:eastAsia="仿宋_GB2312"/>
          <w:bCs/>
          <w:color w:val="auto"/>
          <w:sz w:val="32"/>
          <w:szCs w:val="32"/>
        </w:rPr>
        <w:t>事业单位医疗（项）</w:t>
      </w:r>
      <w:r>
        <w:rPr>
          <w:rStyle w:val="17"/>
          <w:rFonts w:hint="eastAsia" w:ascii="仿宋_GB2312" w:hAnsi="仿宋" w:eastAsia="仿宋_GB2312"/>
          <w:b w:val="0"/>
          <w:bCs/>
          <w:color w:val="auto"/>
          <w:sz w:val="32"/>
          <w:szCs w:val="32"/>
        </w:rPr>
        <w:t>支出决算为3.26万元，完成预算100% ;</w:t>
      </w:r>
      <w:r>
        <w:rPr>
          <w:rFonts w:hint="eastAsia"/>
          <w:color w:val="auto"/>
        </w:rPr>
        <w:t xml:space="preserve"> </w:t>
      </w:r>
      <w:r>
        <w:rPr>
          <w:rStyle w:val="17"/>
          <w:rFonts w:hint="eastAsia" w:ascii="仿宋_GB2312" w:hAnsi="仿宋" w:eastAsia="仿宋_GB2312"/>
          <w:bCs/>
          <w:color w:val="auto"/>
          <w:sz w:val="32"/>
          <w:szCs w:val="32"/>
        </w:rPr>
        <w:t>公务员医疗补助（项）</w:t>
      </w:r>
      <w:r>
        <w:rPr>
          <w:rStyle w:val="17"/>
          <w:rFonts w:hint="eastAsia" w:ascii="仿宋_GB2312" w:hAnsi="仿宋" w:eastAsia="仿宋_GB2312"/>
          <w:b w:val="0"/>
          <w:bCs/>
          <w:color w:val="auto"/>
          <w:sz w:val="32"/>
          <w:szCs w:val="32"/>
        </w:rPr>
        <w:t>支出决算为23.23万元，完成预算100%;其他行政事业单位医疗支出</w:t>
      </w:r>
      <w:r>
        <w:rPr>
          <w:rStyle w:val="17"/>
          <w:rFonts w:hint="eastAsia" w:ascii="仿宋_GB2312" w:hAnsi="仿宋" w:eastAsia="仿宋_GB2312"/>
          <w:bCs/>
          <w:color w:val="auto"/>
          <w:sz w:val="32"/>
          <w:szCs w:val="32"/>
        </w:rPr>
        <w:t>（项）</w:t>
      </w:r>
      <w:r>
        <w:rPr>
          <w:rStyle w:val="17"/>
          <w:rFonts w:hint="eastAsia" w:ascii="仿宋_GB2312" w:hAnsi="仿宋" w:eastAsia="仿宋_GB2312"/>
          <w:b w:val="0"/>
          <w:bCs/>
          <w:color w:val="auto"/>
          <w:sz w:val="32"/>
          <w:szCs w:val="32"/>
        </w:rPr>
        <w:t>支出决算为2.11万元，完成预算100%。</w:t>
      </w:r>
    </w:p>
    <w:p>
      <w:pPr>
        <w:spacing w:line="640" w:lineRule="exact"/>
        <w:ind w:firstLine="642" w:firstLineChars="200"/>
        <w:rPr>
          <w:rFonts w:ascii="仿宋_GB2312" w:hAnsi="仿宋" w:eastAsia="仿宋_GB2312"/>
          <w:b/>
          <w:color w:val="auto"/>
          <w:sz w:val="32"/>
          <w:szCs w:val="32"/>
        </w:rPr>
      </w:pPr>
      <w:r>
        <w:rPr>
          <w:rFonts w:hint="eastAsia" w:ascii="仿宋_GB2312" w:hAnsi="仿宋" w:eastAsia="仿宋_GB2312"/>
          <w:b/>
          <w:color w:val="auto"/>
          <w:sz w:val="32"/>
          <w:szCs w:val="32"/>
        </w:rPr>
        <w:t>4.</w:t>
      </w:r>
      <w:r>
        <w:rPr>
          <w:rFonts w:hint="eastAsia" w:ascii="仿宋_GB2312" w:eastAsia="仿宋_GB2312" w:cs="方正仿宋_GBK"/>
          <w:b/>
          <w:bCs/>
          <w:color w:val="auto"/>
          <w:sz w:val="32"/>
          <w:szCs w:val="32"/>
        </w:rPr>
        <w:t xml:space="preserve"> 住房保障支出</w:t>
      </w:r>
      <w:r>
        <w:rPr>
          <w:rFonts w:hint="eastAsia" w:ascii="仿宋_GB2312" w:hAnsi="仿宋" w:eastAsia="仿宋_GB2312" w:cs="仿宋"/>
          <w:b/>
          <w:bCs/>
          <w:color w:val="auto"/>
          <w:sz w:val="32"/>
          <w:szCs w:val="32"/>
        </w:rPr>
        <w:t>（类）住房改革支出（款）住房公积金（项）：</w:t>
      </w:r>
      <w:r>
        <w:rPr>
          <w:rStyle w:val="17"/>
          <w:rFonts w:hint="eastAsia" w:ascii="仿宋_GB2312" w:hAnsi="仿宋" w:eastAsia="仿宋_GB2312"/>
          <w:b w:val="0"/>
          <w:bCs/>
          <w:color w:val="auto"/>
          <w:sz w:val="32"/>
          <w:szCs w:val="32"/>
        </w:rPr>
        <w:t>支出决算为47.53万元，完成预算100%。</w:t>
      </w:r>
    </w:p>
    <w:p>
      <w:pPr>
        <w:tabs>
          <w:tab w:val="right" w:pos="8306"/>
        </w:tabs>
        <w:spacing w:line="640" w:lineRule="exact"/>
        <w:ind w:firstLine="640"/>
        <w:outlineLvl w:val="1"/>
        <w:rPr>
          <w:rStyle w:val="33"/>
        </w:rPr>
      </w:pPr>
      <w:bookmarkStart w:id="29" w:name="_Toc15377214"/>
      <w:bookmarkStart w:id="3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29"/>
      <w:bookmarkEnd w:id="30"/>
      <w:r>
        <w:rPr>
          <w:rStyle w:val="33"/>
          <w:rFonts w:ascii="黑体" w:hAnsi="黑体" w:eastAsia="黑体"/>
          <w:b w:val="0"/>
        </w:rPr>
        <w:tab/>
      </w:r>
    </w:p>
    <w:p>
      <w:pPr>
        <w:spacing w:line="640" w:lineRule="exact"/>
        <w:ind w:firstLine="645"/>
        <w:rPr>
          <w:rFonts w:ascii="仿宋_GB2312" w:hAnsi="仿宋" w:eastAsia="仿宋_GB2312"/>
          <w:sz w:val="32"/>
          <w:szCs w:val="32"/>
        </w:rPr>
      </w:pPr>
      <w:r>
        <w:rPr>
          <w:rFonts w:hint="eastAsia" w:ascii="仿宋_GB2312" w:hAnsi="仿宋" w:eastAsia="仿宋_GB2312"/>
          <w:sz w:val="32"/>
          <w:szCs w:val="32"/>
        </w:rPr>
        <w:t>2023年度一般公共预算财政拨款基本支出</w:t>
      </w:r>
      <w:r>
        <w:rPr>
          <w:rFonts w:hint="eastAsia" w:ascii="仿宋_GB2312" w:eastAsia="仿宋_GB2312"/>
          <w:color w:val="auto"/>
          <w:sz w:val="32"/>
          <w:szCs w:val="32"/>
        </w:rPr>
        <w:t>668.18</w:t>
      </w:r>
      <w:r>
        <w:rPr>
          <w:rFonts w:hint="eastAsia" w:ascii="仿宋_GB2312" w:hAnsi="仿宋" w:eastAsia="仿宋_GB2312"/>
          <w:color w:val="auto"/>
          <w:sz w:val="32"/>
          <w:szCs w:val="32"/>
        </w:rPr>
        <w:t>万元</w:t>
      </w:r>
      <w:r>
        <w:rPr>
          <w:rFonts w:hint="eastAsia" w:ascii="仿宋_GB2312" w:hAnsi="仿宋" w:eastAsia="仿宋_GB2312"/>
          <w:sz w:val="32"/>
          <w:szCs w:val="32"/>
        </w:rPr>
        <w:t>，其中：</w:t>
      </w:r>
    </w:p>
    <w:p>
      <w:pPr>
        <w:spacing w:line="640" w:lineRule="exact"/>
        <w:ind w:firstLine="645"/>
        <w:rPr>
          <w:rFonts w:ascii="仿宋_GB2312" w:hAnsi="仿宋" w:eastAsia="仿宋_GB2312"/>
          <w:sz w:val="32"/>
          <w:szCs w:val="32"/>
        </w:rPr>
      </w:pPr>
      <w:r>
        <w:rPr>
          <w:rFonts w:hint="eastAsia" w:ascii="仿宋_GB2312" w:hAnsi="仿宋" w:eastAsia="仿宋_GB2312"/>
          <w:sz w:val="32"/>
          <w:szCs w:val="32"/>
        </w:rPr>
        <w:t>人员经费</w:t>
      </w:r>
      <w:r>
        <w:rPr>
          <w:rFonts w:hint="eastAsia" w:ascii="仿宋_GB2312" w:eastAsia="仿宋_GB2312"/>
          <w:sz w:val="32"/>
          <w:szCs w:val="32"/>
        </w:rPr>
        <w:t>610.4</w:t>
      </w:r>
      <w:r>
        <w:rPr>
          <w:rFonts w:hint="eastAsia" w:ascii="仿宋_GB2312" w:hAnsi="仿宋" w:eastAsia="仿宋_GB2312"/>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 w:eastAsia="仿宋_GB2312"/>
          <w:sz w:val="32"/>
          <w:szCs w:val="32"/>
        </w:rPr>
        <w:br w:type="textWrapping"/>
      </w:r>
      <w:r>
        <w:rPr>
          <w:rFonts w:hint="eastAsia" w:ascii="仿宋_GB2312" w:hAnsi="仿宋" w:eastAsia="仿宋_GB2312"/>
          <w:sz w:val="32"/>
          <w:szCs w:val="32"/>
        </w:rPr>
        <w:t>　　公用经费</w:t>
      </w:r>
      <w:r>
        <w:rPr>
          <w:rFonts w:hint="eastAsia" w:ascii="仿宋_GB2312" w:eastAsia="仿宋_GB2312"/>
          <w:sz w:val="32"/>
          <w:szCs w:val="32"/>
        </w:rPr>
        <w:t>57.78</w:t>
      </w:r>
      <w:r>
        <w:rPr>
          <w:rFonts w:hint="eastAsia" w:ascii="仿宋_GB2312" w:hAnsi="仿宋" w:eastAsia="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40" w:lineRule="exact"/>
        <w:ind w:firstLine="640"/>
        <w:outlineLvl w:val="1"/>
        <w:rPr>
          <w:rStyle w:val="33"/>
          <w:rFonts w:ascii="黑体" w:hAnsi="黑体" w:eastAsia="黑体"/>
          <w:b w:val="0"/>
        </w:rPr>
      </w:pPr>
      <w:bookmarkStart w:id="31" w:name="_Toc15377215"/>
      <w:bookmarkStart w:id="32" w:name="_Toc15396609"/>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1"/>
      <w:bookmarkEnd w:id="32"/>
    </w:p>
    <w:p>
      <w:pPr>
        <w:spacing w:line="640" w:lineRule="exact"/>
        <w:ind w:firstLine="640"/>
        <w:outlineLvl w:val="2"/>
        <w:rPr>
          <w:rFonts w:ascii="楷体_GB2312" w:hAnsi="仿宋" w:eastAsia="楷体_GB2312"/>
          <w:b/>
          <w:sz w:val="32"/>
          <w:szCs w:val="32"/>
        </w:rPr>
      </w:pPr>
      <w:bookmarkStart w:id="33" w:name="_Toc15377216"/>
      <w:r>
        <w:rPr>
          <w:rFonts w:hint="eastAsia" w:ascii="楷体_GB2312" w:hAnsi="仿宋" w:eastAsia="楷体_GB2312"/>
          <w:b/>
          <w:sz w:val="32"/>
          <w:szCs w:val="32"/>
        </w:rPr>
        <w:t>（一）“三公”经费财政拨款支出决算总体情况说明</w:t>
      </w:r>
      <w:bookmarkEnd w:id="33"/>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2023年度“三公”经费财政拨款支出决算为</w:t>
      </w:r>
      <w:r>
        <w:rPr>
          <w:rFonts w:hint="eastAsia" w:ascii="仿宋_GB2312" w:eastAsia="仿宋_GB2312"/>
          <w:sz w:val="32"/>
          <w:szCs w:val="32"/>
        </w:rPr>
        <w:t>0.29</w:t>
      </w:r>
      <w:r>
        <w:rPr>
          <w:rFonts w:hint="eastAsia" w:ascii="仿宋_GB2312" w:hAnsi="仿宋" w:eastAsia="仿宋_GB2312"/>
          <w:sz w:val="32"/>
          <w:szCs w:val="32"/>
        </w:rPr>
        <w:t>万元，完成预算</w:t>
      </w:r>
      <w:r>
        <w:rPr>
          <w:rFonts w:hint="eastAsia" w:ascii="仿宋_GB2312" w:hAnsi="仿宋" w:eastAsia="仿宋_GB2312"/>
          <w:color w:val="auto"/>
          <w:sz w:val="32"/>
          <w:szCs w:val="32"/>
        </w:rPr>
        <w:t>100%，</w:t>
      </w:r>
      <w:r>
        <w:rPr>
          <w:rFonts w:hint="eastAsia" w:ascii="仿宋_GB2312" w:hAnsi="仿宋" w:eastAsia="仿宋_GB2312"/>
          <w:sz w:val="32"/>
          <w:szCs w:val="32"/>
        </w:rPr>
        <w:t>较上年度减少0.17万元，下降36.96%。决算数小于预算数的主要原因是认真贯彻落实省、市、区关于过紧日子的要求，厉行节约，</w:t>
      </w:r>
      <w:r>
        <w:rPr>
          <w:rFonts w:hint="eastAsia" w:ascii="仿宋_GB2312" w:hAnsi="仿宋" w:eastAsia="仿宋_GB2312"/>
          <w:sz w:val="32"/>
          <w:szCs w:val="32"/>
          <w:lang w:val="en-US" w:eastAsia="zh-CN"/>
        </w:rPr>
        <w:t>来宾批次减少，</w:t>
      </w:r>
      <w:r>
        <w:rPr>
          <w:rFonts w:hint="eastAsia" w:ascii="仿宋_GB2312" w:hAnsi="仿宋" w:eastAsia="仿宋_GB2312"/>
          <w:sz w:val="32"/>
          <w:szCs w:val="32"/>
        </w:rPr>
        <w:t>从严控制“三公”经费开支。</w:t>
      </w:r>
    </w:p>
    <w:p>
      <w:pPr>
        <w:spacing w:line="640" w:lineRule="exact"/>
        <w:ind w:firstLine="640"/>
        <w:outlineLvl w:val="2"/>
        <w:rPr>
          <w:rFonts w:ascii="楷体_GB2312" w:hAnsi="仿宋" w:eastAsia="楷体_GB2312"/>
          <w:b/>
          <w:sz w:val="32"/>
          <w:szCs w:val="32"/>
        </w:rPr>
      </w:pPr>
      <w:bookmarkStart w:id="34" w:name="_Toc15377217"/>
      <w:r>
        <w:rPr>
          <w:rFonts w:hint="eastAsia" w:ascii="楷体_GB2312" w:hAnsi="仿宋" w:eastAsia="楷体_GB2312"/>
          <w:b/>
          <w:sz w:val="32"/>
          <w:szCs w:val="32"/>
        </w:rPr>
        <w:t>（二）“三公”经费财政拨款支出决算具体情况说明</w:t>
      </w:r>
      <w:bookmarkEnd w:id="34"/>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2023年度“三公”经费财政拨款支出决算中，因公出国（境）费支出决算</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%；公务用车购置及运行维护费支出决算</w:t>
      </w:r>
      <w:r>
        <w:rPr>
          <w:rFonts w:hint="eastAsia" w:ascii="仿宋_GB2312" w:eastAsia="仿宋_GB2312"/>
          <w:sz w:val="32"/>
          <w:szCs w:val="32"/>
        </w:rPr>
        <w:t>0</w:t>
      </w:r>
      <w:r>
        <w:rPr>
          <w:rFonts w:hint="eastAsia" w:ascii="仿宋_GB2312" w:hAnsi="仿宋" w:eastAsia="仿宋_GB2312"/>
          <w:sz w:val="32"/>
          <w:szCs w:val="32"/>
        </w:rPr>
        <w:t>万元，占</w:t>
      </w:r>
      <w:r>
        <w:rPr>
          <w:rFonts w:hint="eastAsia" w:ascii="仿宋_GB2312" w:eastAsia="仿宋_GB2312"/>
          <w:sz w:val="32"/>
          <w:szCs w:val="32"/>
        </w:rPr>
        <w:t>0</w:t>
      </w:r>
      <w:r>
        <w:rPr>
          <w:rFonts w:hint="eastAsia" w:ascii="仿宋_GB2312" w:hAnsi="仿宋" w:eastAsia="仿宋_GB2312"/>
          <w:sz w:val="32"/>
          <w:szCs w:val="32"/>
        </w:rPr>
        <w:t>%；公务接待费支出决算</w:t>
      </w:r>
      <w:r>
        <w:rPr>
          <w:rFonts w:hint="eastAsia" w:ascii="仿宋_GB2312" w:eastAsia="仿宋_GB2312"/>
          <w:sz w:val="32"/>
          <w:szCs w:val="32"/>
        </w:rPr>
        <w:t>0.29</w:t>
      </w:r>
      <w:r>
        <w:rPr>
          <w:rFonts w:hint="eastAsia" w:ascii="仿宋_GB2312" w:hAnsi="仿宋" w:eastAsia="仿宋_GB2312"/>
          <w:sz w:val="32"/>
          <w:szCs w:val="32"/>
        </w:rPr>
        <w:t>万元，占</w:t>
      </w:r>
      <w:r>
        <w:rPr>
          <w:rFonts w:hint="eastAsia" w:ascii="仿宋_GB2312" w:eastAsia="仿宋_GB2312"/>
          <w:sz w:val="32"/>
          <w:szCs w:val="32"/>
        </w:rPr>
        <w:t>100</w:t>
      </w:r>
      <w:r>
        <w:rPr>
          <w:rFonts w:hint="eastAsia" w:ascii="仿宋_GB2312" w:hAnsi="仿宋" w:eastAsia="仿宋_GB2312"/>
          <w:sz w:val="32"/>
          <w:szCs w:val="32"/>
        </w:rPr>
        <w:t>%。具体情况如下：</w:t>
      </w:r>
    </w:p>
    <w:p>
      <w:pPr>
        <w:spacing w:line="640" w:lineRule="exact"/>
        <w:ind w:firstLine="640"/>
        <w:rPr>
          <w:rFonts w:ascii="仿宋_GB2312" w:hAnsi="仿宋" w:eastAsia="仿宋_GB2312"/>
          <w:sz w:val="32"/>
          <w:szCs w:val="32"/>
        </w:rPr>
      </w:pPr>
      <w:r>
        <w:rPr>
          <w:rFonts w:hint="eastAsia" w:ascii="仿宋_GB2312" w:hAnsi="仿宋" w:eastAsia="仿宋_GB2312"/>
          <w:sz w:val="32"/>
          <w:szCs w:val="32"/>
        </w:rPr>
        <w:t>图7：“三公”经费财政拨款支出结构</w:t>
      </w:r>
    </w:p>
    <w:p>
      <w:pPr>
        <w:pStyle w:val="2"/>
        <w:jc w:val="center"/>
      </w:pPr>
      <w:r>
        <w:drawing>
          <wp:inline distT="0" distB="0" distL="0" distR="0">
            <wp:extent cx="4575175" cy="2289810"/>
            <wp:effectExtent l="4445" t="4445" r="11430" b="1079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0"/>
        <w:rPr>
          <w:rFonts w:ascii="仿宋_GB2312" w:eastAsia="仿宋_GB2312"/>
          <w:b/>
          <w:color w:val="auto"/>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color w:val="auto"/>
          <w:sz w:val="32"/>
          <w:szCs w:val="32"/>
        </w:rPr>
        <w:t>与2022年度持平。</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color w:val="auto"/>
          <w:sz w:val="32"/>
          <w:szCs w:val="32"/>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color w:val="auto"/>
          <w:sz w:val="32"/>
          <w:szCs w:val="32"/>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公务用车购置及运行维护费支出决算与2022年度持平。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万元。全年按规定更新购置公务用车0辆，其中：轿车0辆、金额0万元，越野车0辆、金额0万元，载客汽车0辆、金额0万元0。截至2023年</w:t>
      </w:r>
      <w:r>
        <w:rPr>
          <w:rFonts w:ascii="仿宋_GB2312" w:eastAsia="仿宋_GB2312"/>
          <w:sz w:val="32"/>
          <w:szCs w:val="32"/>
        </w:rPr>
        <w:t>12</w:t>
      </w:r>
      <w:r>
        <w:rPr>
          <w:rFonts w:hint="eastAsia" w:ascii="仿宋_GB2312" w:eastAsia="仿宋_GB2312"/>
          <w:sz w:val="32"/>
          <w:szCs w:val="32"/>
        </w:rPr>
        <w:t>月31日，单位共有公务用车0辆，其中：轿车0辆、越野车0辆、载客汽车0辆。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0.29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Fonts w:hint="eastAsia" w:ascii="仿宋_GB2312" w:hAnsi="仿宋" w:eastAsia="仿宋_GB2312"/>
          <w:color w:val="auto"/>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公务接待费支出决算比2022年度减少0.17万元，下降36.96</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rPr>
        <w:t>认真贯彻落实省、市、区关于过紧日子的要求，厉行节约，从严控制“三公”经费开支。</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国内公务接待支出0.29</w:t>
      </w:r>
      <w:r>
        <w:rPr>
          <w:rFonts w:hint="eastAsia" w:ascii="仿宋_GB2312" w:eastAsia="仿宋_GB2312"/>
          <w:sz w:val="32"/>
          <w:szCs w:val="32"/>
        </w:rPr>
        <w:t>万元，主要用于相关部门来我办调研相关工作，国内公务接待4批次，22人次（不包括陪同人员），共计支出0.29万元，具体内容包括：接待市政协调研委员联络站有事来协商小微协商、接待市政协调研西区农文旅整合发展情况等。</w:t>
      </w:r>
    </w:p>
    <w:p>
      <w:pPr>
        <w:spacing w:line="600" w:lineRule="exact"/>
        <w:ind w:firstLine="640"/>
        <w:rPr>
          <w:rFonts w:ascii="仿宋_GB2312" w:eastAsia="仿宋_GB2312"/>
          <w:sz w:val="32"/>
          <w:szCs w:val="32"/>
        </w:rPr>
      </w:pPr>
      <w:r>
        <w:rPr>
          <w:rFonts w:hint="eastAsia" w:ascii="仿宋_GB2312" w:eastAsia="仿宋_GB2312"/>
          <w:sz w:val="32"/>
          <w:szCs w:val="32"/>
        </w:rPr>
        <w:t>外事接待支出0万元。外事接待0批次，0人次（不包括陪同人员），共计支出0万元。</w:t>
      </w:r>
    </w:p>
    <w:p>
      <w:pPr>
        <w:spacing w:line="600" w:lineRule="exact"/>
        <w:ind w:firstLine="640"/>
        <w:outlineLvl w:val="1"/>
        <w:rPr>
          <w:rStyle w:val="33"/>
          <w:rFonts w:ascii="黑体" w:hAnsi="黑体" w:eastAsia="黑体"/>
        </w:rPr>
      </w:pPr>
      <w:bookmarkStart w:id="35" w:name="_Toc15377218"/>
      <w:bookmarkStart w:id="36" w:name="_Toc15396610"/>
      <w:r>
        <w:rPr>
          <w:rFonts w:hint="eastAsia" w:ascii="黑体" w:eastAsia="黑体"/>
          <w:sz w:val="32"/>
          <w:szCs w:val="32"/>
        </w:rPr>
        <w:t>八、</w:t>
      </w:r>
      <w:r>
        <w:rPr>
          <w:rStyle w:val="33"/>
          <w:rFonts w:hint="eastAsia" w:ascii="黑体" w:hAnsi="黑体" w:eastAsia="黑体"/>
          <w:b w:val="0"/>
        </w:rPr>
        <w:t>政府性基金预算支出决算情况说明</w:t>
      </w:r>
      <w:bookmarkEnd w:id="35"/>
      <w:bookmarkEnd w:id="36"/>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_GB2312" w:eastAsia="仿宋_GB2312"/>
          <w:sz w:val="32"/>
          <w:szCs w:val="32"/>
        </w:rPr>
        <w:t>20.32</w:t>
      </w:r>
      <w:r>
        <w:rPr>
          <w:rFonts w:hint="eastAsia" w:ascii="仿宋_GB2312" w:eastAsia="仿宋_GB2312"/>
          <w:sz w:val="32"/>
          <w:szCs w:val="32"/>
        </w:rPr>
        <w:t>万元。</w:t>
      </w:r>
    </w:p>
    <w:p>
      <w:pPr>
        <w:numPr>
          <w:ilvl w:val="0"/>
          <w:numId w:val="1"/>
        </w:numPr>
        <w:spacing w:line="600" w:lineRule="exact"/>
        <w:ind w:firstLine="640"/>
        <w:outlineLvl w:val="1"/>
        <w:rPr>
          <w:rStyle w:val="33"/>
          <w:rFonts w:ascii="黑体" w:hAnsi="黑体" w:eastAsia="黑体"/>
          <w:b w:val="0"/>
        </w:rPr>
      </w:pPr>
      <w:bookmarkStart w:id="37" w:name="_Toc15396611"/>
      <w:bookmarkStart w:id="38" w:name="_Toc15377219"/>
      <w:r>
        <w:rPr>
          <w:rStyle w:val="33"/>
          <w:rFonts w:hint="eastAsia" w:ascii="黑体" w:hAnsi="黑体" w:eastAsia="黑体"/>
          <w:b w:val="0"/>
        </w:rPr>
        <w:t>国有资本经营预算支出决算情况说明</w:t>
      </w:r>
      <w:bookmarkEnd w:id="37"/>
      <w:bookmarkEnd w:id="38"/>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1"/>
        </w:numPr>
        <w:spacing w:line="600" w:lineRule="exact"/>
        <w:ind w:firstLine="640"/>
        <w:outlineLvl w:val="1"/>
        <w:rPr>
          <w:rStyle w:val="33"/>
          <w:rFonts w:ascii="黑体" w:hAnsi="黑体" w:eastAsia="黑体"/>
          <w:b w:val="0"/>
        </w:rPr>
      </w:pPr>
      <w:bookmarkStart w:id="39" w:name="_Toc15377221"/>
      <w:bookmarkStart w:id="40" w:name="_Toc15396612"/>
      <w:r>
        <w:rPr>
          <w:rStyle w:val="33"/>
          <w:rFonts w:hint="eastAsia" w:ascii="黑体" w:hAnsi="黑体" w:eastAsia="黑体"/>
          <w:b w:val="0"/>
        </w:rPr>
        <w:t>其他重要事项的情况说明</w:t>
      </w:r>
      <w:bookmarkEnd w:id="39"/>
      <w:bookmarkEnd w:id="40"/>
    </w:p>
    <w:p>
      <w:pPr>
        <w:spacing w:line="600" w:lineRule="exact"/>
        <w:ind w:firstLine="640" w:firstLineChars="200"/>
        <w:outlineLvl w:val="2"/>
        <w:rPr>
          <w:rFonts w:ascii="楷体_GB2312" w:hAnsi="仿宋" w:eastAsia="楷体_GB2312"/>
          <w:sz w:val="32"/>
          <w:szCs w:val="32"/>
        </w:rPr>
      </w:pPr>
      <w:bookmarkStart w:id="41" w:name="_Toc15377222"/>
      <w:r>
        <w:rPr>
          <w:rFonts w:hint="eastAsia" w:ascii="楷体_GB2312" w:hAnsi="仿宋" w:eastAsia="楷体_GB2312"/>
          <w:sz w:val="32"/>
          <w:szCs w:val="32"/>
        </w:rPr>
        <w:t>（一）机关运行经费支出情况</w:t>
      </w:r>
      <w:bookmarkEnd w:id="41"/>
    </w:p>
    <w:p>
      <w:pPr>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2023年度，中国人民政治协商会议攀枝花市西区委员会办公室机关运行经费支出</w:t>
      </w:r>
      <w:r>
        <w:rPr>
          <w:rFonts w:ascii="仿宋_GB2312" w:eastAsia="仿宋_GB2312"/>
          <w:color w:val="auto"/>
          <w:sz w:val="32"/>
          <w:szCs w:val="32"/>
        </w:rPr>
        <w:t>57.78</w:t>
      </w:r>
      <w:r>
        <w:rPr>
          <w:rFonts w:hint="eastAsia" w:ascii="仿宋_GB2312" w:eastAsia="仿宋_GB2312"/>
          <w:color w:val="auto"/>
          <w:sz w:val="32"/>
          <w:szCs w:val="32"/>
        </w:rPr>
        <w:t>万元，比2022年度增加16.9万元，增长41.34</w:t>
      </w:r>
      <w:r>
        <w:rPr>
          <w:rFonts w:ascii="仿宋_GB2312" w:eastAsia="仿宋_GB2312"/>
          <w:color w:val="auto"/>
          <w:sz w:val="32"/>
          <w:szCs w:val="32"/>
        </w:rPr>
        <w:t>%</w:t>
      </w:r>
      <w:r>
        <w:rPr>
          <w:rFonts w:hint="eastAsia" w:ascii="仿宋_GB2312" w:eastAsia="仿宋_GB2312"/>
          <w:color w:val="auto"/>
          <w:sz w:val="32"/>
          <w:szCs w:val="32"/>
        </w:rPr>
        <w:t>。主要原因</w:t>
      </w:r>
      <w:r>
        <w:rPr>
          <w:rFonts w:hint="eastAsia" w:ascii="仿宋_GB2312" w:eastAsia="仿宋_GB2312"/>
          <w:color w:val="auto"/>
          <w:sz w:val="32"/>
          <w:szCs w:val="32"/>
          <w:lang w:eastAsia="zh-CN"/>
        </w:rPr>
        <w:t>：</w:t>
      </w:r>
      <w:r>
        <w:rPr>
          <w:rFonts w:hint="eastAsia" w:ascii="仿宋_GB2312" w:eastAsia="仿宋_GB2312"/>
          <w:color w:val="auto"/>
          <w:sz w:val="32"/>
          <w:szCs w:val="32"/>
        </w:rPr>
        <w:t>为委员履职“提能充电”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增加外出学习、视察</w:t>
      </w:r>
      <w:r>
        <w:rPr>
          <w:rFonts w:hint="eastAsia" w:ascii="仿宋_GB2312" w:eastAsia="仿宋_GB2312"/>
          <w:color w:val="auto"/>
          <w:sz w:val="32"/>
          <w:szCs w:val="32"/>
        </w:rPr>
        <w:t>。</w:t>
      </w:r>
    </w:p>
    <w:p>
      <w:pPr>
        <w:spacing w:line="600" w:lineRule="exact"/>
        <w:ind w:firstLine="640" w:firstLineChars="200"/>
        <w:outlineLvl w:val="2"/>
        <w:rPr>
          <w:rFonts w:ascii="楷体_GB2312" w:hAnsi="仿宋" w:eastAsia="楷体_GB2312"/>
          <w:color w:val="auto"/>
          <w:sz w:val="32"/>
          <w:szCs w:val="32"/>
        </w:rPr>
      </w:pPr>
      <w:bookmarkStart w:id="42" w:name="_Toc15377223"/>
      <w:r>
        <w:rPr>
          <w:rFonts w:hint="eastAsia" w:ascii="楷体_GB2312" w:hAnsi="仿宋" w:eastAsia="楷体_GB2312"/>
          <w:color w:val="auto"/>
          <w:sz w:val="32"/>
          <w:szCs w:val="32"/>
        </w:rPr>
        <w:t>（二）政府采购支出情况</w:t>
      </w:r>
      <w:bookmarkEnd w:id="42"/>
    </w:p>
    <w:p>
      <w:pPr>
        <w:spacing w:line="600" w:lineRule="exact"/>
        <w:ind w:firstLine="640"/>
        <w:rPr>
          <w:rFonts w:ascii="仿宋_GB2312" w:eastAsia="仿宋_GB2312"/>
          <w:sz w:val="32"/>
          <w:szCs w:val="32"/>
        </w:rPr>
      </w:pPr>
      <w:r>
        <w:rPr>
          <w:rFonts w:hint="eastAsia" w:ascii="仿宋_GB2312" w:eastAsia="仿宋_GB2312"/>
          <w:sz w:val="32"/>
          <w:szCs w:val="32"/>
        </w:rPr>
        <w:t>2023年度，中国人民政治协商会议攀枝花市西区委员会办公室政府采购支出总额</w:t>
      </w:r>
      <w:r>
        <w:rPr>
          <w:rFonts w:ascii="仿宋_GB2312" w:eastAsia="仿宋_GB2312"/>
          <w:sz w:val="32"/>
          <w:szCs w:val="32"/>
        </w:rPr>
        <w:t>0</w:t>
      </w:r>
      <w:r>
        <w:rPr>
          <w:rFonts w:hint="eastAsia" w:ascii="仿宋_GB2312" w:eastAsia="仿宋_GB2312"/>
          <w:sz w:val="32"/>
          <w:szCs w:val="32"/>
        </w:rPr>
        <w:t>.09万元，其中：政府采购货物支出</w:t>
      </w:r>
      <w:r>
        <w:rPr>
          <w:rFonts w:ascii="仿宋_GB2312" w:eastAsia="仿宋_GB2312"/>
          <w:sz w:val="32"/>
          <w:szCs w:val="32"/>
        </w:rPr>
        <w:t>0.</w:t>
      </w:r>
      <w:r>
        <w:rPr>
          <w:rFonts w:hint="eastAsia" w:ascii="仿宋_GB2312" w:eastAsia="仿宋_GB2312"/>
          <w:sz w:val="32"/>
          <w:szCs w:val="32"/>
        </w:rPr>
        <w:t>09万元、政府采购工程支出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万元。主要用于办公设备购置。授予中小企业合同金额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spacing w:line="600" w:lineRule="exact"/>
        <w:ind w:firstLine="640" w:firstLineChars="200"/>
        <w:outlineLvl w:val="2"/>
        <w:rPr>
          <w:rFonts w:ascii="仿宋" w:hAnsi="仿宋" w:eastAsia="仿宋"/>
          <w:b/>
          <w:sz w:val="32"/>
          <w:szCs w:val="32"/>
        </w:rPr>
      </w:pPr>
      <w:bookmarkStart w:id="43" w:name="_Toc15377224"/>
      <w:r>
        <w:rPr>
          <w:rFonts w:hint="eastAsia" w:ascii="楷体_GB2312" w:hAnsi="仿宋" w:eastAsia="楷体_GB2312"/>
          <w:sz w:val="32"/>
          <w:szCs w:val="32"/>
        </w:rPr>
        <w:t>（三）国有资产占有使用情况</w:t>
      </w:r>
      <w:bookmarkEnd w:id="43"/>
    </w:p>
    <w:p>
      <w:pPr>
        <w:spacing w:line="600" w:lineRule="exact"/>
        <w:ind w:firstLine="640"/>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日，中国人民政治协商会议攀枝花市西区委员会办公室共有车辆</w:t>
      </w:r>
      <w:r>
        <w:rPr>
          <w:rFonts w:ascii="仿宋_GB2312" w:eastAsia="仿宋_GB2312"/>
          <w:sz w:val="32"/>
          <w:szCs w:val="32"/>
        </w:rPr>
        <w:t>0</w:t>
      </w:r>
      <w:r>
        <w:rPr>
          <w:rFonts w:hint="eastAsia" w:ascii="仿宋_GB2312" w:eastAsia="仿宋_GB2312"/>
          <w:sz w:val="32"/>
          <w:szCs w:val="32"/>
        </w:rPr>
        <w:t>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sz w:val="32"/>
          <w:szCs w:val="32"/>
        </w:rPr>
        <w:t>0</w:t>
      </w:r>
      <w:r>
        <w:rPr>
          <w:rFonts w:hint="eastAsia" w:ascii="仿宋_GB2312" w:eastAsia="仿宋_GB2312"/>
          <w:sz w:val="32"/>
          <w:szCs w:val="32"/>
        </w:rPr>
        <w:t>台（套）。</w:t>
      </w:r>
    </w:p>
    <w:p>
      <w:pPr>
        <w:spacing w:line="600" w:lineRule="exact"/>
        <w:ind w:firstLine="640" w:firstLineChars="200"/>
        <w:outlineLvl w:val="2"/>
        <w:rPr>
          <w:rFonts w:ascii="楷体_GB2312" w:hAnsi="仿宋" w:eastAsia="楷体_GB2312"/>
          <w:sz w:val="32"/>
          <w:szCs w:val="32"/>
        </w:rPr>
      </w:pPr>
      <w:r>
        <w:rPr>
          <w:rFonts w:hint="eastAsia" w:ascii="楷体_GB2312" w:hAnsi="仿宋" w:eastAsia="楷体_GB2312"/>
          <w:sz w:val="32"/>
          <w:szCs w:val="32"/>
        </w:rPr>
        <w:t>（四）预算绩效管理情况</w:t>
      </w:r>
    </w:p>
    <w:p>
      <w:pPr>
        <w:spacing w:line="600" w:lineRule="exact"/>
        <w:ind w:firstLine="640"/>
        <w:rPr>
          <w:rFonts w:ascii="仿宋_GB2312" w:eastAsia="仿宋_GB2312"/>
          <w:sz w:val="32"/>
          <w:szCs w:val="32"/>
        </w:rPr>
      </w:pPr>
      <w:r>
        <w:rPr>
          <w:rFonts w:hint="eastAsia" w:ascii="仿宋_GB2312" w:eastAsia="仿宋_GB2312"/>
          <w:sz w:val="32"/>
          <w:szCs w:val="32"/>
        </w:rPr>
        <w:t>根据预算绩效管理要求，本部门在2023年度预算编制阶段，组织对政协业务经费项目、政协会议经费等</w:t>
      </w:r>
      <w:r>
        <w:rPr>
          <w:rFonts w:hint="eastAsia" w:ascii="仿宋_GB2312" w:eastAsia="仿宋_GB2312"/>
          <w:color w:val="auto"/>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color w:val="auto"/>
          <w:sz w:val="32"/>
          <w:szCs w:val="32"/>
          <w:lang w:val="en-US" w:eastAsia="zh-CN"/>
        </w:rPr>
        <w:t>5</w:t>
      </w:r>
      <w:r>
        <w:rPr>
          <w:rFonts w:hint="eastAsia" w:ascii="仿宋_GB2312" w:eastAsia="仿宋_GB2312"/>
          <w:sz w:val="32"/>
          <w:szCs w:val="32"/>
        </w:rPr>
        <w:t>个项目开展绩效监控。</w:t>
      </w:r>
    </w:p>
    <w:p>
      <w:pPr>
        <w:spacing w:line="600" w:lineRule="exact"/>
        <w:ind w:firstLine="640"/>
        <w:rPr>
          <w:rFonts w:ascii="仿宋_GB2312" w:eastAsia="仿宋_GB2312"/>
          <w:sz w:val="32"/>
          <w:szCs w:val="32"/>
        </w:rPr>
      </w:pPr>
      <w:r>
        <w:rPr>
          <w:rFonts w:hint="eastAsia" w:ascii="仿宋_GB2312" w:eastAsia="仿宋_GB2312"/>
          <w:sz w:val="32"/>
          <w:szCs w:val="32"/>
        </w:rPr>
        <w:t>组织对2023年度一般公共预算支出全面开展绩效自评，形成整体绩效自评报告，自评得分91分。综述：区政协认真贯彻落实省、市、区全面实施预算绩效管理的决策部署，切实履行部门预算绩效管理主任责任，扎实推进预算绩效管理工作稳步开展。全年部门整体支出绩效自查自评结果良好，全年基本支出保证了部门的正常运转，项目支出保障了重点工作的开展。本部门不涉及专项预算项目绩效评价。</w:t>
      </w: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p>
      <w:pPr>
        <w:spacing w:line="600" w:lineRule="exact"/>
        <w:ind w:firstLine="640" w:firstLineChars="200"/>
        <w:outlineLvl w:val="1"/>
        <w:rPr>
          <w:rFonts w:hint="eastAsia" w:ascii="黑体" w:hAnsi="黑体" w:eastAsia="黑体"/>
          <w:sz w:val="32"/>
          <w:szCs w:val="32"/>
        </w:rPr>
      </w:pPr>
    </w:p>
    <w:bookmarkEnd w:id="15"/>
    <w:bookmarkEnd w:id="16"/>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
        <w:spacing w:before="0" w:after="0" w:line="600" w:lineRule="exact"/>
        <w:jc w:val="center"/>
        <w:rPr>
          <w:rFonts w:ascii="方正小标宋_GBK" w:eastAsia="方正小标宋_GBK"/>
          <w:b w:val="0"/>
        </w:rPr>
      </w:pPr>
      <w:bookmarkStart w:id="44" w:name="_Toc15396614"/>
      <w:bookmarkStart w:id="45" w:name="_Toc15377226"/>
      <w:r>
        <w:rPr>
          <w:rFonts w:hint="eastAsia" w:ascii="方正小标宋_GBK" w:eastAsia="方正小标宋_GBK"/>
          <w:b w:val="0"/>
        </w:rPr>
        <w:t>第三部分 名词解释</w:t>
      </w:r>
    </w:p>
    <w:p>
      <w:pPr>
        <w:spacing w:line="600" w:lineRule="exact"/>
        <w:rPr>
          <w:rFonts w:ascii="方正小标宋_GBK" w:eastAsia="方正小标宋_GBK"/>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ascii="仿宋_GB2312" w:eastAsia="仿宋_GB2312"/>
          <w:sz w:val="32"/>
          <w:szCs w:val="32"/>
        </w:rPr>
      </w:pPr>
      <w:r>
        <w:rPr>
          <w:rFonts w:hint="eastAsia" w:ascii="仿宋_GB2312" w:eastAsia="仿宋_GB2312"/>
          <w:sz w:val="32"/>
          <w:szCs w:val="32"/>
        </w:rPr>
        <w:t xml:space="preserve">2.年初结转和结余：指以前年度尚未完成、结转到本年按有关规定继续使用的资金。 </w:t>
      </w:r>
    </w:p>
    <w:p>
      <w:pPr>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4.基本支出：指为保障机构正常运转、完成日常工作任务而发生的人员支出和公用支出。</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5.项目支出：指在基本支出之外为完成特定行政任务和事业发展目标所发生的支出。</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6.</w:t>
      </w:r>
      <w:r>
        <w:rPr>
          <w:rFonts w:eastAsia="方正仿宋_GBK"/>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eastAsia="方正仿宋_GBK"/>
          <w:color w:val="000000"/>
          <w:sz w:val="33"/>
          <w:szCs w:val="33"/>
        </w:rPr>
        <w:t>。</w:t>
      </w:r>
    </w:p>
    <w:p>
      <w:pPr>
        <w:pStyle w:val="2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7.机关运行经费：为保障</w:t>
      </w:r>
      <w:r>
        <w:rPr>
          <w:rFonts w:hint="eastAsia" w:ascii="Times New Roman" w:hAnsi="Times New Roman" w:eastAsia="仿宋_GB2312" w:cs="Times New Roman"/>
          <w:color w:val="auto"/>
          <w:sz w:val="32"/>
          <w:szCs w:val="32"/>
        </w:rPr>
        <w:t>机关</w:t>
      </w:r>
      <w:r>
        <w:rPr>
          <w:rFonts w:ascii="Times New Roman" w:hAnsi="Times New Roman" w:eastAsia="仿宋_GB2312" w:cs="Times New Roman"/>
          <w:color w:val="auto"/>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8.一般公共服务支出</w:t>
      </w:r>
      <w:r>
        <w:rPr>
          <w:rFonts w:eastAsia="方正仿宋_GBK"/>
          <w:color w:val="000000" w:themeColor="text1"/>
          <w:sz w:val="32"/>
          <w:szCs w:val="32"/>
          <w14:textFill>
            <w14:solidFill>
              <w14:schemeClr w14:val="tx1"/>
            </w14:solidFill>
          </w14:textFill>
        </w:rPr>
        <w:t>201</w:t>
      </w:r>
      <w:r>
        <w:rPr>
          <w:rFonts w:hint="eastAsia" w:eastAsia="方正仿宋_GBK" w:cs="方正仿宋_GBK"/>
          <w:color w:val="000000" w:themeColor="text1"/>
          <w:sz w:val="32"/>
          <w:szCs w:val="32"/>
          <w14:textFill>
            <w14:solidFill>
              <w14:schemeClr w14:val="tx1"/>
            </w14:solidFill>
          </w14:textFill>
        </w:rPr>
        <w:t>（类）</w:t>
      </w:r>
      <w:r>
        <w:rPr>
          <w:rFonts w:hint="eastAsia" w:eastAsia="方正仿宋_GBK"/>
          <w:color w:val="000000" w:themeColor="text1"/>
          <w:sz w:val="32"/>
          <w:szCs w:val="32"/>
          <w14:textFill>
            <w14:solidFill>
              <w14:schemeClr w14:val="tx1"/>
            </w14:solidFill>
          </w14:textFill>
        </w:rPr>
        <w:t>02</w:t>
      </w:r>
      <w:r>
        <w:rPr>
          <w:rFonts w:hint="eastAsia" w:eastAsia="方正仿宋_GBK" w:cs="方正仿宋_GBK"/>
          <w:color w:val="000000" w:themeColor="text1"/>
          <w:sz w:val="32"/>
          <w:szCs w:val="32"/>
          <w14:textFill>
            <w14:solidFill>
              <w14:schemeClr w14:val="tx1"/>
            </w14:solidFill>
          </w14:textFill>
        </w:rPr>
        <w:t>（款）</w:t>
      </w:r>
      <w:r>
        <w:rPr>
          <w:rFonts w:eastAsia="方正仿宋_GBK"/>
          <w:color w:val="000000" w:themeColor="text1"/>
          <w:sz w:val="32"/>
          <w:szCs w:val="32"/>
          <w14:textFill>
            <w14:solidFill>
              <w14:schemeClr w14:val="tx1"/>
            </w14:solidFill>
          </w14:textFill>
        </w:rPr>
        <w:t>01</w:t>
      </w:r>
      <w:r>
        <w:rPr>
          <w:rFonts w:hint="eastAsia" w:eastAsia="方正仿宋_GBK" w:cs="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50</w:t>
      </w:r>
      <w:r>
        <w:rPr>
          <w:rFonts w:hint="eastAsia" w:eastAsia="方正仿宋_GBK" w:cs="方正仿宋_GBK"/>
          <w:color w:val="000000" w:themeColor="text1"/>
          <w:sz w:val="32"/>
          <w:szCs w:val="32"/>
          <w14:textFill>
            <w14:solidFill>
              <w14:schemeClr w14:val="tx1"/>
            </w14:solidFill>
          </w14:textFill>
        </w:rPr>
        <w:t>（项）：指反映政协方面的支出。</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201</w:t>
      </w:r>
      <w:r>
        <w:rPr>
          <w:rFonts w:hint="eastAsia" w:eastAsia="方正仿宋_GBK"/>
          <w:color w:val="000000"/>
          <w:sz w:val="33"/>
          <w:szCs w:val="33"/>
        </w:rPr>
        <w:t>02</w:t>
      </w:r>
      <w:r>
        <w:rPr>
          <w:rFonts w:eastAsia="方正仿宋_GBK"/>
          <w:color w:val="000000"/>
          <w:sz w:val="33"/>
          <w:szCs w:val="33"/>
        </w:rPr>
        <w:t>01—行政运行：指反映行政单位（包括实行公务员管理的事业单位）的基本支出。</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201</w:t>
      </w:r>
      <w:r>
        <w:rPr>
          <w:rFonts w:hint="eastAsia" w:eastAsia="方正仿宋_GBK"/>
          <w:color w:val="000000"/>
          <w:sz w:val="33"/>
          <w:szCs w:val="33"/>
        </w:rPr>
        <w:t>02</w:t>
      </w:r>
      <w:r>
        <w:rPr>
          <w:rFonts w:eastAsia="方正仿宋_GBK"/>
          <w:color w:val="000000"/>
          <w:sz w:val="33"/>
          <w:szCs w:val="33"/>
        </w:rPr>
        <w:t>02—一般行政管理事务：指反映行政单位（包括实行公务员管理的事业单位）未单独设置项级科目的其他项目支出。</w:t>
      </w:r>
    </w:p>
    <w:p>
      <w:pPr>
        <w:adjustRightInd w:val="0"/>
        <w:snapToGrid w:val="0"/>
        <w:spacing w:line="560" w:lineRule="exact"/>
        <w:ind w:firstLine="660" w:firstLineChars="200"/>
        <w:rPr>
          <w:rFonts w:eastAsia="方正仿宋_GBK"/>
          <w:color w:val="000000"/>
          <w:sz w:val="33"/>
          <w:szCs w:val="33"/>
        </w:rPr>
      </w:pPr>
      <w:r>
        <w:rPr>
          <w:rFonts w:eastAsia="方正仿宋_GBK"/>
          <w:color w:val="000000"/>
          <w:sz w:val="33"/>
          <w:szCs w:val="33"/>
        </w:rPr>
        <w:t>201</w:t>
      </w:r>
      <w:r>
        <w:rPr>
          <w:rFonts w:hint="eastAsia" w:eastAsia="方正仿宋_GBK"/>
          <w:color w:val="000000"/>
          <w:sz w:val="33"/>
          <w:szCs w:val="33"/>
        </w:rPr>
        <w:t>02</w:t>
      </w:r>
      <w:r>
        <w:rPr>
          <w:rFonts w:eastAsia="方正仿宋_GBK"/>
          <w:color w:val="000000"/>
          <w:sz w:val="33"/>
          <w:szCs w:val="33"/>
        </w:rPr>
        <w:t>50—事业运行：指反映事业单位的基本支出，不包括行政单位（包括实行公务员管理的事业单位）后勤服务中心、医务室等附属事业单位。</w:t>
      </w:r>
    </w:p>
    <w:p>
      <w:pPr>
        <w:adjustRightInd w:val="0"/>
        <w:snapToGrid w:val="0"/>
        <w:spacing w:line="560" w:lineRule="exact"/>
        <w:ind w:firstLine="640" w:firstLineChars="200"/>
        <w:rPr>
          <w:rFonts w:eastAsia="方正仿宋_GBK"/>
          <w:color w:val="000000"/>
          <w:sz w:val="33"/>
          <w:szCs w:val="33"/>
        </w:rPr>
      </w:pPr>
      <w:r>
        <w:rPr>
          <w:rFonts w:hint="eastAsia" w:eastAsia="方正仿宋_GBK" w:cs="方正仿宋_GBK"/>
          <w:color w:val="000000"/>
          <w:sz w:val="32"/>
          <w:szCs w:val="32"/>
        </w:rPr>
        <w:t>9.社会保障和就业支出</w:t>
      </w:r>
      <w:r>
        <w:rPr>
          <w:rFonts w:eastAsia="方正仿宋_GBK"/>
          <w:color w:val="000000"/>
          <w:sz w:val="32"/>
          <w:szCs w:val="32"/>
        </w:rPr>
        <w:t>208</w:t>
      </w:r>
      <w:r>
        <w:rPr>
          <w:rFonts w:hint="eastAsia" w:eastAsia="方正仿宋_GBK" w:cs="方正仿宋_GBK"/>
          <w:color w:val="000000"/>
          <w:sz w:val="32"/>
          <w:szCs w:val="32"/>
        </w:rPr>
        <w:t>（类）</w:t>
      </w:r>
      <w:r>
        <w:rPr>
          <w:rFonts w:eastAsia="方正仿宋_GBK"/>
          <w:color w:val="000000"/>
          <w:sz w:val="32"/>
          <w:szCs w:val="32"/>
        </w:rPr>
        <w:t>05</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w:t>
      </w:r>
      <w:r>
        <w:rPr>
          <w:rFonts w:eastAsia="方正仿宋_GBK"/>
          <w:color w:val="000000"/>
          <w:sz w:val="32"/>
          <w:szCs w:val="32"/>
        </w:rPr>
        <w:t>05</w:t>
      </w:r>
      <w:r>
        <w:rPr>
          <w:rFonts w:hint="eastAsia" w:eastAsia="方正仿宋_GBK" w:cs="方正仿宋_GBK"/>
          <w:color w:val="000000"/>
          <w:sz w:val="32"/>
          <w:szCs w:val="32"/>
        </w:rPr>
        <w:t>（项）：指行政事业单位离退休（未归口管理的行政单位离退休、机关事业单位基本养老保险缴费支出等）。</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2080501—</w:t>
      </w:r>
      <w:r>
        <w:rPr>
          <w:rFonts w:hint="eastAsia" w:eastAsia="方正仿宋_GBK" w:cs="方正仿宋_GBK"/>
          <w:color w:val="000000"/>
          <w:sz w:val="32"/>
          <w:szCs w:val="32"/>
        </w:rPr>
        <w:t>行政单位离退休：指反映行政单位（包括实行公务员管理的事业单位）开支的离退休支出。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2080502—</w:t>
      </w:r>
      <w:r>
        <w:rPr>
          <w:rFonts w:hint="eastAsia" w:eastAsia="方正仿宋_GBK" w:cs="方正仿宋_GBK"/>
          <w:color w:val="000000"/>
          <w:sz w:val="32"/>
          <w:szCs w:val="32"/>
        </w:rPr>
        <w:t>事业单位离退休：指反映事业单位开支的离退休经费。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2080505—</w:t>
      </w:r>
      <w:r>
        <w:rPr>
          <w:rFonts w:hint="eastAsia" w:eastAsia="方正仿宋_GBK" w:cs="方正仿宋_GBK"/>
          <w:color w:val="000000"/>
          <w:sz w:val="32"/>
          <w:szCs w:val="32"/>
        </w:rPr>
        <w:t>机关事业单位基本养老保险缴费支出：指反映机关事业单位实施养老保险制度由单位实际缴纳的基本保险费支出。</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10.医疗卫生与计划生育支出</w:t>
      </w:r>
      <w:r>
        <w:rPr>
          <w:rFonts w:eastAsia="方正仿宋_GBK"/>
          <w:color w:val="000000"/>
          <w:sz w:val="32"/>
          <w:szCs w:val="32"/>
        </w:rPr>
        <w:t>210</w:t>
      </w:r>
      <w:r>
        <w:rPr>
          <w:rFonts w:hint="eastAsia" w:eastAsia="方正仿宋_GBK" w:cs="方正仿宋_GBK"/>
          <w:color w:val="000000"/>
          <w:sz w:val="32"/>
          <w:szCs w:val="32"/>
        </w:rPr>
        <w:t>（类）</w:t>
      </w:r>
      <w:r>
        <w:rPr>
          <w:rFonts w:eastAsia="方正仿宋_GBK"/>
          <w:color w:val="000000"/>
          <w:sz w:val="32"/>
          <w:szCs w:val="32"/>
        </w:rPr>
        <w:t>11</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w:t>
      </w:r>
      <w:r>
        <w:rPr>
          <w:rFonts w:eastAsia="方正仿宋_GBK"/>
          <w:color w:val="000000"/>
          <w:sz w:val="32"/>
          <w:szCs w:val="32"/>
        </w:rPr>
        <w:t>02</w:t>
      </w:r>
      <w:r>
        <w:rPr>
          <w:rFonts w:hint="eastAsia" w:eastAsia="方正仿宋_GBK" w:cs="方正仿宋_GBK"/>
          <w:color w:val="000000"/>
          <w:sz w:val="32"/>
          <w:szCs w:val="32"/>
        </w:rPr>
        <w:t>、</w:t>
      </w:r>
      <w:r>
        <w:rPr>
          <w:rFonts w:eastAsia="方正仿宋_GBK"/>
          <w:color w:val="000000"/>
          <w:sz w:val="32"/>
          <w:szCs w:val="32"/>
        </w:rPr>
        <w:t>03</w:t>
      </w:r>
      <w:r>
        <w:rPr>
          <w:rFonts w:hint="eastAsia" w:eastAsia="方正仿宋_GBK"/>
          <w:color w:val="000000"/>
          <w:sz w:val="32"/>
          <w:szCs w:val="32"/>
        </w:rPr>
        <w:t>、99</w:t>
      </w:r>
      <w:r>
        <w:rPr>
          <w:rFonts w:hint="eastAsia" w:eastAsia="方正仿宋_GBK" w:cs="方正仿宋_GBK"/>
          <w:color w:val="000000"/>
          <w:sz w:val="32"/>
          <w:szCs w:val="32"/>
        </w:rPr>
        <w:t>（项）：指行政事业单位医疗支出。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2101101—</w:t>
      </w:r>
      <w:r>
        <w:rPr>
          <w:rFonts w:hint="eastAsia" w:eastAsia="方正仿宋_GBK" w:cs="方正仿宋_GBK"/>
          <w:color w:val="000000"/>
          <w:sz w:val="32"/>
          <w:szCs w:val="32"/>
        </w:rPr>
        <w:t>行政单位医疗：指反映财政部门安排的行政单位基本医疗保险缴费经费。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2101102—</w:t>
      </w:r>
      <w:r>
        <w:rPr>
          <w:rFonts w:hint="eastAsia" w:eastAsia="方正仿宋_GBK" w:cs="方正仿宋_GBK"/>
          <w:color w:val="000000"/>
          <w:sz w:val="32"/>
          <w:szCs w:val="32"/>
        </w:rPr>
        <w:t>事业单位医疗：指反映财政部门安排的事业单位基本医疗保险缴费经费。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2101103—</w:t>
      </w:r>
      <w:r>
        <w:rPr>
          <w:rFonts w:hint="eastAsia" w:eastAsia="方正仿宋_GBK" w:cs="方正仿宋_GBK"/>
          <w:color w:val="000000"/>
          <w:sz w:val="32"/>
          <w:szCs w:val="32"/>
        </w:rPr>
        <w:t>公务员医疗补助：指反映财政部门安排的公务员医疗补助经费。</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2101199—</w:t>
      </w:r>
      <w:r>
        <w:rPr>
          <w:rFonts w:hint="eastAsia" w:eastAsia="方正仿宋_GBK" w:cs="方正仿宋_GBK"/>
          <w:color w:val="000000"/>
          <w:sz w:val="32"/>
          <w:szCs w:val="32"/>
        </w:rPr>
        <w:t>其他行政事业单位医疗支出：指反映除上项目以外的其他用于行政事业单位医疗方面的支出了。</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11</w:t>
      </w:r>
      <w:r>
        <w:rPr>
          <w:rFonts w:eastAsia="方正仿宋_GBK"/>
          <w:color w:val="000000"/>
          <w:sz w:val="32"/>
          <w:szCs w:val="32"/>
        </w:rPr>
        <w:t>.</w:t>
      </w:r>
      <w:r>
        <w:rPr>
          <w:rFonts w:hint="eastAsia" w:eastAsia="方正仿宋_GBK" w:cs="方正仿宋_GBK"/>
          <w:color w:val="000000"/>
          <w:sz w:val="32"/>
          <w:szCs w:val="32"/>
        </w:rPr>
        <w:t>城乡社区支出</w:t>
      </w:r>
      <w:r>
        <w:rPr>
          <w:rFonts w:eastAsia="方正仿宋_GBK"/>
          <w:color w:val="000000"/>
          <w:sz w:val="32"/>
          <w:szCs w:val="32"/>
        </w:rPr>
        <w:t>212</w:t>
      </w:r>
      <w:r>
        <w:rPr>
          <w:rFonts w:hint="eastAsia" w:eastAsia="方正仿宋_GBK" w:cs="方正仿宋_GBK"/>
          <w:color w:val="000000"/>
          <w:sz w:val="32"/>
          <w:szCs w:val="32"/>
        </w:rPr>
        <w:t>（类）</w:t>
      </w:r>
      <w:r>
        <w:rPr>
          <w:rFonts w:eastAsia="方正仿宋_GBK"/>
          <w:color w:val="000000"/>
          <w:sz w:val="32"/>
          <w:szCs w:val="32"/>
        </w:rPr>
        <w:t>08</w:t>
      </w:r>
      <w:r>
        <w:rPr>
          <w:rFonts w:hint="eastAsia" w:eastAsia="方正仿宋_GBK" w:cs="方正仿宋_GBK"/>
          <w:color w:val="000000"/>
          <w:sz w:val="32"/>
          <w:szCs w:val="32"/>
        </w:rPr>
        <w:t>（款）</w:t>
      </w:r>
      <w:r>
        <w:rPr>
          <w:rFonts w:hint="eastAsia" w:eastAsia="方正仿宋_GBK"/>
          <w:color w:val="000000"/>
          <w:sz w:val="32"/>
          <w:szCs w:val="32"/>
        </w:rPr>
        <w:t>02</w:t>
      </w:r>
      <w:r>
        <w:rPr>
          <w:rFonts w:hint="eastAsia" w:eastAsia="方正仿宋_GBK" w:cs="方正仿宋_GBK"/>
          <w:color w:val="000000"/>
          <w:sz w:val="32"/>
          <w:szCs w:val="32"/>
        </w:rPr>
        <w:t>（项）：指反映不含计提和划转部分的国有土地使用权出让收入及对应专项债务收入安排的支出。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2120802—</w:t>
      </w:r>
      <w:r>
        <w:rPr>
          <w:rFonts w:hint="eastAsia" w:eastAsia="方正仿宋_GBK" w:cs="方正仿宋_GBK"/>
          <w:color w:val="000000"/>
          <w:sz w:val="32"/>
          <w:szCs w:val="32"/>
        </w:rPr>
        <w:t>土地开发支出（基金）。</w:t>
      </w:r>
    </w:p>
    <w:p>
      <w:pPr>
        <w:adjustRightInd w:val="0"/>
        <w:snapToGrid w:val="0"/>
        <w:spacing w:line="560" w:lineRule="exact"/>
        <w:ind w:firstLine="640" w:firstLineChars="200"/>
        <w:rPr>
          <w:rFonts w:eastAsia="方正仿宋_GBK"/>
          <w:color w:val="000000"/>
          <w:sz w:val="32"/>
          <w:szCs w:val="32"/>
        </w:rPr>
      </w:pPr>
      <w:r>
        <w:rPr>
          <w:rFonts w:hint="eastAsia" w:eastAsia="方正仿宋_GBK" w:cs="方正仿宋_GBK"/>
          <w:color w:val="000000"/>
          <w:sz w:val="32"/>
          <w:szCs w:val="32"/>
        </w:rPr>
        <w:t>12.住房保障支出</w:t>
      </w:r>
      <w:r>
        <w:rPr>
          <w:rFonts w:eastAsia="方正仿宋_GBK"/>
          <w:color w:val="000000"/>
          <w:sz w:val="32"/>
          <w:szCs w:val="32"/>
        </w:rPr>
        <w:t>221</w:t>
      </w:r>
      <w:r>
        <w:rPr>
          <w:rFonts w:hint="eastAsia" w:eastAsia="方正仿宋_GBK" w:cs="方正仿宋_GBK"/>
          <w:color w:val="000000"/>
          <w:sz w:val="32"/>
          <w:szCs w:val="32"/>
        </w:rPr>
        <w:t>（类）</w:t>
      </w:r>
      <w:r>
        <w:rPr>
          <w:rFonts w:eastAsia="方正仿宋_GBK"/>
          <w:color w:val="000000"/>
          <w:sz w:val="32"/>
          <w:szCs w:val="32"/>
        </w:rPr>
        <w:t>02</w:t>
      </w:r>
      <w:r>
        <w:rPr>
          <w:rFonts w:hint="eastAsia" w:eastAsia="方正仿宋_GBK" w:cs="方正仿宋_GBK"/>
          <w:color w:val="000000"/>
          <w:sz w:val="32"/>
          <w:szCs w:val="32"/>
        </w:rPr>
        <w:t>（款）</w:t>
      </w:r>
      <w:r>
        <w:rPr>
          <w:rFonts w:eastAsia="方正仿宋_GBK"/>
          <w:color w:val="000000"/>
          <w:sz w:val="32"/>
          <w:szCs w:val="32"/>
        </w:rPr>
        <w:t>01</w:t>
      </w:r>
      <w:r>
        <w:rPr>
          <w:rFonts w:hint="eastAsia" w:eastAsia="方正仿宋_GBK" w:cs="方正仿宋_GBK"/>
          <w:color w:val="000000"/>
          <w:sz w:val="32"/>
          <w:szCs w:val="32"/>
        </w:rPr>
        <w:t>（项）：指住房改革支出</w:t>
      </w:r>
      <w:r>
        <w:rPr>
          <w:rFonts w:eastAsia="方正仿宋_GBK"/>
          <w:color w:val="000000"/>
          <w:sz w:val="32"/>
          <w:szCs w:val="32"/>
        </w:rPr>
        <w:t>—</w:t>
      </w:r>
      <w:r>
        <w:rPr>
          <w:rFonts w:hint="eastAsia" w:eastAsia="方正仿宋_GBK" w:cs="方正仿宋_GBK"/>
          <w:color w:val="000000"/>
          <w:sz w:val="32"/>
          <w:szCs w:val="32"/>
        </w:rPr>
        <w:t>住房公积金支出。</w:t>
      </w:r>
    </w:p>
    <w:p>
      <w:pPr>
        <w:adjustRightInd w:val="0"/>
        <w:snapToGrid w:val="0"/>
        <w:spacing w:line="600" w:lineRule="exact"/>
        <w:ind w:firstLine="640" w:firstLineChars="200"/>
        <w:rPr>
          <w:rFonts w:eastAsia="方正仿宋_GBK" w:cs="方正仿宋_GBK"/>
          <w:color w:val="000000"/>
          <w:sz w:val="32"/>
          <w:szCs w:val="32"/>
        </w:rPr>
      </w:pPr>
      <w:r>
        <w:rPr>
          <w:rFonts w:eastAsia="方正仿宋_GBK"/>
          <w:color w:val="000000"/>
          <w:sz w:val="32"/>
          <w:szCs w:val="32"/>
        </w:rPr>
        <w:t>2210201—</w:t>
      </w:r>
      <w:r>
        <w:rPr>
          <w:rFonts w:hint="eastAsia" w:eastAsia="方正仿宋_GBK" w:cs="方正仿宋_GBK"/>
          <w:color w:val="000000"/>
          <w:sz w:val="32"/>
          <w:szCs w:val="32"/>
        </w:rPr>
        <w:t>住房公积金：指反映行政事业单位按人力资源和社会保障部、财政部规定的基本工资和津贴补贴以及规定比例为职工缴纳的住房公积金。</w:t>
      </w: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bookmarkStart w:id="47" w:name="_GoBack"/>
      <w:bookmarkEnd w:id="47"/>
    </w:p>
    <w:p>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44"/>
    </w:p>
    <w:p>
      <w:pPr>
        <w:spacing w:line="572" w:lineRule="exact"/>
        <w:jc w:val="left"/>
        <w:outlineLvl w:val="0"/>
        <w:rPr>
          <w:rFonts w:ascii="仿宋_GB2312" w:hAnsi="仿宋_GB2312" w:eastAsia="仿宋_GB2312" w:cs="仿宋_GB2312"/>
          <w:sz w:val="32"/>
          <w:szCs w:val="32"/>
        </w:rPr>
      </w:pPr>
    </w:p>
    <w:p>
      <w:pPr>
        <w:pStyle w:val="25"/>
        <w:spacing w:line="560" w:lineRule="exact"/>
        <w:ind w:firstLine="640" w:firstLineChars="200"/>
        <w:rPr>
          <w:rFonts w:hint="eastAsia" w:ascii="仿宋_GB2312" w:eastAsia="仿宋_GB2312"/>
          <w:color w:val="auto"/>
          <w:sz w:val="32"/>
          <w:szCs w:val="32"/>
          <w:highlight w:val="none"/>
          <w:lang w:val="en-US" w:eastAsia="zh-CN"/>
        </w:rPr>
      </w:pPr>
      <w:bookmarkStart w:id="46" w:name="_Toc15396618"/>
      <w:r>
        <w:rPr>
          <w:rFonts w:hint="default" w:ascii="仿宋_GB2312" w:eastAsia="仿宋_GB2312"/>
          <w:color w:val="auto"/>
          <w:sz w:val="32"/>
          <w:szCs w:val="32"/>
          <w:highlight w:val="none"/>
          <w:lang w:val="en-US" w:eastAsia="zh-CN"/>
        </w:rPr>
        <w:t>政协办公室预算项目支出绩效自评表</w:t>
      </w:r>
      <w:r>
        <w:rPr>
          <w:rFonts w:hint="eastAsia" w:ascii="仿宋_GB2312" w:eastAsia="仿宋_GB2312"/>
          <w:color w:val="auto"/>
          <w:sz w:val="32"/>
          <w:szCs w:val="32"/>
          <w:highlight w:val="none"/>
          <w:lang w:val="en-US" w:eastAsia="zh-CN"/>
        </w:rPr>
        <w:t>（2023年度）</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bookmarkEnd w:id="45"/>
    <w:bookmarkEnd w:id="46"/>
    <w:p>
      <w:pPr>
        <w:pStyle w:val="3"/>
        <w:spacing w:before="0" w:after="0" w:line="600" w:lineRule="exact"/>
        <w:jc w:val="center"/>
        <w:rPr>
          <w:rFonts w:ascii="方正小标宋_GBK" w:hAnsi="黑体" w:eastAsia="方正小标宋_GBK"/>
          <w:b w:val="0"/>
        </w:rPr>
      </w:pPr>
      <w:r>
        <w:rPr>
          <w:rFonts w:hint="eastAsia" w:ascii="方正小标宋_GBK" w:hAnsi="黑体" w:eastAsia="方正小标宋_GBK"/>
          <w:b w:val="0"/>
        </w:rPr>
        <w:t>第五部分 附表</w:t>
      </w:r>
    </w:p>
    <w:p/>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一、收入支出决算总表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二、收入决算表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三、支出决算表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四、财政拨款收入支出决算总表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五、财政拨款支出决算明细表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六、一般公共预算财政拨款支出决算表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七、一般公共预算财政拨款支出决算明细表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八、一般公共预算财政拨款基本支出决算表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九、一般公共预算财政拨款项目支出决算表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十、政府性基金预算财政拨款收入支出决算表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十一、国有资本经营预算财政拨款收入支出决算表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十二、国有资本经营预算财政拨款支出决算表</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十三、财政拨款“三公”经费支出决算表</w:t>
      </w:r>
    </w:p>
    <w:p>
      <w:pPr>
        <w:pStyle w:val="4"/>
        <w:rPr>
          <w:rFonts w:eastAsia="仿宋"/>
        </w:rPr>
      </w:pPr>
    </w:p>
    <w:sectPr>
      <w:footerReference r:id="rId11" w:type="first"/>
      <w:footerReference r:id="rId10" w:type="default"/>
      <w:pgSz w:w="11906" w:h="16838"/>
      <w:pgMar w:top="2098" w:right="1474" w:bottom="1984" w:left="1587" w:header="851" w:footer="1417" w:gutter="0"/>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Times">
    <w:altName w:val="Times New Roman"/>
    <w:panose1 w:val="02020603060405020304"/>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IwUTn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GGthHIzAgAAY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U02Z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&#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5lNNm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pPvad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sdt>
                    <w:sdtPr>
                      <w:id w:val="-1994781956"/>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LlZmf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sdt>
                    <w:sdtPr>
                      <w:id w:val="-1994781956"/>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15</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989aE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A830B8"/>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4A04A9"/>
    <w:rsid w:val="2ABE7A3E"/>
    <w:rsid w:val="2AFF09B6"/>
    <w:rsid w:val="2CA234A8"/>
    <w:rsid w:val="2EFA178C"/>
    <w:rsid w:val="2EFDF86C"/>
    <w:rsid w:val="2F9D17E1"/>
    <w:rsid w:val="30B46D73"/>
    <w:rsid w:val="319F7F4E"/>
    <w:rsid w:val="326C2E5E"/>
    <w:rsid w:val="356A28F1"/>
    <w:rsid w:val="357C035A"/>
    <w:rsid w:val="368E000D"/>
    <w:rsid w:val="383D272C"/>
    <w:rsid w:val="39AE70AB"/>
    <w:rsid w:val="3A4DCE41"/>
    <w:rsid w:val="3BCB56FA"/>
    <w:rsid w:val="3C0C0783"/>
    <w:rsid w:val="3EE7C2F4"/>
    <w:rsid w:val="3F30778A"/>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E2E1F29"/>
    <w:rsid w:val="5F67802D"/>
    <w:rsid w:val="5F7DC4F2"/>
    <w:rsid w:val="5FB36814"/>
    <w:rsid w:val="5FBB8E56"/>
    <w:rsid w:val="5FFB5535"/>
    <w:rsid w:val="64CA39A1"/>
    <w:rsid w:val="69630ADE"/>
    <w:rsid w:val="69BD5F13"/>
    <w:rsid w:val="69FB0B4B"/>
    <w:rsid w:val="6BFFE1FB"/>
    <w:rsid w:val="6C4A05C8"/>
    <w:rsid w:val="6D3B1A89"/>
    <w:rsid w:val="6DB7D8A3"/>
    <w:rsid w:val="6EC78701"/>
    <w:rsid w:val="6F504A68"/>
    <w:rsid w:val="6F7A5481"/>
    <w:rsid w:val="6FFE07A9"/>
    <w:rsid w:val="71BF4EC2"/>
    <w:rsid w:val="72734D90"/>
    <w:rsid w:val="73E75B71"/>
    <w:rsid w:val="7412278C"/>
    <w:rsid w:val="75DDCDA9"/>
    <w:rsid w:val="75FF44B1"/>
    <w:rsid w:val="77670518"/>
    <w:rsid w:val="777FA627"/>
    <w:rsid w:val="77DF1B5F"/>
    <w:rsid w:val="77EF2D9D"/>
    <w:rsid w:val="78C823F0"/>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34">
    <w:name w:val="标题 1 Char"/>
    <w:basedOn w:val="16"/>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zx\2023&#24180;\&#20915;&#31639;&#20844;&#243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收</a:t>
            </a:r>
            <a:r>
              <a:rPr lang="zh-CN" altLang="en-US" sz="1800" b="1" i="0" u="none" strike="noStrike" baseline="0"/>
              <a:t>入</a:t>
            </a:r>
            <a:r>
              <a:rPr lang="zh-CN" altLang="zh-CN" sz="1800" b="1" i="0" u="none" strike="noStrike" baseline="0"/>
              <a:t>、支</a:t>
            </a:r>
            <a:r>
              <a:rPr lang="zh-CN" altLang="en-US" sz="1800" b="1" i="0" u="none" strike="noStrike" baseline="0"/>
              <a:t>出</a:t>
            </a:r>
            <a:r>
              <a:rPr lang="zh-CN" altLang="zh-CN" sz="1800" b="1" i="0" u="none" strike="noStrike" baseline="0"/>
              <a:t>决算总计变动情况图</a:t>
            </a:r>
            <a:endParaRPr lang="zh-CN" altLang="en-US"/>
          </a:p>
        </c:rich>
      </c:tx>
      <c:layout/>
      <c:overlay val="0"/>
    </c:title>
    <c:autoTitleDeleted val="0"/>
    <c:plotArea>
      <c:layout/>
      <c:barChart>
        <c:barDir val="col"/>
        <c:grouping val="clustered"/>
        <c:varyColors val="0"/>
        <c:ser>
          <c:idx val="0"/>
          <c:order val="0"/>
          <c:tx>
            <c:strRef>
              <c:f>Sheet1!$A$4</c:f>
              <c:strCache>
                <c:ptCount val="1"/>
                <c:pt idx="0">
                  <c:v>2023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Sheet1!$B$3:$E$3</c:f>
              <c:strCache>
                <c:ptCount val="3"/>
                <c:pt idx="0">
                  <c:v>收入</c:v>
                </c:pt>
                <c:pt idx="2">
                  <c:v>支出</c:v>
                </c:pt>
              </c:strCache>
            </c:strRef>
          </c:cat>
          <c:val>
            <c:numRef>
              <c:f>Sheet1!$B$4:$E$4</c:f>
              <c:numCache>
                <c:formatCode>General</c:formatCode>
                <c:ptCount val="4"/>
                <c:pt idx="0">
                  <c:v>716.9</c:v>
                </c:pt>
                <c:pt idx="2">
                  <c:v>716.9</c:v>
                </c:pt>
              </c:numCache>
            </c:numRef>
          </c:val>
        </c:ser>
        <c:ser>
          <c:idx val="1"/>
          <c:order val="1"/>
          <c:tx>
            <c:strRef>
              <c:f>Sheet1!$A$5</c:f>
              <c:strCache>
                <c:ptCount val="1"/>
                <c:pt idx="0">
                  <c:v>2022</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Sheet1!$B$3:$E$3</c:f>
              <c:strCache>
                <c:ptCount val="3"/>
                <c:pt idx="0">
                  <c:v>收入</c:v>
                </c:pt>
                <c:pt idx="2">
                  <c:v>支出</c:v>
                </c:pt>
              </c:strCache>
            </c:strRef>
          </c:cat>
          <c:val>
            <c:numRef>
              <c:f>Sheet1!$B$5:$E$5</c:f>
              <c:numCache>
                <c:formatCode>General</c:formatCode>
                <c:ptCount val="4"/>
                <c:pt idx="0">
                  <c:v>597.7</c:v>
                </c:pt>
                <c:pt idx="2">
                  <c:v>597.7</c:v>
                </c:pt>
              </c:numCache>
            </c:numRef>
          </c:val>
        </c:ser>
        <c:dLbls>
          <c:showLegendKey val="0"/>
          <c:showVal val="1"/>
          <c:showCatName val="0"/>
          <c:showSerName val="0"/>
          <c:showPercent val="0"/>
          <c:showBubbleSize val="0"/>
        </c:dLbls>
        <c:gapWidth val="150"/>
        <c:axId val="104288256"/>
        <c:axId val="104313984"/>
      </c:barChart>
      <c:catAx>
        <c:axId val="1042882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313984"/>
        <c:crosses val="autoZero"/>
        <c:auto val="1"/>
        <c:lblAlgn val="ctr"/>
        <c:lblOffset val="100"/>
        <c:noMultiLvlLbl val="0"/>
      </c:catAx>
      <c:valAx>
        <c:axId val="10431398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28825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explosion val="25"/>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682.37</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9.6</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Sheet2!$B$4:$B$5</c:f>
              <c:strCache>
                <c:ptCount val="2"/>
                <c:pt idx="0">
                  <c:v>2023年度一般公共预算财政拨款收入</c:v>
                </c:pt>
                <c:pt idx="1">
                  <c:v>2023年度政府性基金预算财政拨款收入</c:v>
                </c:pt>
              </c:strCache>
            </c:strRef>
          </c:cat>
          <c:val>
            <c:numRef>
              <c:f>Sheet2!$C$4:$C$5</c:f>
              <c:numCache>
                <c:formatCode>General</c:formatCode>
                <c:ptCount val="2"/>
                <c:pt idx="0">
                  <c:v>682.37</c:v>
                </c:pt>
                <c:pt idx="1">
                  <c:v>9.6</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endParaRPr lang="zh-CN" altLang="en-US"/>
          </a:p>
        </c:rich>
      </c:tx>
      <c:layout/>
      <c:overlay val="0"/>
    </c:title>
    <c:autoTitleDeleted val="0"/>
    <c:plotArea>
      <c:layout/>
      <c:pieChart>
        <c:varyColors val="1"/>
        <c:ser>
          <c:idx val="0"/>
          <c:order val="0"/>
          <c:explosion val="25"/>
          <c:dPt>
            <c:idx val="0"/>
            <c:bubble3D val="0"/>
          </c:dPt>
          <c:dPt>
            <c:idx val="1"/>
            <c:bubble3D val="0"/>
          </c:dPt>
          <c:dPt>
            <c:idx val="2"/>
            <c:bubble3D val="0"/>
          </c:dPt>
          <c:dLbls>
            <c:dLbl>
              <c:idx val="0"/>
              <c:delete val="1"/>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668.27</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46.54</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Sheet7!$C$3:$C$5</c:f>
              <c:strCache>
                <c:ptCount val="3"/>
                <c:pt idx="0">
                  <c:v>2023年支出合计</c:v>
                </c:pt>
                <c:pt idx="1">
                  <c:v>基本支出</c:v>
                </c:pt>
                <c:pt idx="2">
                  <c:v>项目支出</c:v>
                </c:pt>
              </c:strCache>
            </c:strRef>
          </c:cat>
          <c:val>
            <c:numRef>
              <c:f>Sheet7!$D$3:$D$5</c:f>
              <c:numCache>
                <c:formatCode>General</c:formatCode>
                <c:ptCount val="3"/>
                <c:pt idx="1">
                  <c:v>668.270000000001</c:v>
                </c:pt>
                <c:pt idx="2">
                  <c:v>46.54</c:v>
                </c:pt>
              </c:numCache>
            </c:numRef>
          </c:val>
        </c:ser>
        <c:dLbls>
          <c:showLegendKey val="0"/>
          <c:showVal val="0"/>
          <c:showCatName val="0"/>
          <c:showSerName val="0"/>
          <c:showPercent val="1"/>
          <c:showBubbleSize val="0"/>
          <c:showLeaderLines val="1"/>
        </c:dLbls>
        <c:firstSliceAng val="0"/>
      </c:pieChart>
    </c:plotArea>
    <c:legend>
      <c:legendPos val="r"/>
      <c:legendEntry>
        <c:idx val="0"/>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财政拨款收、支总计变动表</a:t>
            </a:r>
            <a:endParaRPr lang="zh-CN" altLang="en-US"/>
          </a:p>
        </c:rich>
      </c:tx>
      <c:layout/>
      <c:overlay val="0"/>
    </c:title>
    <c:autoTitleDeleted val="0"/>
    <c:plotArea>
      <c:layout/>
      <c:barChart>
        <c:barDir val="col"/>
        <c:grouping val="clustered"/>
        <c:varyColors val="0"/>
        <c:ser>
          <c:idx val="0"/>
          <c:order val="0"/>
          <c:tx>
            <c:strRef>
              <c:f>Sheet6!$B$4</c:f>
              <c:strCache>
                <c:ptCount val="1"/>
                <c:pt idx="0">
                  <c:v>2023</c:v>
                </c:pt>
              </c:strCache>
            </c:strRef>
          </c:tx>
          <c:invertIfNegative val="0"/>
          <c:dLbls>
            <c:delete val="1"/>
          </c:dLbls>
          <c:cat>
            <c:strRef>
              <c:f>Sheet6!$C$3:$E$3</c:f>
              <c:strCache>
                <c:ptCount val="3"/>
                <c:pt idx="0">
                  <c:v>收入</c:v>
                </c:pt>
                <c:pt idx="2">
                  <c:v>支出</c:v>
                </c:pt>
              </c:strCache>
            </c:strRef>
          </c:cat>
          <c:val>
            <c:numRef>
              <c:f>Sheet6!$C$4:$E$4</c:f>
              <c:numCache>
                <c:formatCode>General</c:formatCode>
                <c:ptCount val="3"/>
                <c:pt idx="0">
                  <c:v>714.73</c:v>
                </c:pt>
                <c:pt idx="2">
                  <c:v>714.73</c:v>
                </c:pt>
              </c:numCache>
            </c:numRef>
          </c:val>
        </c:ser>
        <c:ser>
          <c:idx val="1"/>
          <c:order val="1"/>
          <c:tx>
            <c:strRef>
              <c:f>Sheet6!$B$5</c:f>
              <c:strCache>
                <c:ptCount val="1"/>
                <c:pt idx="0">
                  <c:v>2022</c:v>
                </c:pt>
              </c:strCache>
            </c:strRef>
          </c:tx>
          <c:invertIfNegative val="0"/>
          <c:dLbls>
            <c:delete val="1"/>
          </c:dLbls>
          <c:cat>
            <c:strRef>
              <c:f>Sheet6!$C$3:$E$3</c:f>
              <c:strCache>
                <c:ptCount val="3"/>
                <c:pt idx="0">
                  <c:v>收入</c:v>
                </c:pt>
                <c:pt idx="2">
                  <c:v>支出</c:v>
                </c:pt>
              </c:strCache>
            </c:strRef>
          </c:cat>
          <c:val>
            <c:numRef>
              <c:f>Sheet6!$C$5:$E$5</c:f>
              <c:numCache>
                <c:formatCode>General</c:formatCode>
                <c:ptCount val="3"/>
                <c:pt idx="0">
                  <c:v>595.53</c:v>
                </c:pt>
                <c:pt idx="2">
                  <c:v>595.53</c:v>
                </c:pt>
              </c:numCache>
            </c:numRef>
          </c:val>
        </c:ser>
        <c:dLbls>
          <c:showLegendKey val="0"/>
          <c:showVal val="0"/>
          <c:showCatName val="0"/>
          <c:showSerName val="0"/>
          <c:showPercent val="0"/>
          <c:showBubbleSize val="0"/>
        </c:dLbls>
        <c:gapWidth val="150"/>
        <c:axId val="140453376"/>
        <c:axId val="140455296"/>
      </c:barChart>
      <c:catAx>
        <c:axId val="1404533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455296"/>
        <c:crosses val="autoZero"/>
        <c:auto val="1"/>
        <c:lblAlgn val="ctr"/>
        <c:lblOffset val="100"/>
        <c:noMultiLvlLbl val="0"/>
      </c:catAx>
      <c:valAx>
        <c:axId val="1404552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45337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600"/>
              <a:t>一般公共预算财政拨款支出变动情况表</a:t>
            </a:r>
            <a:endParaRPr lang="zh-CN" sz="1600"/>
          </a:p>
        </c:rich>
      </c:tx>
      <c:layout>
        <c:manualLayout>
          <c:xMode val="edge"/>
          <c:yMode val="edge"/>
          <c:x val="0.0985415573053368"/>
          <c:y val="0.027777777777778"/>
        </c:manualLayout>
      </c:layout>
      <c:overlay val="0"/>
    </c:title>
    <c:autoTitleDeleted val="0"/>
    <c:plotArea>
      <c:layout/>
      <c:barChart>
        <c:barDir val="col"/>
        <c:grouping val="stacked"/>
        <c:varyColors val="0"/>
        <c:ser>
          <c:idx val="0"/>
          <c:order val="0"/>
          <c:invertIfNegative val="0"/>
          <c:dLbls>
            <c:delete val="1"/>
          </c:dLbls>
          <c:cat>
            <c:strRef>
              <c:f>Sheet5!$D$4:$D$6</c:f>
              <c:strCache>
                <c:ptCount val="3"/>
                <c:pt idx="1">
                  <c:v>2023年度一般公共预算财政拨款支出</c:v>
                </c:pt>
                <c:pt idx="2">
                  <c:v>2022年度一般公共预算财政拨款支出</c:v>
                </c:pt>
              </c:strCache>
            </c:strRef>
          </c:cat>
          <c:val>
            <c:numRef>
              <c:f>Sheet5!$E$4:$E$6</c:f>
              <c:numCache>
                <c:formatCode>General</c:formatCode>
                <c:ptCount val="3"/>
                <c:pt idx="1">
                  <c:v>694.41</c:v>
                </c:pt>
                <c:pt idx="2">
                  <c:v>551.7</c:v>
                </c:pt>
              </c:numCache>
            </c:numRef>
          </c:val>
        </c:ser>
        <c:dLbls>
          <c:showLegendKey val="0"/>
          <c:showVal val="0"/>
          <c:showCatName val="0"/>
          <c:showSerName val="0"/>
          <c:showPercent val="0"/>
          <c:showBubbleSize val="0"/>
        </c:dLbls>
        <c:gapWidth val="95"/>
        <c:overlap val="100"/>
        <c:axId val="114630656"/>
        <c:axId val="114632192"/>
      </c:barChart>
      <c:catAx>
        <c:axId val="1146306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632192"/>
        <c:crosses val="autoZero"/>
        <c:auto val="1"/>
        <c:lblAlgn val="ctr"/>
        <c:lblOffset val="100"/>
        <c:noMultiLvlLbl val="0"/>
      </c:catAx>
      <c:valAx>
        <c:axId val="1146321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63065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29"/>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Sheet4!$B$3:$B$9</c:f>
              <c:strCache>
                <c:ptCount val="7"/>
                <c:pt idx="0">
                  <c:v>2023年一般公共服务支出</c:v>
                </c:pt>
                <c:pt idx="2">
                  <c:v>2023年社会保障和就业支出</c:v>
                </c:pt>
                <c:pt idx="4">
                  <c:v>2023年卫生健康支出</c:v>
                </c:pt>
                <c:pt idx="6">
                  <c:v>2023年住房保障支出</c:v>
                </c:pt>
              </c:strCache>
            </c:strRef>
          </c:cat>
          <c:val>
            <c:numRef>
              <c:f>Sheet4!$C$3:$C$9</c:f>
              <c:numCache>
                <c:formatCode>General</c:formatCode>
                <c:ptCount val="7"/>
                <c:pt idx="0">
                  <c:v>508.1</c:v>
                </c:pt>
                <c:pt idx="2">
                  <c:v>80.35</c:v>
                </c:pt>
                <c:pt idx="4">
                  <c:v>58.43</c:v>
                </c:pt>
                <c:pt idx="6">
                  <c:v>47.53</c:v>
                </c:pt>
              </c:numCache>
            </c:numRef>
          </c:val>
        </c:ser>
        <c:dLbls>
          <c:showLegendKey val="0"/>
          <c:showVal val="1"/>
          <c:showCatName val="0"/>
          <c:showSerName val="0"/>
          <c:showPercent val="0"/>
          <c:showBubbleSize val="0"/>
          <c:showLeaderLines val="1"/>
        </c:dLbls>
        <c:firstSliceAng val="6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baseline="0"/>
              <a:t>“三公”经费财政拨款支出结构图</a:t>
            </a:r>
            <a:endParaRPr lang="zh-CN" altLang="zh-CN" sz="1800" b="1" i="0" baseline="0"/>
          </a:p>
        </c:rich>
      </c:tx>
      <c:layout/>
      <c:overlay val="0"/>
    </c:title>
    <c:autoTitleDeleted val="0"/>
    <c:plotArea>
      <c:layout/>
      <c:pieChart>
        <c:varyColors val="1"/>
        <c:ser>
          <c:idx val="0"/>
          <c:order val="0"/>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Sheet7!$D$38:$D$40</c:f>
              <c:strCache>
                <c:ptCount val="3"/>
                <c:pt idx="0">
                  <c:v>因公出国（境）费</c:v>
                </c:pt>
                <c:pt idx="1">
                  <c:v>公务用车购置及运行维护费</c:v>
                </c:pt>
                <c:pt idx="2">
                  <c:v>公务接待费</c:v>
                </c:pt>
              </c:strCache>
            </c:strRef>
          </c:cat>
          <c:val>
            <c:numRef>
              <c:f>Sheet7!$E$38:$E$40</c:f>
              <c:numCache>
                <c:formatCode>General</c:formatCode>
                <c:ptCount val="3"/>
                <c:pt idx="0">
                  <c:v>0</c:v>
                </c:pt>
                <c:pt idx="1">
                  <c:v>0</c:v>
                </c:pt>
                <c:pt idx="2">
                  <c:v>0.29</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user</cp:lastModifiedBy>
  <cp:lastPrinted>2023-08-03T10:35:00Z</cp:lastPrinted>
  <dcterms:modified xsi:type="dcterms:W3CDTF">2024-10-28T16:38:24Z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458CB28E10174FABBDE9DFD9413EF0C7_12</vt:lpwstr>
  </property>
</Properties>
</file>