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425"/>
      <w:bookmarkStart w:id="1" w:name="_Toc15396597"/>
      <w:bookmarkStart w:id="2" w:name="_Toc15396475"/>
      <w:bookmarkStart w:id="3" w:name="_Toc15377193"/>
      <w:bookmarkStart w:id="4" w:name="_Toc15306267"/>
      <w:bookmarkStart w:id="5" w:name="_Toc15378441"/>
    </w:p>
    <w:p>
      <w:pPr>
        <w:pStyle w:val="6"/>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bookmarkEnd w:id="0"/>
    <w:bookmarkEnd w:id="1"/>
    <w:bookmarkEnd w:id="2"/>
    <w:bookmarkEnd w:id="3"/>
    <w:bookmarkEnd w:id="4"/>
    <w:bookmarkEnd w:id="5"/>
    <w:p>
      <w:pPr>
        <w:pStyle w:val="6"/>
        <w:spacing w:before="93"/>
        <w:jc w:val="center"/>
        <w:rPr>
          <w:rFonts w:hint="eastAsia" w:ascii="方正小标宋_GBK" w:hAnsi="方正小标宋_GBK" w:eastAsia="方正小标宋_GBK" w:cs="方正小标宋_GBK"/>
          <w:spacing w:val="0"/>
          <w:sz w:val="44"/>
          <w:szCs w:val="44"/>
        </w:rPr>
      </w:pPr>
      <w:bookmarkStart w:id="6" w:name="_Toc15396602"/>
      <w:bookmarkStart w:id="7" w:name="_Toc15377204"/>
      <w:r>
        <w:rPr>
          <w:rFonts w:hint="eastAsia" w:ascii="方正小标宋_GBK" w:hAnsi="方正小标宋_GBK" w:eastAsia="方正小标宋_GBK" w:cs="方正小标宋_GBK"/>
          <w:spacing w:val="0"/>
          <w:sz w:val="44"/>
          <w:szCs w:val="44"/>
        </w:rPr>
        <w:t>2023年度中国人民政治协商会议</w:t>
      </w:r>
    </w:p>
    <w:p>
      <w:pPr>
        <w:pStyle w:val="6"/>
        <w:spacing w:before="93"/>
        <w:jc w:val="center"/>
        <w:rPr>
          <w:rFonts w:ascii="方正小标宋简体" w:hAnsi="宋体" w:eastAsia="方正小标宋简体"/>
          <w:sz w:val="44"/>
          <w:szCs w:val="44"/>
        </w:rPr>
      </w:pPr>
      <w:r>
        <w:rPr>
          <w:rFonts w:hint="eastAsia" w:ascii="方正小标宋_GBK" w:hAnsi="方正小标宋_GBK" w:eastAsia="方正小标宋_GBK" w:cs="方正小标宋_GBK"/>
          <w:spacing w:val="0"/>
          <w:sz w:val="44"/>
          <w:szCs w:val="44"/>
        </w:rPr>
        <w:t>攀枝花市西区委员会办公室</w:t>
      </w:r>
      <w:bookmarkStart w:id="8" w:name="_Toc15396598"/>
      <w:bookmarkStart w:id="9" w:name="_Toc15377194"/>
      <w:bookmarkStart w:id="10" w:name="_Toc15306268"/>
      <w:bookmarkStart w:id="11" w:name="_Toc15396476"/>
      <w:bookmarkStart w:id="12" w:name="_Toc15378442"/>
      <w:bookmarkStart w:id="13" w:name="_Toc15377426"/>
      <w:r>
        <w:rPr>
          <w:rFonts w:hint="eastAsia" w:ascii="方正小标宋_GBK" w:hAnsi="方正小标宋_GBK" w:eastAsia="方正小标宋_GBK" w:cs="方正小标宋_GBK"/>
          <w:spacing w:val="0"/>
          <w:sz w:val="44"/>
          <w:szCs w:val="44"/>
        </w:rPr>
        <w:t>部门决算</w:t>
      </w:r>
      <w:bookmarkEnd w:id="8"/>
      <w:bookmarkEnd w:id="9"/>
      <w:bookmarkEnd w:id="10"/>
      <w:bookmarkEnd w:id="11"/>
      <w:bookmarkEnd w:id="12"/>
      <w:bookmarkEnd w:id="13"/>
    </w:p>
    <w:p>
      <w:pPr>
        <w:widowControl/>
        <w:jc w:val="center"/>
        <w:rPr>
          <w:rFonts w:ascii="方正小标宋_GBK" w:hAnsi="黑体" w:eastAsia="方正小标宋_GBK"/>
          <w:sz w:val="44"/>
          <w:szCs w:val="44"/>
        </w:rPr>
        <w:sectPr>
          <w:pgSz w:w="11906" w:h="16838"/>
          <w:pgMar w:top="2098" w:right="1474" w:bottom="1985" w:left="1588" w:header="851" w:footer="992" w:gutter="0"/>
          <w:pgNumType w:fmt="numberInDash" w:start="1"/>
          <w:cols w:space="720" w:num="1"/>
          <w:titlePg/>
          <w:docGrid w:type="lines" w:linePitch="312" w:charSpace="0"/>
        </w:sectPr>
      </w:pPr>
      <w:bookmarkStart w:id="14" w:name="_Toc15377196"/>
      <w:bookmarkStart w:id="15" w:name="_Toc15396599"/>
    </w:p>
    <w:p>
      <w:pPr>
        <w:widowControl/>
        <w:jc w:val="center"/>
        <w:rPr>
          <w:rFonts w:ascii="方正小标宋_GBK" w:hAnsi="黑体" w:eastAsia="方正小标宋_GBK"/>
          <w:sz w:val="44"/>
          <w:szCs w:val="44"/>
        </w:rPr>
      </w:pPr>
      <w:r>
        <w:rPr>
          <w:rFonts w:hint="eastAsia" w:ascii="方正小标宋_GBK" w:hAnsi="黑体" w:eastAsia="方正小标宋_GBK"/>
          <w:sz w:val="44"/>
          <w:szCs w:val="44"/>
        </w:rPr>
        <w:t>目录</w:t>
      </w:r>
    </w:p>
    <w:p>
      <w:pPr>
        <w:widowControl/>
        <w:jc w:val="center"/>
        <w:rPr>
          <w:rFonts w:ascii="黑体" w:hAnsi="黑体" w:eastAsia="黑体"/>
          <w:sz w:val="28"/>
          <w:szCs w:val="28"/>
        </w:rPr>
      </w:pPr>
    </w:p>
    <w:p>
      <w:pPr>
        <w:pStyle w:val="12"/>
        <w:rPr>
          <w:rFonts w:ascii="仿宋_GB2312" w:eastAsia="仿宋_GB2312"/>
        </w:rPr>
      </w:pPr>
      <w:r>
        <w:rPr>
          <w:rFonts w:hint="eastAsia" w:ascii="仿宋_GB2312" w:eastAsia="仿宋_GB2312"/>
        </w:rPr>
        <w:t>公开时间：</w:t>
      </w:r>
      <w:r>
        <w:rPr>
          <w:rFonts w:hint="eastAsia" w:ascii="仿宋_GB2312" w:hAnsi="Times New Roman" w:eastAsia="仿宋_GB2312"/>
        </w:rPr>
        <w:t>2024</w:t>
      </w:r>
      <w:r>
        <w:rPr>
          <w:rFonts w:hint="eastAsia" w:ascii="仿宋_GB2312" w:eastAsia="仿宋_GB2312"/>
        </w:rPr>
        <w:t>年</w:t>
      </w:r>
      <w:r>
        <w:rPr>
          <w:rFonts w:hint="eastAsia" w:ascii="仿宋_GB2312" w:hAnsi="Times New Roman" w:eastAsia="仿宋_GB2312"/>
        </w:rPr>
        <w:t>10</w:t>
      </w:r>
      <w:r>
        <w:rPr>
          <w:rFonts w:hint="eastAsia" w:ascii="仿宋_GB2312" w:eastAsia="仿宋_GB2312"/>
        </w:rPr>
        <w:t>月</w:t>
      </w:r>
      <w:r>
        <w:rPr>
          <w:rFonts w:hint="eastAsia" w:ascii="仿宋_GB2312" w:eastAsia="仿宋_GB2312"/>
          <w:lang w:val="en-US" w:eastAsia="zh-CN"/>
        </w:rPr>
        <w:t>25</w:t>
      </w:r>
      <w:r>
        <w:rPr>
          <w:rFonts w:hint="eastAsia" w:ascii="仿宋_GB2312" w:eastAsia="仿宋_GB2312"/>
        </w:rPr>
        <w:t>日</w:t>
      </w:r>
    </w:p>
    <w:p>
      <w:pPr>
        <w:rPr>
          <w:rFonts w:ascii="仿宋_GB2312" w:eastAsia="仿宋_GB2312"/>
        </w:rPr>
      </w:pPr>
    </w:p>
    <w:p>
      <w:pPr>
        <w:pStyle w:val="12"/>
        <w:adjustRightInd w:val="0"/>
        <w:snapToGrid w:val="0"/>
        <w:spacing w:before="0" w:line="500" w:lineRule="exact"/>
        <w:jc w:val="left"/>
        <w:rPr>
          <w:rFonts w:ascii="仿宋_GB2312" w:hAnsi="Times New Roman" w:eastAsia="仿宋_GB2312"/>
        </w:rPr>
      </w:pPr>
      <w:r>
        <w:rPr>
          <w:rFonts w:hint="eastAsia" w:ascii="仿宋_GB2312" w:hAnsi="Times New Roman" w:eastAsia="仿宋_GB2312"/>
        </w:rPr>
        <w:t>第一部分 部门概况</w:t>
      </w:r>
      <w:r>
        <w:rPr>
          <w:rFonts w:hint="eastAsia" w:ascii="仿宋_GB2312" w:hAnsi="Times New Roman" w:eastAsia="仿宋_GB2312"/>
        </w:rPr>
        <w:tab/>
      </w:r>
      <w:r>
        <w:rPr>
          <w:rFonts w:hint="eastAsia" w:ascii="仿宋_GB2312" w:hAnsi="Times New Roman" w:eastAsia="仿宋_GB2312"/>
        </w:rPr>
        <w:t>1</w:t>
      </w:r>
    </w:p>
    <w:p>
      <w:pPr>
        <w:pStyle w:val="13"/>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一、部门职责</w:t>
      </w:r>
      <w:r>
        <w:rPr>
          <w:rFonts w:hint="eastAsia" w:ascii="仿宋_GB2312" w:eastAsia="仿宋_GB2312"/>
          <w:sz w:val="28"/>
          <w:szCs w:val="28"/>
        </w:rPr>
        <w:tab/>
      </w:r>
      <w:r>
        <w:rPr>
          <w:rFonts w:hint="eastAsia" w:ascii="仿宋_GB2312" w:eastAsia="仿宋_GB2312"/>
          <w:sz w:val="28"/>
          <w:szCs w:val="28"/>
        </w:rPr>
        <w:t>1</w:t>
      </w:r>
    </w:p>
    <w:p>
      <w:pPr>
        <w:pStyle w:val="13"/>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二、机构设置</w:t>
      </w:r>
      <w:r>
        <w:rPr>
          <w:rFonts w:hint="eastAsia" w:ascii="仿宋_GB2312" w:eastAsia="仿宋_GB2312"/>
          <w:sz w:val="28"/>
          <w:szCs w:val="28"/>
        </w:rPr>
        <w:tab/>
      </w:r>
      <w:r>
        <w:rPr>
          <w:rFonts w:hint="eastAsia" w:ascii="仿宋_GB2312" w:eastAsia="仿宋_GB2312"/>
          <w:sz w:val="28"/>
          <w:szCs w:val="28"/>
        </w:rPr>
        <w:t>2</w:t>
      </w:r>
    </w:p>
    <w:p>
      <w:pPr>
        <w:pStyle w:val="12"/>
        <w:adjustRightInd w:val="0"/>
        <w:snapToGrid w:val="0"/>
        <w:spacing w:before="0" w:line="500" w:lineRule="exact"/>
        <w:jc w:val="left"/>
        <w:rPr>
          <w:rFonts w:ascii="仿宋_GB2312" w:hAnsi="Times New Roman" w:eastAsia="仿宋_GB2312"/>
        </w:rPr>
      </w:pPr>
      <w:r>
        <w:rPr>
          <w:rFonts w:hint="eastAsia" w:ascii="仿宋_GB2312" w:hAnsi="Times New Roman" w:eastAsia="仿宋_GB2312"/>
        </w:rPr>
        <w:t>第二部分2023年度部门决算情况说明</w:t>
      </w:r>
      <w:r>
        <w:rPr>
          <w:rFonts w:hint="eastAsia" w:ascii="仿宋_GB2312" w:hAnsi="Times New Roman" w:eastAsia="仿宋_GB2312"/>
        </w:rPr>
        <w:tab/>
      </w:r>
      <w:r>
        <w:rPr>
          <w:rFonts w:hint="eastAsia" w:ascii="仿宋_GB2312" w:hAnsi="Times New Roman" w:eastAsia="仿宋_GB2312"/>
        </w:rPr>
        <w:t>3</w:t>
      </w:r>
    </w:p>
    <w:p>
      <w:pPr>
        <w:pStyle w:val="13"/>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一、收入支出决算总体情况说明</w:t>
      </w:r>
      <w:r>
        <w:rPr>
          <w:rFonts w:hint="eastAsia" w:ascii="仿宋_GB2312" w:eastAsia="仿宋_GB2312"/>
          <w:sz w:val="28"/>
          <w:szCs w:val="28"/>
        </w:rPr>
        <w:tab/>
      </w:r>
      <w:r>
        <w:rPr>
          <w:rFonts w:hint="eastAsia" w:ascii="仿宋_GB2312" w:eastAsia="仿宋_GB2312"/>
          <w:sz w:val="28"/>
          <w:szCs w:val="28"/>
        </w:rPr>
        <w:t>3</w:t>
      </w:r>
    </w:p>
    <w:p>
      <w:pPr>
        <w:pStyle w:val="13"/>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二、收入决算情况说明</w:t>
      </w:r>
      <w:r>
        <w:rPr>
          <w:rFonts w:hint="eastAsia" w:ascii="仿宋_GB2312" w:eastAsia="仿宋_GB2312"/>
          <w:sz w:val="28"/>
          <w:szCs w:val="28"/>
        </w:rPr>
        <w:tab/>
      </w:r>
      <w:r>
        <w:rPr>
          <w:rFonts w:hint="eastAsia" w:ascii="仿宋_GB2312" w:eastAsia="仿宋_GB2312"/>
          <w:sz w:val="28"/>
          <w:szCs w:val="28"/>
        </w:rPr>
        <w:t>3</w:t>
      </w:r>
    </w:p>
    <w:p>
      <w:pPr>
        <w:pStyle w:val="13"/>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三、支出决算情况说明</w:t>
      </w:r>
      <w:r>
        <w:rPr>
          <w:rFonts w:hint="eastAsia" w:ascii="仿宋_GB2312" w:eastAsia="仿宋_GB2312"/>
          <w:sz w:val="28"/>
          <w:szCs w:val="28"/>
        </w:rPr>
        <w:tab/>
      </w:r>
      <w:r>
        <w:rPr>
          <w:rFonts w:hint="eastAsia" w:ascii="仿宋_GB2312" w:eastAsia="仿宋_GB2312"/>
          <w:sz w:val="28"/>
          <w:szCs w:val="28"/>
        </w:rPr>
        <w:t>4</w:t>
      </w:r>
    </w:p>
    <w:p>
      <w:pPr>
        <w:pStyle w:val="13"/>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四、财政拨款收入支出决算总体情况说明</w:t>
      </w:r>
      <w:r>
        <w:rPr>
          <w:rFonts w:hint="eastAsia" w:ascii="仿宋_GB2312" w:eastAsia="仿宋_GB2312"/>
          <w:sz w:val="28"/>
          <w:szCs w:val="28"/>
        </w:rPr>
        <w:tab/>
      </w:r>
      <w:r>
        <w:rPr>
          <w:rFonts w:hint="eastAsia" w:ascii="仿宋_GB2312" w:eastAsia="仿宋_GB2312"/>
          <w:sz w:val="28"/>
          <w:szCs w:val="28"/>
        </w:rPr>
        <w:t>5</w:t>
      </w:r>
    </w:p>
    <w:p>
      <w:pPr>
        <w:pStyle w:val="13"/>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五、一般公共预算财政拨款支出决算情况说明</w:t>
      </w:r>
      <w:r>
        <w:rPr>
          <w:rFonts w:hint="eastAsia" w:ascii="仿宋_GB2312" w:eastAsia="仿宋_GB2312"/>
          <w:sz w:val="28"/>
          <w:szCs w:val="28"/>
        </w:rPr>
        <w:tab/>
      </w:r>
      <w:r>
        <w:rPr>
          <w:rFonts w:hint="eastAsia" w:ascii="仿宋_GB2312" w:eastAsia="仿宋_GB2312"/>
          <w:sz w:val="28"/>
          <w:szCs w:val="28"/>
        </w:rPr>
        <w:t>5</w:t>
      </w:r>
    </w:p>
    <w:p>
      <w:pPr>
        <w:pStyle w:val="13"/>
        <w:adjustRightInd w:val="0"/>
        <w:snapToGrid w:val="0"/>
        <w:spacing w:line="500" w:lineRule="exact"/>
        <w:jc w:val="left"/>
        <w:rPr>
          <w:rFonts w:hint="eastAsia" w:ascii="仿宋_GB2312" w:eastAsia="仿宋_GB2312"/>
          <w:sz w:val="28"/>
          <w:szCs w:val="28"/>
          <w:lang w:eastAsia="zh-CN"/>
        </w:rPr>
      </w:pPr>
      <w:r>
        <w:rPr>
          <w:rFonts w:hint="eastAsia" w:ascii="仿宋_GB2312" w:eastAsia="仿宋_GB2312"/>
          <w:sz w:val="28"/>
          <w:szCs w:val="28"/>
        </w:rPr>
        <w:t>六、一般公共预算财政拨款基本支出决算情况说明</w:t>
      </w:r>
      <w:r>
        <w:rPr>
          <w:rFonts w:hint="eastAsia" w:ascii="仿宋_GB2312" w:eastAsia="仿宋_GB2312"/>
          <w:sz w:val="28"/>
          <w:szCs w:val="28"/>
        </w:rPr>
        <w:tab/>
      </w:r>
      <w:r>
        <w:rPr>
          <w:rFonts w:hint="eastAsia" w:ascii="仿宋_GB2312" w:eastAsia="仿宋_GB2312"/>
          <w:sz w:val="28"/>
          <w:szCs w:val="28"/>
          <w:lang w:val="en-US" w:eastAsia="zh-CN"/>
        </w:rPr>
        <w:t>8</w:t>
      </w:r>
    </w:p>
    <w:p>
      <w:pPr>
        <w:pStyle w:val="13"/>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七、财政拨款“三公”经费支出决算情况说明</w:t>
      </w:r>
      <w:r>
        <w:rPr>
          <w:rFonts w:hint="eastAsia" w:ascii="仿宋_GB2312" w:eastAsia="仿宋_GB2312"/>
          <w:sz w:val="28"/>
          <w:szCs w:val="28"/>
        </w:rPr>
        <w:tab/>
      </w:r>
      <w:r>
        <w:rPr>
          <w:rFonts w:hint="eastAsia" w:ascii="仿宋_GB2312" w:eastAsia="仿宋_GB2312"/>
          <w:sz w:val="28"/>
          <w:szCs w:val="28"/>
        </w:rPr>
        <w:t>8</w:t>
      </w:r>
    </w:p>
    <w:p>
      <w:pPr>
        <w:pStyle w:val="13"/>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八、政府性基金预算支出决算情况说明</w:t>
      </w:r>
      <w:r>
        <w:rPr>
          <w:rFonts w:hint="eastAsia" w:ascii="仿宋_GB2312" w:eastAsia="仿宋_GB2312"/>
          <w:sz w:val="28"/>
          <w:szCs w:val="28"/>
        </w:rPr>
        <w:tab/>
      </w:r>
      <w:r>
        <w:rPr>
          <w:rFonts w:hint="eastAsia" w:ascii="仿宋_GB2312" w:eastAsia="仿宋_GB2312"/>
          <w:sz w:val="28"/>
          <w:szCs w:val="28"/>
        </w:rPr>
        <w:t>10</w:t>
      </w:r>
    </w:p>
    <w:p>
      <w:pPr>
        <w:pStyle w:val="13"/>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九、国有资本经营预算支出决算情况说明</w:t>
      </w:r>
      <w:r>
        <w:rPr>
          <w:rFonts w:hint="eastAsia" w:ascii="仿宋_GB2312" w:eastAsia="仿宋_GB2312"/>
          <w:sz w:val="28"/>
          <w:szCs w:val="28"/>
        </w:rPr>
        <w:tab/>
      </w:r>
      <w:r>
        <w:rPr>
          <w:rFonts w:hint="eastAsia" w:ascii="仿宋_GB2312" w:eastAsia="仿宋_GB2312"/>
          <w:sz w:val="28"/>
          <w:szCs w:val="28"/>
        </w:rPr>
        <w:t>10</w:t>
      </w:r>
    </w:p>
    <w:p>
      <w:pPr>
        <w:pStyle w:val="13"/>
        <w:adjustRightInd w:val="0"/>
        <w:snapToGrid w:val="0"/>
        <w:spacing w:line="500" w:lineRule="exact"/>
        <w:jc w:val="left"/>
        <w:rPr>
          <w:rFonts w:hint="eastAsia" w:ascii="仿宋_GB2312" w:eastAsia="仿宋_GB2312"/>
          <w:sz w:val="28"/>
          <w:szCs w:val="28"/>
          <w:lang w:eastAsia="zh-CN"/>
        </w:rPr>
      </w:pPr>
      <w:r>
        <w:rPr>
          <w:rFonts w:hint="eastAsia" w:ascii="仿宋_GB2312" w:eastAsia="仿宋_GB2312"/>
          <w:sz w:val="28"/>
          <w:szCs w:val="28"/>
        </w:rPr>
        <w:t>十、其他重要事项的情况说明</w:t>
      </w:r>
      <w:r>
        <w:rPr>
          <w:rFonts w:hint="eastAsia" w:ascii="仿宋_GB2312" w:eastAsia="仿宋_GB2312"/>
          <w:sz w:val="28"/>
          <w:szCs w:val="28"/>
        </w:rPr>
        <w:tab/>
      </w:r>
      <w:r>
        <w:rPr>
          <w:rFonts w:hint="eastAsia" w:ascii="仿宋_GB2312" w:eastAsia="仿宋_GB2312"/>
          <w:sz w:val="28"/>
          <w:szCs w:val="28"/>
        </w:rPr>
        <w:t>1</w:t>
      </w:r>
      <w:r>
        <w:rPr>
          <w:rFonts w:hint="eastAsia" w:ascii="仿宋_GB2312" w:eastAsia="仿宋_GB2312"/>
          <w:sz w:val="28"/>
          <w:szCs w:val="28"/>
          <w:lang w:val="en-US" w:eastAsia="zh-CN"/>
        </w:rPr>
        <w:t>1</w:t>
      </w:r>
    </w:p>
    <w:p>
      <w:pPr>
        <w:pStyle w:val="12"/>
        <w:adjustRightInd w:val="0"/>
        <w:snapToGrid w:val="0"/>
        <w:spacing w:before="0" w:line="500" w:lineRule="exact"/>
        <w:jc w:val="left"/>
        <w:rPr>
          <w:rFonts w:ascii="仿宋_GB2312" w:hAnsi="Times New Roman" w:eastAsia="仿宋_GB2312"/>
        </w:rPr>
      </w:pPr>
      <w:r>
        <w:rPr>
          <w:rFonts w:hint="eastAsia" w:ascii="仿宋_GB2312" w:hAnsi="Times New Roman" w:eastAsia="仿宋_GB2312"/>
        </w:rPr>
        <w:t>第三部分 名词解释</w:t>
      </w:r>
      <w:r>
        <w:rPr>
          <w:rFonts w:hint="eastAsia" w:ascii="仿宋_GB2312" w:hAnsi="Times New Roman" w:eastAsia="仿宋_GB2312"/>
        </w:rPr>
        <w:tab/>
      </w:r>
      <w:r>
        <w:rPr>
          <w:rFonts w:hint="eastAsia" w:ascii="仿宋_GB2312" w:hAnsi="Times New Roman" w:eastAsia="仿宋_GB2312"/>
        </w:rPr>
        <w:t>13</w:t>
      </w:r>
    </w:p>
    <w:p>
      <w:pPr>
        <w:pStyle w:val="12"/>
        <w:adjustRightInd w:val="0"/>
        <w:snapToGrid w:val="0"/>
        <w:spacing w:before="0" w:line="500" w:lineRule="exact"/>
        <w:jc w:val="left"/>
        <w:rPr>
          <w:rFonts w:ascii="仿宋_GB2312" w:hAnsi="Times New Roman" w:eastAsia="仿宋_GB2312"/>
        </w:rPr>
      </w:pPr>
      <w:r>
        <w:rPr>
          <w:rFonts w:hint="eastAsia" w:ascii="仿宋_GB2312" w:hAnsi="Times New Roman" w:eastAsia="仿宋_GB2312"/>
        </w:rPr>
        <w:t>第四部分 附件</w:t>
      </w:r>
      <w:r>
        <w:rPr>
          <w:rFonts w:hint="eastAsia" w:ascii="仿宋_GB2312" w:hAnsi="Times New Roman" w:eastAsia="仿宋_GB2312"/>
        </w:rPr>
        <w:tab/>
      </w:r>
      <w:r>
        <w:rPr>
          <w:rFonts w:hint="eastAsia" w:ascii="仿宋_GB2312" w:hAnsi="Times New Roman" w:eastAsia="仿宋_GB2312"/>
        </w:rPr>
        <w:t>16</w:t>
      </w:r>
    </w:p>
    <w:p>
      <w:pPr>
        <w:pStyle w:val="12"/>
        <w:adjustRightInd w:val="0"/>
        <w:snapToGrid w:val="0"/>
        <w:spacing w:before="0" w:line="500" w:lineRule="exact"/>
        <w:jc w:val="left"/>
        <w:rPr>
          <w:rFonts w:ascii="仿宋_GB2312" w:hAnsi="Times New Roman" w:eastAsia="仿宋_GB2312"/>
        </w:rPr>
      </w:pPr>
      <w:r>
        <w:rPr>
          <w:rFonts w:hint="eastAsia" w:ascii="仿宋_GB2312" w:hAnsi="Times New Roman" w:eastAsia="仿宋_GB2312"/>
        </w:rPr>
        <w:t>第五部分 附表</w:t>
      </w:r>
      <w:r>
        <w:rPr>
          <w:rFonts w:hint="eastAsia" w:ascii="仿宋_GB2312" w:hAnsi="Times New Roman" w:eastAsia="仿宋_GB2312"/>
        </w:rPr>
        <w:tab/>
      </w:r>
      <w:r>
        <w:rPr>
          <w:rFonts w:hint="eastAsia" w:ascii="仿宋_GB2312" w:hAnsi="Times New Roman" w:eastAsia="仿宋_GB2312"/>
        </w:rPr>
        <w:t>24</w:t>
      </w:r>
    </w:p>
    <w:p>
      <w:pPr>
        <w:pStyle w:val="13"/>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一、收入支出决算总表</w:t>
      </w:r>
      <w:r>
        <w:rPr>
          <w:rFonts w:hint="eastAsia" w:ascii="仿宋_GB2312" w:eastAsia="仿宋_GB2312"/>
          <w:sz w:val="28"/>
          <w:szCs w:val="28"/>
        </w:rPr>
        <w:tab/>
      </w:r>
      <w:r>
        <w:rPr>
          <w:rFonts w:hint="eastAsia" w:ascii="仿宋_GB2312" w:eastAsia="仿宋_GB2312"/>
          <w:sz w:val="28"/>
          <w:szCs w:val="28"/>
        </w:rPr>
        <w:t>24</w:t>
      </w:r>
    </w:p>
    <w:p>
      <w:pPr>
        <w:pStyle w:val="13"/>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二、收入决算表</w:t>
      </w:r>
      <w:r>
        <w:rPr>
          <w:rFonts w:hint="eastAsia" w:ascii="仿宋_GB2312" w:eastAsia="仿宋_GB2312"/>
          <w:sz w:val="28"/>
          <w:szCs w:val="28"/>
        </w:rPr>
        <w:tab/>
      </w:r>
      <w:r>
        <w:rPr>
          <w:rFonts w:hint="eastAsia" w:ascii="仿宋_GB2312" w:eastAsia="仿宋_GB2312"/>
          <w:sz w:val="28"/>
          <w:szCs w:val="28"/>
        </w:rPr>
        <w:t>24</w:t>
      </w:r>
    </w:p>
    <w:p>
      <w:pPr>
        <w:pStyle w:val="13"/>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三、支出决算表</w:t>
      </w:r>
      <w:r>
        <w:rPr>
          <w:rFonts w:hint="eastAsia" w:ascii="仿宋_GB2312" w:eastAsia="仿宋_GB2312"/>
          <w:sz w:val="28"/>
          <w:szCs w:val="28"/>
        </w:rPr>
        <w:tab/>
      </w:r>
      <w:r>
        <w:rPr>
          <w:rFonts w:hint="eastAsia" w:ascii="仿宋_GB2312" w:eastAsia="仿宋_GB2312"/>
          <w:sz w:val="28"/>
          <w:szCs w:val="28"/>
        </w:rPr>
        <w:t>24</w:t>
      </w:r>
    </w:p>
    <w:p>
      <w:pPr>
        <w:pStyle w:val="13"/>
        <w:adjustRightInd w:val="0"/>
        <w:snapToGrid w:val="0"/>
        <w:spacing w:line="500" w:lineRule="exact"/>
        <w:jc w:val="left"/>
        <w:rPr>
          <w:rFonts w:ascii="仿宋_GB2312" w:eastAsia="仿宋_GB2312"/>
          <w:sz w:val="28"/>
          <w:szCs w:val="28"/>
        </w:rPr>
        <w:sectPr>
          <w:footerReference r:id="rId5" w:type="first"/>
          <w:footerReference r:id="rId3" w:type="default"/>
          <w:footerReference r:id="rId4" w:type="even"/>
          <w:pgSz w:w="11906" w:h="16838"/>
          <w:pgMar w:top="2098" w:right="1474" w:bottom="1985" w:left="1588" w:header="851" w:footer="992" w:gutter="0"/>
          <w:pgNumType w:fmt="numberInDash" w:start="1"/>
          <w:cols w:space="720" w:num="1"/>
          <w:titlePg/>
          <w:docGrid w:type="lines" w:linePitch="312" w:charSpace="0"/>
        </w:sectPr>
      </w:pPr>
    </w:p>
    <w:p>
      <w:pPr>
        <w:pStyle w:val="13"/>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四、财政拨款收入支出决算总表</w:t>
      </w:r>
      <w:r>
        <w:rPr>
          <w:rFonts w:hint="eastAsia" w:ascii="仿宋_GB2312" w:eastAsia="仿宋_GB2312"/>
          <w:sz w:val="28"/>
          <w:szCs w:val="28"/>
        </w:rPr>
        <w:tab/>
      </w:r>
      <w:r>
        <w:rPr>
          <w:rFonts w:hint="eastAsia" w:ascii="仿宋_GB2312" w:eastAsia="仿宋_GB2312"/>
          <w:sz w:val="28"/>
          <w:szCs w:val="28"/>
        </w:rPr>
        <w:t>24</w:t>
      </w:r>
    </w:p>
    <w:p>
      <w:pPr>
        <w:pStyle w:val="13"/>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五、财政拨款支出决算明细表</w:t>
      </w:r>
      <w:r>
        <w:rPr>
          <w:rFonts w:hint="eastAsia" w:ascii="仿宋_GB2312" w:eastAsia="仿宋_GB2312"/>
          <w:sz w:val="28"/>
          <w:szCs w:val="28"/>
        </w:rPr>
        <w:tab/>
      </w:r>
      <w:r>
        <w:rPr>
          <w:rFonts w:hint="eastAsia" w:ascii="仿宋_GB2312" w:eastAsia="仿宋_GB2312"/>
          <w:sz w:val="28"/>
          <w:szCs w:val="28"/>
        </w:rPr>
        <w:t>24</w:t>
      </w:r>
    </w:p>
    <w:p>
      <w:pPr>
        <w:pStyle w:val="13"/>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六、一般公共预算财政拨款支出决算表</w:t>
      </w:r>
      <w:r>
        <w:rPr>
          <w:rFonts w:hint="eastAsia" w:ascii="仿宋_GB2312" w:eastAsia="仿宋_GB2312"/>
          <w:sz w:val="28"/>
          <w:szCs w:val="28"/>
        </w:rPr>
        <w:tab/>
      </w:r>
      <w:r>
        <w:rPr>
          <w:rFonts w:hint="eastAsia" w:ascii="仿宋_GB2312" w:eastAsia="仿宋_GB2312"/>
          <w:sz w:val="28"/>
          <w:szCs w:val="28"/>
        </w:rPr>
        <w:t>24</w:t>
      </w:r>
    </w:p>
    <w:p>
      <w:pPr>
        <w:pStyle w:val="13"/>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七、一般公共预算财政拨款支出决算明细表</w:t>
      </w:r>
      <w:r>
        <w:rPr>
          <w:rFonts w:hint="eastAsia" w:ascii="仿宋_GB2312" w:eastAsia="仿宋_GB2312"/>
          <w:sz w:val="28"/>
          <w:szCs w:val="28"/>
        </w:rPr>
        <w:tab/>
      </w:r>
      <w:r>
        <w:rPr>
          <w:rFonts w:hint="eastAsia" w:ascii="仿宋_GB2312" w:eastAsia="仿宋_GB2312"/>
          <w:sz w:val="28"/>
          <w:szCs w:val="28"/>
        </w:rPr>
        <w:t>24</w:t>
      </w:r>
    </w:p>
    <w:p>
      <w:pPr>
        <w:pStyle w:val="13"/>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八、一般公共预算财政拨款基本支出决算明细表</w:t>
      </w:r>
      <w:r>
        <w:rPr>
          <w:rFonts w:hint="eastAsia" w:ascii="仿宋_GB2312" w:eastAsia="仿宋_GB2312"/>
          <w:sz w:val="28"/>
          <w:szCs w:val="28"/>
        </w:rPr>
        <w:tab/>
      </w:r>
      <w:r>
        <w:rPr>
          <w:rFonts w:hint="eastAsia" w:ascii="仿宋_GB2312" w:eastAsia="仿宋_GB2312"/>
          <w:sz w:val="28"/>
          <w:szCs w:val="28"/>
        </w:rPr>
        <w:t>24</w:t>
      </w:r>
    </w:p>
    <w:p>
      <w:pPr>
        <w:pStyle w:val="13"/>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九、一般公共预算财政拨款项目支出决算表</w:t>
      </w:r>
      <w:r>
        <w:rPr>
          <w:rFonts w:hint="eastAsia" w:ascii="仿宋_GB2312" w:eastAsia="仿宋_GB2312"/>
          <w:sz w:val="28"/>
          <w:szCs w:val="28"/>
        </w:rPr>
        <w:tab/>
      </w:r>
      <w:r>
        <w:rPr>
          <w:rFonts w:hint="eastAsia" w:ascii="仿宋_GB2312" w:eastAsia="仿宋_GB2312"/>
          <w:sz w:val="28"/>
          <w:szCs w:val="28"/>
        </w:rPr>
        <w:t>24</w:t>
      </w:r>
    </w:p>
    <w:p>
      <w:pPr>
        <w:pStyle w:val="13"/>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十、政府性基金预算财政拨款收入支出决算表</w:t>
      </w:r>
      <w:r>
        <w:rPr>
          <w:rFonts w:hint="eastAsia" w:ascii="仿宋_GB2312" w:eastAsia="仿宋_GB2312"/>
          <w:sz w:val="28"/>
          <w:szCs w:val="28"/>
        </w:rPr>
        <w:tab/>
      </w:r>
      <w:r>
        <w:rPr>
          <w:rFonts w:hint="eastAsia" w:ascii="仿宋_GB2312" w:eastAsia="仿宋_GB2312"/>
          <w:sz w:val="28"/>
          <w:szCs w:val="28"/>
        </w:rPr>
        <w:t>24</w:t>
      </w:r>
    </w:p>
    <w:p>
      <w:pPr>
        <w:pStyle w:val="13"/>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十一、国有资本经营预算财政拨款收入支出决算表</w:t>
      </w:r>
      <w:r>
        <w:rPr>
          <w:rFonts w:hint="eastAsia" w:ascii="仿宋_GB2312" w:eastAsia="仿宋_GB2312"/>
          <w:sz w:val="28"/>
          <w:szCs w:val="28"/>
        </w:rPr>
        <w:tab/>
      </w:r>
      <w:r>
        <w:rPr>
          <w:rFonts w:hint="eastAsia" w:ascii="仿宋_GB2312" w:eastAsia="仿宋_GB2312"/>
          <w:sz w:val="28"/>
          <w:szCs w:val="28"/>
        </w:rPr>
        <w:t>24</w:t>
      </w:r>
    </w:p>
    <w:p>
      <w:pPr>
        <w:pStyle w:val="13"/>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十二、国有资本经营预算财政拨款支出决算表</w:t>
      </w:r>
      <w:r>
        <w:rPr>
          <w:rFonts w:hint="eastAsia" w:ascii="仿宋_GB2312" w:eastAsia="仿宋_GB2312"/>
          <w:sz w:val="28"/>
          <w:szCs w:val="28"/>
        </w:rPr>
        <w:tab/>
      </w:r>
      <w:r>
        <w:rPr>
          <w:rFonts w:hint="eastAsia" w:ascii="仿宋_GB2312" w:eastAsia="仿宋_GB2312"/>
          <w:sz w:val="28"/>
          <w:szCs w:val="28"/>
        </w:rPr>
        <w:t>24</w:t>
      </w:r>
    </w:p>
    <w:p>
      <w:pPr>
        <w:pStyle w:val="13"/>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十三、财政拨款“三公”经费支出决算表</w:t>
      </w:r>
      <w:r>
        <w:rPr>
          <w:rFonts w:hint="eastAsia" w:ascii="仿宋_GB2312" w:eastAsia="仿宋_GB2312"/>
          <w:sz w:val="28"/>
          <w:szCs w:val="28"/>
        </w:rPr>
        <w:tab/>
      </w:r>
      <w:r>
        <w:rPr>
          <w:rFonts w:hint="eastAsia" w:ascii="仿宋_GB2312" w:eastAsia="仿宋_GB2312"/>
          <w:sz w:val="28"/>
          <w:szCs w:val="28"/>
        </w:rPr>
        <w:t>24</w:t>
      </w:r>
    </w:p>
    <w:p>
      <w:pPr>
        <w:widowControl/>
        <w:jc w:val="center"/>
        <w:rPr>
          <w:rFonts w:ascii="仿宋_GB2312" w:hAnsi="黑体" w:eastAsia="仿宋_GB2312"/>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spacing w:line="600" w:lineRule="exact"/>
        <w:jc w:val="center"/>
        <w:rPr>
          <w:rStyle w:val="28"/>
          <w:rFonts w:ascii="方正小标宋_GBK" w:hAnsi="黑体" w:eastAsia="方正小标宋_GBK"/>
          <w:b w:val="0"/>
        </w:rPr>
        <w:sectPr>
          <w:footerReference r:id="rId9" w:type="first"/>
          <w:headerReference r:id="rId6" w:type="default"/>
          <w:footerReference r:id="rId7" w:type="default"/>
          <w:footerReference r:id="rId8" w:type="even"/>
          <w:pgSz w:w="11906" w:h="16838"/>
          <w:pgMar w:top="2098" w:right="1474" w:bottom="1985" w:left="1588" w:header="851" w:footer="1418" w:gutter="0"/>
          <w:pgNumType w:fmt="numberInDash" w:start="1"/>
          <w:cols w:space="425" w:num="1"/>
          <w:titlePg/>
          <w:docGrid w:type="lines" w:linePitch="312" w:charSpace="0"/>
        </w:sectPr>
      </w:pPr>
    </w:p>
    <w:p>
      <w:pPr>
        <w:widowControl/>
        <w:spacing w:line="600" w:lineRule="exact"/>
        <w:jc w:val="center"/>
        <w:rPr>
          <w:rStyle w:val="28"/>
          <w:rFonts w:ascii="方正小标宋_GBK" w:hAnsi="黑体" w:eastAsia="方正小标宋_GBK"/>
          <w:b w:val="0"/>
          <w:bCs w:val="0"/>
        </w:rPr>
      </w:pPr>
      <w:r>
        <w:rPr>
          <w:rStyle w:val="28"/>
          <w:rFonts w:hint="eastAsia" w:ascii="方正小标宋_GBK" w:hAnsi="黑体" w:eastAsia="方正小标宋_GBK"/>
          <w:b w:val="0"/>
        </w:rPr>
        <w:t xml:space="preserve">第一部分 </w:t>
      </w:r>
      <w:r>
        <w:rPr>
          <w:rStyle w:val="28"/>
          <w:rFonts w:hint="eastAsia" w:ascii="方正小标宋_GBK" w:hAnsi="黑体" w:eastAsia="方正小标宋_GBK"/>
          <w:b w:val="0"/>
          <w:lang w:val="en-US" w:eastAsia="zh-CN"/>
        </w:rPr>
        <w:t xml:space="preserve"> </w:t>
      </w:r>
      <w:r>
        <w:rPr>
          <w:rStyle w:val="28"/>
          <w:rFonts w:hint="eastAsia" w:ascii="方正小标宋_GBK" w:hAnsi="黑体" w:eastAsia="方正小标宋_GBK"/>
          <w:b w:val="0"/>
        </w:rPr>
        <w:t>部门概况</w:t>
      </w:r>
      <w:bookmarkEnd w:id="14"/>
      <w:bookmarkEnd w:id="15"/>
    </w:p>
    <w:p>
      <w:pPr>
        <w:spacing w:line="600" w:lineRule="exact"/>
        <w:ind w:firstLine="537" w:firstLineChars="168"/>
        <w:rPr>
          <w:rFonts w:ascii="黑体" w:hAnsi="黑体" w:eastAsia="黑体"/>
          <w:color w:val="000000"/>
          <w:sz w:val="32"/>
          <w:szCs w:val="32"/>
        </w:rPr>
      </w:pPr>
    </w:p>
    <w:p>
      <w:pPr>
        <w:spacing w:line="600" w:lineRule="exact"/>
        <w:ind w:firstLine="537" w:firstLineChars="168"/>
        <w:rPr>
          <w:rFonts w:ascii="黑体" w:hAnsi="黑体" w:eastAsia="黑体"/>
          <w:color w:val="000000"/>
          <w:sz w:val="32"/>
          <w:szCs w:val="32"/>
        </w:rPr>
      </w:pPr>
      <w:r>
        <w:rPr>
          <w:rFonts w:hint="eastAsia" w:ascii="黑体" w:hAnsi="黑体" w:eastAsia="黑体"/>
          <w:color w:val="000000"/>
          <w:sz w:val="32"/>
          <w:szCs w:val="32"/>
        </w:rPr>
        <w:t>一、部门职责</w:t>
      </w:r>
      <w:bookmarkStart w:id="16" w:name="_Toc15377200"/>
      <w:bookmarkStart w:id="17" w:name="_Toc15396601"/>
    </w:p>
    <w:p>
      <w:pPr>
        <w:spacing w:line="600" w:lineRule="exact"/>
        <w:ind w:firstLine="707" w:firstLineChars="221"/>
        <w:rPr>
          <w:rFonts w:ascii="仿宋_GB2312" w:eastAsia="仿宋_GB2312"/>
          <w:sz w:val="32"/>
          <w:szCs w:val="32"/>
        </w:rPr>
      </w:pPr>
      <w:r>
        <w:rPr>
          <w:rFonts w:hint="eastAsia" w:ascii="仿宋_GB2312" w:eastAsia="仿宋_GB2312"/>
          <w:sz w:val="32"/>
          <w:szCs w:val="32"/>
        </w:rPr>
        <w:t>政协攀枝花市西区委员会办公室是政协攀枝花市西区委员会的综合办事机构，承担为区政协履行政治协商、民主监督、参政议政职能服务的各项工作。</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1.负责政协攀枝花市西区委员会全体会议、常委会会议、主席会议和其他重要会议的会务工作；并起草全体会议、常委会会议和其他会议的文字工作以及政协工作的综合性文件。</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2.组织实施区政协组织的调研、视察、考察和其他各种活动的协调服务工作。</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3.负责住区市政协委员活动服务工作和区政协委员活动的服务工作。</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4.负责政协工作的对内对外宣传，收集反映各族各界人士的意见和建议。</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5.密切联系区委办公室、区人大常委会办公室、区政府办公室以及区级各部门，相互配合，协同工作。</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6.负责区政协机关文电处理、文书档案、文印、通讯、机要保密工作。</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7.负责区政协机关各种接待和联络工作。</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8.承办区政协委员和各界人士的来信来访工作，加强与委员联系，为他们履职尽责做好服务工作。</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9.负责区政协机关国有资产管理、财务管理、车辆管理和物品采购管理，负责区政协机关综治、精神文明、卫生、消防和后勤保障及管理工作。</w:t>
      </w:r>
    </w:p>
    <w:p>
      <w:pPr>
        <w:spacing w:line="600" w:lineRule="exact"/>
        <w:ind w:firstLine="707" w:firstLineChars="221"/>
        <w:rPr>
          <w:rFonts w:hint="eastAsia" w:ascii="仿宋_GB2312" w:eastAsia="仿宋_GB2312"/>
          <w:color w:val="auto"/>
          <w:sz w:val="32"/>
          <w:szCs w:val="32"/>
        </w:rPr>
      </w:pPr>
      <w:r>
        <w:rPr>
          <w:rFonts w:hint="eastAsia" w:ascii="仿宋_GB2312" w:eastAsia="仿宋_GB2312"/>
          <w:sz w:val="32"/>
          <w:szCs w:val="32"/>
        </w:rPr>
        <w:t>10.负责区政协机构编制、干部考核、目标管理和区政协机</w:t>
      </w:r>
      <w:r>
        <w:rPr>
          <w:rFonts w:hint="eastAsia" w:ascii="仿宋_GB2312" w:eastAsia="仿宋_GB2312"/>
          <w:color w:val="auto"/>
          <w:sz w:val="32"/>
          <w:szCs w:val="32"/>
        </w:rPr>
        <w:t>关的自身建设工作。</w:t>
      </w:r>
    </w:p>
    <w:p>
      <w:pPr>
        <w:spacing w:line="600" w:lineRule="exact"/>
        <w:ind w:firstLine="707" w:firstLineChars="221"/>
        <w:rPr>
          <w:rFonts w:ascii="仿宋_GB2312" w:eastAsia="仿宋_GB2312"/>
          <w:color w:val="auto"/>
          <w:sz w:val="32"/>
          <w:szCs w:val="32"/>
        </w:rPr>
      </w:pPr>
      <w:r>
        <w:rPr>
          <w:rFonts w:hint="eastAsia" w:ascii="仿宋_GB2312" w:eastAsia="仿宋_GB2312"/>
          <w:color w:val="auto"/>
          <w:sz w:val="32"/>
          <w:szCs w:val="32"/>
        </w:rPr>
        <w:t>11.承担区政协主席、副主席交办的其他事项。</w:t>
      </w:r>
    </w:p>
    <w:p>
      <w:pPr>
        <w:spacing w:line="600" w:lineRule="exact"/>
        <w:ind w:firstLine="707" w:firstLineChars="221"/>
        <w:outlineLvl w:val="1"/>
        <w:rPr>
          <w:rStyle w:val="29"/>
          <w:b w:val="0"/>
          <w:bCs w:val="0"/>
          <w:color w:val="auto"/>
        </w:rPr>
      </w:pPr>
      <w:r>
        <w:rPr>
          <w:rFonts w:hint="eastAsia" w:ascii="黑体" w:hAnsi="黑体" w:eastAsia="黑体"/>
          <w:bCs/>
          <w:color w:val="auto"/>
          <w:sz w:val="32"/>
          <w:szCs w:val="32"/>
        </w:rPr>
        <w:t>二、机</w:t>
      </w:r>
      <w:r>
        <w:rPr>
          <w:rStyle w:val="29"/>
          <w:rFonts w:hint="eastAsia" w:ascii="黑体" w:hAnsi="黑体" w:eastAsia="黑体"/>
          <w:b w:val="0"/>
          <w:bCs w:val="0"/>
          <w:color w:val="auto"/>
        </w:rPr>
        <w:t>构设置</w:t>
      </w:r>
      <w:bookmarkEnd w:id="16"/>
      <w:bookmarkEnd w:id="17"/>
    </w:p>
    <w:p>
      <w:pPr>
        <w:spacing w:line="600" w:lineRule="exact"/>
        <w:ind w:firstLine="707" w:firstLineChars="221"/>
        <w:rPr>
          <w:rFonts w:ascii="仿宋_GB2312" w:eastAsia="仿宋_GB2312"/>
          <w:sz w:val="32"/>
          <w:szCs w:val="32"/>
        </w:rPr>
      </w:pPr>
      <w:r>
        <w:rPr>
          <w:rFonts w:hint="eastAsia" w:ascii="仿宋_GB2312" w:eastAsia="仿宋_GB2312"/>
          <w:color w:val="auto"/>
          <w:sz w:val="32"/>
          <w:szCs w:val="32"/>
        </w:rPr>
        <w:t>政协攀枝花市西区委员会内设二室七委：办公室（挂政策研究室牌子）、提案委员会、经济委员会、人口资源环境委员会、社会和法制委员会、文化文史和学习委员会、教科卫体委员会、委员联络委员会。</w:t>
      </w:r>
    </w:p>
    <w:p>
      <w:pPr>
        <w:spacing w:line="600" w:lineRule="exact"/>
        <w:ind w:firstLine="800" w:firstLineChars="250"/>
        <w:rPr>
          <w:rFonts w:ascii="仿宋_GB2312" w:hAnsi="仿宋" w:eastAsia="仿宋_GB2312"/>
          <w:color w:val="000000"/>
          <w:sz w:val="32"/>
          <w:szCs w:val="32"/>
        </w:rPr>
      </w:pPr>
      <w:r>
        <w:rPr>
          <w:rFonts w:hint="eastAsia" w:ascii="仿宋_GB2312" w:hAnsi="仿宋" w:eastAsia="仿宋_GB2312"/>
          <w:color w:val="000000"/>
          <w:sz w:val="32"/>
          <w:szCs w:val="32"/>
        </w:rPr>
        <w:t>本单位下属二级单位1个，财务未独立。</w:t>
      </w:r>
    </w:p>
    <w:p>
      <w:pPr>
        <w:pStyle w:val="3"/>
        <w:ind w:right="440"/>
        <w:jc w:val="center"/>
        <w:rPr>
          <w:rFonts w:ascii="黑体" w:hAnsi="黑体" w:eastAsia="黑体"/>
          <w:b w:val="0"/>
        </w:rPr>
      </w:pPr>
    </w:p>
    <w:p/>
    <w:p>
      <w:pPr>
        <w:pStyle w:val="2"/>
      </w:pPr>
    </w:p>
    <w:p/>
    <w:p>
      <w:pPr>
        <w:pStyle w:val="2"/>
      </w:pPr>
    </w:p>
    <w:p/>
    <w:p>
      <w:pPr>
        <w:pStyle w:val="3"/>
        <w:spacing w:before="0" w:after="0" w:line="600" w:lineRule="exact"/>
        <w:ind w:right="24"/>
        <w:jc w:val="center"/>
        <w:rPr>
          <w:rStyle w:val="28"/>
          <w:rFonts w:ascii="方正小标宋_GBK" w:hAnsi="黑体" w:eastAsia="方正小标宋_GBK"/>
          <w:b w:val="0"/>
          <w:bCs/>
        </w:rPr>
      </w:pPr>
      <w:r>
        <w:rPr>
          <w:rFonts w:hint="eastAsia" w:ascii="方正小标宋_GBK" w:hAnsi="黑体" w:eastAsia="方正小标宋_GBK"/>
          <w:b w:val="0"/>
        </w:rPr>
        <w:t>第二部分</w:t>
      </w:r>
      <w:r>
        <w:rPr>
          <w:rFonts w:hint="eastAsia" w:ascii="方正小标宋_GBK" w:hAnsi="黑体" w:eastAsia="方正小标宋_GBK"/>
          <w:b w:val="0"/>
          <w:lang w:val="en-US" w:eastAsia="zh-CN"/>
        </w:rPr>
        <w:t xml:space="preserve"> </w:t>
      </w:r>
      <w:r>
        <w:rPr>
          <w:rFonts w:hint="eastAsia" w:ascii="方正小标宋_GBK" w:hAnsi="黑体" w:eastAsia="方正小标宋_GBK"/>
          <w:b w:val="0"/>
        </w:rPr>
        <w:t xml:space="preserve"> 2023年度</w:t>
      </w:r>
      <w:r>
        <w:rPr>
          <w:rStyle w:val="28"/>
          <w:rFonts w:hint="eastAsia" w:ascii="方正小标宋_GBK" w:hAnsi="黑体" w:eastAsia="方正小标宋_GBK"/>
          <w:b w:val="0"/>
          <w:bCs/>
        </w:rPr>
        <w:t>部门决算情况说明</w:t>
      </w:r>
      <w:bookmarkEnd w:id="6"/>
      <w:bookmarkEnd w:id="7"/>
    </w:p>
    <w:p>
      <w:pPr>
        <w:spacing w:line="600" w:lineRule="exact"/>
        <w:rPr>
          <w:rFonts w:ascii="方正小标宋_GBK" w:eastAsia="方正小标宋_GBK"/>
          <w:sz w:val="32"/>
          <w:szCs w:val="32"/>
        </w:rPr>
      </w:pPr>
    </w:p>
    <w:p>
      <w:pPr>
        <w:spacing w:line="600" w:lineRule="exact"/>
        <w:ind w:firstLine="566" w:firstLineChars="177"/>
        <w:outlineLvl w:val="1"/>
        <w:rPr>
          <w:rStyle w:val="29"/>
          <w:rFonts w:ascii="黑体" w:hAnsi="黑体" w:eastAsia="黑体"/>
          <w:b w:val="0"/>
        </w:rPr>
      </w:pPr>
      <w:bookmarkStart w:id="18" w:name="_Toc15377205"/>
      <w:bookmarkStart w:id="19" w:name="_Toc15396603"/>
      <w:r>
        <w:rPr>
          <w:rFonts w:hint="eastAsia" w:ascii="黑体" w:hAnsi="黑体" w:eastAsia="黑体"/>
          <w:sz w:val="32"/>
          <w:szCs w:val="32"/>
        </w:rPr>
        <w:t>一</w:t>
      </w:r>
      <w:r>
        <w:rPr>
          <w:rFonts w:hint="eastAsia" w:ascii="黑体" w:hAnsi="黑体" w:eastAsia="黑体"/>
          <w:bCs/>
          <w:sz w:val="32"/>
          <w:szCs w:val="32"/>
        </w:rPr>
        <w:t>、</w:t>
      </w:r>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pPr>
        <w:spacing w:line="600" w:lineRule="exact"/>
        <w:ind w:firstLine="640" w:firstLineChars="200"/>
        <w:rPr>
          <w:rFonts w:ascii="Times" w:hAnsi="Times" w:eastAsia="仿宋_GB2312"/>
          <w:sz w:val="32"/>
          <w:szCs w:val="32"/>
        </w:rPr>
      </w:pPr>
      <w:r>
        <w:rPr>
          <w:rFonts w:ascii="Times" w:hAnsi="Times" w:eastAsia="仿宋_GB2312"/>
          <w:sz w:val="32"/>
          <w:szCs w:val="32"/>
        </w:rPr>
        <w:t>2023年度收入、支出总计均为716.9万元。与2022年度相比，收入、支出总计增加119.2万元，增加</w:t>
      </w:r>
      <w:r>
        <w:rPr>
          <w:rFonts w:ascii="Times" w:hAnsi="Times" w:eastAsia="仿宋_GB2312"/>
          <w:color w:val="auto"/>
          <w:sz w:val="32"/>
          <w:szCs w:val="32"/>
        </w:rPr>
        <w:t>19.</w:t>
      </w:r>
      <w:r>
        <w:rPr>
          <w:rFonts w:hint="eastAsia" w:ascii="Times" w:hAnsi="Times" w:eastAsia="仿宋_GB2312"/>
          <w:color w:val="auto"/>
          <w:sz w:val="32"/>
          <w:szCs w:val="32"/>
        </w:rPr>
        <w:t>9</w:t>
      </w:r>
      <w:r>
        <w:rPr>
          <w:rFonts w:ascii="Times" w:hAnsi="Times" w:eastAsia="仿宋_GB2312"/>
          <w:color w:val="auto"/>
          <w:sz w:val="32"/>
          <w:szCs w:val="32"/>
        </w:rPr>
        <w:t>4%，</w:t>
      </w:r>
      <w:r>
        <w:rPr>
          <w:rFonts w:ascii="Times" w:hAnsi="Times" w:eastAsia="仿宋_GB2312"/>
          <w:sz w:val="32"/>
          <w:szCs w:val="32"/>
        </w:rPr>
        <w:t>主要变动原因是人员新增，增加了人员经费及公用经费。</w:t>
      </w:r>
    </w:p>
    <w:p>
      <w:pPr>
        <w:spacing w:line="600" w:lineRule="exact"/>
        <w:ind w:firstLine="640" w:firstLineChars="200"/>
        <w:rPr>
          <w:rFonts w:ascii="Times" w:hAnsi="Times" w:eastAsia="仿宋_GB2312"/>
          <w:sz w:val="32"/>
          <w:szCs w:val="32"/>
        </w:rPr>
      </w:pPr>
      <w:r>
        <w:rPr>
          <w:rFonts w:ascii="Times" w:hAnsi="Times" w:eastAsia="仿宋_GB2312"/>
          <w:sz w:val="32"/>
          <w:szCs w:val="32"/>
        </w:rPr>
        <w:drawing>
          <wp:anchor distT="0" distB="0" distL="114300" distR="114300" simplePos="0" relativeHeight="251659264" behindDoc="0" locked="0" layoutInCell="1" allowOverlap="1">
            <wp:simplePos x="0" y="0"/>
            <wp:positionH relativeFrom="column">
              <wp:posOffset>474345</wp:posOffset>
            </wp:positionH>
            <wp:positionV relativeFrom="paragraph">
              <wp:posOffset>499110</wp:posOffset>
            </wp:positionV>
            <wp:extent cx="4574540" cy="2909570"/>
            <wp:effectExtent l="19050" t="0" r="16510" b="508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Times" w:hAnsi="Times" w:eastAsia="仿宋_GB2312"/>
          <w:sz w:val="32"/>
          <w:szCs w:val="32"/>
        </w:rPr>
        <w:t>图1：收入、支出决算总计变动情况图（单位：万元）</w:t>
      </w:r>
    </w:p>
    <w:p>
      <w:pPr>
        <w:spacing w:line="600" w:lineRule="exact"/>
        <w:ind w:firstLine="707" w:firstLineChars="221"/>
        <w:rPr>
          <w:rStyle w:val="29"/>
          <w:rFonts w:ascii="仿宋" w:hAnsi="仿宋" w:eastAsia="仿宋" w:cs="Times New Roman"/>
          <w:b w:val="0"/>
          <w:bCs w:val="0"/>
        </w:rPr>
      </w:pPr>
      <w:bookmarkStart w:id="20" w:name="_Toc15396604"/>
      <w:bookmarkStart w:id="21" w:name="_Toc15377206"/>
      <w:r>
        <w:rPr>
          <w:rFonts w:hint="eastAsia" w:ascii="黑体" w:hAnsi="黑体" w:eastAsia="黑体"/>
          <w:sz w:val="32"/>
          <w:szCs w:val="32"/>
        </w:rPr>
        <w:t>二</w:t>
      </w:r>
      <w:r>
        <w:rPr>
          <w:rFonts w:hint="eastAsia" w:ascii="黑体" w:hAnsi="黑体" w:eastAsia="黑体"/>
          <w:bCs/>
          <w:sz w:val="32"/>
          <w:szCs w:val="32"/>
        </w:rPr>
        <w:t>、</w:t>
      </w:r>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pPr>
        <w:spacing w:line="600" w:lineRule="exact"/>
        <w:ind w:firstLine="640" w:firstLineChars="200"/>
        <w:jc w:val="left"/>
        <w:outlineLvl w:val="1"/>
        <w:rPr>
          <w:rFonts w:ascii="仿宋_GB2312" w:hAnsi="仿宋" w:eastAsia="仿宋_GB2312"/>
          <w:sz w:val="32"/>
          <w:szCs w:val="32"/>
        </w:rPr>
      </w:pPr>
      <w:r>
        <w:rPr>
          <w:rFonts w:hint="eastAsia" w:ascii="仿宋_GB2312" w:hAnsi="仿宋" w:eastAsia="仿宋_GB2312"/>
          <w:sz w:val="32"/>
          <w:szCs w:val="32"/>
        </w:rPr>
        <w:t>2023年度本年收入合计</w:t>
      </w:r>
      <w:r>
        <w:rPr>
          <w:rFonts w:hint="eastAsia" w:ascii="仿宋_GB2312" w:eastAsia="仿宋_GB2312"/>
          <w:sz w:val="32"/>
          <w:szCs w:val="32"/>
        </w:rPr>
        <w:t>691.97</w:t>
      </w:r>
      <w:r>
        <w:rPr>
          <w:rFonts w:hint="eastAsia" w:ascii="仿宋_GB2312" w:hAnsi="仿宋" w:eastAsia="仿宋_GB2312"/>
          <w:sz w:val="32"/>
          <w:szCs w:val="32"/>
        </w:rPr>
        <w:t>万元，其中：一般公共预算财政拨款收入</w:t>
      </w:r>
      <w:r>
        <w:rPr>
          <w:rFonts w:hint="eastAsia" w:ascii="仿宋_GB2312" w:eastAsia="仿宋_GB2312"/>
          <w:sz w:val="32"/>
          <w:szCs w:val="32"/>
        </w:rPr>
        <w:t>682.37</w:t>
      </w:r>
      <w:r>
        <w:rPr>
          <w:rFonts w:hint="eastAsia" w:ascii="仿宋_GB2312" w:hAnsi="仿宋" w:eastAsia="仿宋_GB2312"/>
          <w:sz w:val="32"/>
          <w:szCs w:val="32"/>
        </w:rPr>
        <w:t>万元，占</w:t>
      </w:r>
      <w:r>
        <w:rPr>
          <w:rFonts w:hint="eastAsia" w:ascii="仿宋_GB2312" w:eastAsia="仿宋_GB2312"/>
          <w:sz w:val="32"/>
          <w:szCs w:val="32"/>
        </w:rPr>
        <w:t>98.61</w:t>
      </w:r>
      <w:r>
        <w:rPr>
          <w:rFonts w:hint="eastAsia" w:ascii="仿宋_GB2312" w:hAnsi="仿宋" w:eastAsia="仿宋_GB2312"/>
          <w:sz w:val="32"/>
          <w:szCs w:val="32"/>
        </w:rPr>
        <w:t>%；政府性基金预算财政拨款收入</w:t>
      </w:r>
      <w:r>
        <w:rPr>
          <w:rFonts w:hint="eastAsia" w:ascii="仿宋_GB2312" w:eastAsia="仿宋_GB2312"/>
          <w:sz w:val="32"/>
          <w:szCs w:val="32"/>
        </w:rPr>
        <w:t>9.6</w:t>
      </w:r>
      <w:r>
        <w:rPr>
          <w:rFonts w:hint="eastAsia" w:ascii="仿宋_GB2312" w:hAnsi="仿宋" w:eastAsia="仿宋_GB2312"/>
          <w:sz w:val="32"/>
          <w:szCs w:val="32"/>
        </w:rPr>
        <w:t>万元，占</w:t>
      </w:r>
      <w:r>
        <w:rPr>
          <w:rFonts w:hint="eastAsia" w:ascii="仿宋_GB2312" w:eastAsia="仿宋_GB2312"/>
          <w:color w:val="auto"/>
          <w:sz w:val="32"/>
          <w:szCs w:val="32"/>
        </w:rPr>
        <w:t>1.39</w:t>
      </w:r>
      <w:r>
        <w:rPr>
          <w:rFonts w:hint="eastAsia" w:ascii="仿宋_GB2312" w:hAnsi="仿宋" w:eastAsia="仿宋_GB2312"/>
          <w:color w:val="auto"/>
          <w:sz w:val="32"/>
          <w:szCs w:val="32"/>
        </w:rPr>
        <w:t>%；</w:t>
      </w:r>
      <w:r>
        <w:rPr>
          <w:rFonts w:hint="eastAsia" w:ascii="仿宋_GB2312" w:hAnsi="仿宋" w:eastAsia="仿宋_GB2312"/>
          <w:sz w:val="32"/>
          <w:szCs w:val="32"/>
        </w:rPr>
        <w:t>国有资本经营预算财政拨款收入</w:t>
      </w:r>
      <w:r>
        <w:rPr>
          <w:rFonts w:hint="eastAsia" w:ascii="仿宋_GB2312" w:eastAsia="仿宋_GB2312"/>
          <w:sz w:val="32"/>
          <w:szCs w:val="32"/>
        </w:rPr>
        <w:t>0</w:t>
      </w:r>
      <w:r>
        <w:rPr>
          <w:rFonts w:hint="eastAsia" w:ascii="仿宋_GB2312" w:hAnsi="仿宋" w:eastAsia="仿宋_GB2312"/>
          <w:sz w:val="32"/>
          <w:szCs w:val="32"/>
        </w:rPr>
        <w:t>万元，占</w:t>
      </w:r>
      <w:r>
        <w:rPr>
          <w:rFonts w:hint="eastAsia" w:ascii="仿宋_GB2312" w:eastAsia="仿宋_GB2312"/>
          <w:sz w:val="32"/>
          <w:szCs w:val="32"/>
        </w:rPr>
        <w:t>0</w:t>
      </w:r>
      <w:r>
        <w:rPr>
          <w:rFonts w:hint="eastAsia" w:ascii="仿宋_GB2312" w:hAnsi="仿宋" w:eastAsia="仿宋_GB2312"/>
          <w:sz w:val="32"/>
          <w:szCs w:val="32"/>
        </w:rPr>
        <w:t>%；上级补助收入</w:t>
      </w:r>
      <w:r>
        <w:rPr>
          <w:rFonts w:hint="eastAsia" w:ascii="仿宋_GB2312" w:eastAsia="仿宋_GB2312"/>
          <w:sz w:val="32"/>
          <w:szCs w:val="32"/>
        </w:rPr>
        <w:t>0</w:t>
      </w:r>
      <w:r>
        <w:rPr>
          <w:rFonts w:hint="eastAsia" w:ascii="仿宋_GB2312" w:hAnsi="仿宋" w:eastAsia="仿宋_GB2312"/>
          <w:sz w:val="32"/>
          <w:szCs w:val="32"/>
        </w:rPr>
        <w:t>万元，占</w:t>
      </w:r>
      <w:r>
        <w:rPr>
          <w:rFonts w:hint="eastAsia" w:ascii="仿宋_GB2312" w:eastAsia="仿宋_GB2312"/>
          <w:sz w:val="32"/>
          <w:szCs w:val="32"/>
        </w:rPr>
        <w:t>0</w:t>
      </w:r>
      <w:r>
        <w:rPr>
          <w:rFonts w:hint="eastAsia" w:ascii="仿宋_GB2312" w:hAnsi="仿宋" w:eastAsia="仿宋_GB2312"/>
          <w:sz w:val="32"/>
          <w:szCs w:val="32"/>
        </w:rPr>
        <w:t>%；事业收入</w:t>
      </w:r>
      <w:r>
        <w:rPr>
          <w:rFonts w:hint="eastAsia" w:ascii="仿宋_GB2312" w:eastAsia="仿宋_GB2312"/>
          <w:sz w:val="32"/>
          <w:szCs w:val="32"/>
        </w:rPr>
        <w:t>0</w:t>
      </w:r>
      <w:r>
        <w:rPr>
          <w:rFonts w:hint="eastAsia" w:ascii="仿宋_GB2312" w:hAnsi="仿宋" w:eastAsia="仿宋_GB2312"/>
          <w:sz w:val="32"/>
          <w:szCs w:val="32"/>
        </w:rPr>
        <w:t>万元，占</w:t>
      </w:r>
      <w:r>
        <w:rPr>
          <w:rFonts w:hint="eastAsia" w:ascii="仿宋_GB2312" w:eastAsia="仿宋_GB2312"/>
          <w:sz w:val="32"/>
          <w:szCs w:val="32"/>
        </w:rPr>
        <w:t>0</w:t>
      </w:r>
      <w:r>
        <w:rPr>
          <w:rFonts w:hint="eastAsia" w:ascii="仿宋_GB2312" w:hAnsi="仿宋" w:eastAsia="仿宋_GB2312"/>
          <w:sz w:val="32"/>
          <w:szCs w:val="32"/>
        </w:rPr>
        <w:t>%；经营收入</w:t>
      </w:r>
      <w:r>
        <w:rPr>
          <w:rFonts w:hint="eastAsia" w:ascii="仿宋_GB2312" w:eastAsia="仿宋_GB2312"/>
          <w:sz w:val="32"/>
          <w:szCs w:val="32"/>
        </w:rPr>
        <w:t>0</w:t>
      </w:r>
      <w:r>
        <w:rPr>
          <w:rFonts w:hint="eastAsia" w:ascii="仿宋_GB2312" w:hAnsi="仿宋" w:eastAsia="仿宋_GB2312"/>
          <w:sz w:val="32"/>
          <w:szCs w:val="32"/>
        </w:rPr>
        <w:t>万元，占</w:t>
      </w:r>
      <w:r>
        <w:rPr>
          <w:rFonts w:hint="eastAsia" w:ascii="仿宋_GB2312" w:eastAsia="仿宋_GB2312"/>
          <w:sz w:val="32"/>
          <w:szCs w:val="32"/>
        </w:rPr>
        <w:t>0</w:t>
      </w:r>
      <w:r>
        <w:rPr>
          <w:rFonts w:hint="eastAsia" w:ascii="仿宋_GB2312" w:hAnsi="仿宋" w:eastAsia="仿宋_GB2312"/>
          <w:sz w:val="32"/>
          <w:szCs w:val="32"/>
        </w:rPr>
        <w:t>%；附属单位上缴收入</w:t>
      </w:r>
      <w:r>
        <w:rPr>
          <w:rFonts w:hint="eastAsia" w:ascii="仿宋_GB2312" w:eastAsia="仿宋_GB2312"/>
          <w:sz w:val="32"/>
          <w:szCs w:val="32"/>
        </w:rPr>
        <w:t>0</w:t>
      </w:r>
      <w:r>
        <w:rPr>
          <w:rFonts w:hint="eastAsia" w:ascii="仿宋_GB2312" w:hAnsi="仿宋" w:eastAsia="仿宋_GB2312"/>
          <w:sz w:val="32"/>
          <w:szCs w:val="32"/>
        </w:rPr>
        <w:t>万元，占</w:t>
      </w:r>
      <w:r>
        <w:rPr>
          <w:rFonts w:hint="eastAsia" w:ascii="仿宋_GB2312" w:eastAsia="仿宋_GB2312"/>
          <w:sz w:val="32"/>
          <w:szCs w:val="32"/>
        </w:rPr>
        <w:t>0</w:t>
      </w:r>
      <w:r>
        <w:rPr>
          <w:rFonts w:hint="eastAsia" w:ascii="仿宋_GB2312" w:hAnsi="仿宋" w:eastAsia="仿宋_GB2312"/>
          <w:sz w:val="32"/>
          <w:szCs w:val="32"/>
        </w:rPr>
        <w:t>%；其他收入</w:t>
      </w:r>
      <w:r>
        <w:rPr>
          <w:rFonts w:hint="eastAsia" w:ascii="仿宋_GB2312" w:eastAsia="仿宋_GB2312"/>
          <w:sz w:val="32"/>
          <w:szCs w:val="32"/>
        </w:rPr>
        <w:t>0</w:t>
      </w:r>
      <w:r>
        <w:rPr>
          <w:rFonts w:hint="eastAsia" w:ascii="仿宋_GB2312" w:hAnsi="仿宋" w:eastAsia="仿宋_GB2312"/>
          <w:sz w:val="32"/>
          <w:szCs w:val="32"/>
        </w:rPr>
        <w:t>万元，占</w:t>
      </w:r>
      <w:r>
        <w:rPr>
          <w:rFonts w:hint="eastAsia" w:ascii="仿宋_GB2312" w:eastAsia="仿宋_GB2312"/>
          <w:sz w:val="32"/>
          <w:szCs w:val="32"/>
        </w:rPr>
        <w:t>0</w:t>
      </w:r>
      <w:r>
        <w:rPr>
          <w:rFonts w:hint="eastAsia" w:ascii="仿宋_GB2312" w:hAnsi="仿宋" w:eastAsia="仿宋_GB2312"/>
          <w:sz w:val="32"/>
          <w:szCs w:val="32"/>
        </w:rPr>
        <w:t>%。</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图2：收入决算结构图（单位：万元）</w:t>
      </w:r>
    </w:p>
    <w:p>
      <w:pPr>
        <w:spacing w:line="60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60288" behindDoc="1" locked="0" layoutInCell="1" allowOverlap="1">
            <wp:simplePos x="0" y="0"/>
            <wp:positionH relativeFrom="column">
              <wp:posOffset>266700</wp:posOffset>
            </wp:positionH>
            <wp:positionV relativeFrom="paragraph">
              <wp:posOffset>187325</wp:posOffset>
            </wp:positionV>
            <wp:extent cx="4577080" cy="2249805"/>
            <wp:effectExtent l="19050" t="0" r="13970" b="0"/>
            <wp:wrapTight wrapText="bothSides">
              <wp:wrapPolygon>
                <wp:start x="-90" y="0"/>
                <wp:lineTo x="-90" y="21582"/>
                <wp:lineTo x="21666" y="21582"/>
                <wp:lineTo x="21666" y="0"/>
                <wp:lineTo x="-90" y="0"/>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Style w:val="2"/>
        <w:jc w:val="center"/>
      </w:pPr>
    </w:p>
    <w:p>
      <w:pPr>
        <w:pStyle w:val="27"/>
        <w:spacing w:line="600" w:lineRule="exact"/>
        <w:ind w:left="1288" w:firstLine="0" w:firstLineChars="0"/>
        <w:outlineLvl w:val="1"/>
        <w:rPr>
          <w:rFonts w:ascii="黑体" w:hAnsi="黑体" w:eastAsia="黑体"/>
          <w:sz w:val="32"/>
          <w:szCs w:val="32"/>
        </w:rPr>
      </w:pPr>
      <w:bookmarkStart w:id="22" w:name="_Toc15377207"/>
      <w:bookmarkStart w:id="23" w:name="_Toc15396605"/>
    </w:p>
    <w:p>
      <w:pPr>
        <w:pStyle w:val="27"/>
        <w:spacing w:line="600" w:lineRule="exact"/>
        <w:ind w:left="1288" w:firstLine="0" w:firstLineChars="0"/>
        <w:outlineLvl w:val="1"/>
        <w:rPr>
          <w:rFonts w:ascii="黑体" w:hAnsi="黑体" w:eastAsia="黑体"/>
          <w:sz w:val="32"/>
          <w:szCs w:val="32"/>
        </w:rPr>
      </w:pPr>
    </w:p>
    <w:p>
      <w:pPr>
        <w:pStyle w:val="27"/>
        <w:spacing w:line="600" w:lineRule="exact"/>
        <w:ind w:left="1288" w:firstLine="0" w:firstLineChars="0"/>
        <w:outlineLvl w:val="1"/>
        <w:rPr>
          <w:rFonts w:ascii="黑体" w:hAnsi="黑体" w:eastAsia="黑体"/>
          <w:sz w:val="32"/>
          <w:szCs w:val="32"/>
        </w:rPr>
      </w:pPr>
    </w:p>
    <w:p>
      <w:pPr>
        <w:pStyle w:val="27"/>
        <w:spacing w:line="600" w:lineRule="exact"/>
        <w:ind w:left="1288" w:firstLine="0" w:firstLineChars="0"/>
        <w:outlineLvl w:val="1"/>
        <w:rPr>
          <w:rFonts w:ascii="黑体" w:hAnsi="黑体" w:eastAsia="黑体"/>
          <w:sz w:val="32"/>
          <w:szCs w:val="32"/>
        </w:rPr>
      </w:pPr>
    </w:p>
    <w:p>
      <w:pPr>
        <w:spacing w:line="600" w:lineRule="exact"/>
        <w:ind w:firstLine="707" w:firstLineChars="221"/>
        <w:outlineLvl w:val="1"/>
        <w:rPr>
          <w:rStyle w:val="29"/>
          <w:rFonts w:ascii="黑体" w:hAnsi="黑体" w:eastAsia="黑体"/>
          <w:b w:val="0"/>
        </w:rPr>
      </w:pPr>
      <w:r>
        <w:rPr>
          <w:rFonts w:hint="eastAsia" w:ascii="黑体" w:hAnsi="黑体" w:eastAsia="黑体"/>
          <w:sz w:val="32"/>
          <w:szCs w:val="32"/>
        </w:rPr>
        <w:t>三</w:t>
      </w:r>
      <w:r>
        <w:rPr>
          <w:rFonts w:hint="eastAsia" w:ascii="黑体" w:hAnsi="黑体" w:eastAsia="黑体"/>
          <w:bCs/>
          <w:sz w:val="32"/>
          <w:szCs w:val="32"/>
        </w:rPr>
        <w:t>、</w:t>
      </w:r>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pPr>
        <w:spacing w:line="600" w:lineRule="exact"/>
        <w:ind w:firstLine="640" w:firstLineChars="200"/>
        <w:jc w:val="left"/>
        <w:outlineLvl w:val="1"/>
        <w:rPr>
          <w:rFonts w:ascii="仿宋_GB2312" w:hAnsi="仿宋" w:eastAsia="仿宋_GB2312"/>
          <w:sz w:val="32"/>
          <w:szCs w:val="32"/>
        </w:rPr>
      </w:pPr>
      <w:r>
        <w:rPr>
          <w:rFonts w:hint="eastAsia" w:ascii="仿宋_GB2312" w:hAnsi="仿宋" w:eastAsia="仿宋_GB2312"/>
          <w:sz w:val="32"/>
          <w:szCs w:val="32"/>
        </w:rPr>
        <w:t>2023年度本年支出合计</w:t>
      </w:r>
      <w:r>
        <w:rPr>
          <w:rFonts w:ascii="仿宋_GB2312" w:hAnsi="仿宋" w:eastAsia="仿宋_GB2312"/>
          <w:sz w:val="32"/>
          <w:szCs w:val="32"/>
        </w:rPr>
        <w:t>714.81</w:t>
      </w:r>
      <w:r>
        <w:rPr>
          <w:rFonts w:hint="eastAsia" w:ascii="仿宋_GB2312" w:hAnsi="仿宋" w:eastAsia="仿宋_GB2312"/>
          <w:sz w:val="32"/>
          <w:szCs w:val="32"/>
        </w:rPr>
        <w:t>万元，其中：基本支出</w:t>
      </w:r>
      <w:r>
        <w:rPr>
          <w:rFonts w:ascii="仿宋_GB2312" w:hAnsi="仿宋" w:eastAsia="仿宋_GB2312"/>
          <w:sz w:val="32"/>
          <w:szCs w:val="32"/>
        </w:rPr>
        <w:t>668.27</w:t>
      </w:r>
      <w:r>
        <w:rPr>
          <w:rFonts w:hint="eastAsia" w:ascii="仿宋_GB2312" w:hAnsi="仿宋" w:eastAsia="仿宋_GB2312"/>
          <w:sz w:val="32"/>
          <w:szCs w:val="32"/>
        </w:rPr>
        <w:t>万元，占</w:t>
      </w:r>
      <w:r>
        <w:rPr>
          <w:rFonts w:ascii="仿宋_GB2312" w:hAnsi="仿宋" w:eastAsia="仿宋_GB2312"/>
          <w:color w:val="auto"/>
          <w:sz w:val="32"/>
          <w:szCs w:val="32"/>
        </w:rPr>
        <w:t>93.4</w:t>
      </w:r>
      <w:r>
        <w:rPr>
          <w:rFonts w:hint="eastAsia" w:ascii="仿宋_GB2312" w:hAnsi="仿宋" w:eastAsia="仿宋_GB2312"/>
          <w:color w:val="auto"/>
          <w:sz w:val="32"/>
          <w:szCs w:val="32"/>
        </w:rPr>
        <w:t>9</w:t>
      </w:r>
      <w:r>
        <w:rPr>
          <w:rFonts w:ascii="仿宋_GB2312" w:hAnsi="仿宋" w:eastAsia="仿宋_GB2312"/>
          <w:color w:val="auto"/>
          <w:sz w:val="32"/>
          <w:szCs w:val="32"/>
        </w:rPr>
        <w:t>%</w:t>
      </w:r>
      <w:r>
        <w:rPr>
          <w:rFonts w:hint="eastAsia" w:ascii="仿宋_GB2312" w:hAnsi="仿宋" w:eastAsia="仿宋_GB2312"/>
          <w:sz w:val="32"/>
          <w:szCs w:val="32"/>
        </w:rPr>
        <w:t>；项目支出</w:t>
      </w:r>
      <w:r>
        <w:rPr>
          <w:rFonts w:ascii="仿宋_GB2312" w:hAnsi="仿宋" w:eastAsia="仿宋_GB2312"/>
          <w:sz w:val="32"/>
          <w:szCs w:val="32"/>
        </w:rPr>
        <w:t>46.54</w:t>
      </w:r>
      <w:r>
        <w:rPr>
          <w:rFonts w:hint="eastAsia" w:ascii="仿宋_GB2312" w:hAnsi="仿宋" w:eastAsia="仿宋_GB2312"/>
          <w:sz w:val="32"/>
          <w:szCs w:val="32"/>
        </w:rPr>
        <w:t>万元，占</w:t>
      </w:r>
      <w:r>
        <w:rPr>
          <w:rFonts w:ascii="仿宋_GB2312" w:hAnsi="仿宋" w:eastAsia="仿宋_GB2312"/>
          <w:sz w:val="32"/>
          <w:szCs w:val="32"/>
        </w:rPr>
        <w:t>6.51%</w:t>
      </w:r>
      <w:r>
        <w:rPr>
          <w:rFonts w:hint="eastAsia" w:ascii="仿宋_GB2312" w:hAnsi="仿宋" w:eastAsia="仿宋_GB2312"/>
          <w:sz w:val="32"/>
          <w:szCs w:val="32"/>
        </w:rPr>
        <w:t>；上缴上级支出</w:t>
      </w:r>
      <w:r>
        <w:rPr>
          <w:rFonts w:ascii="仿宋_GB2312" w:hAnsi="仿宋" w:eastAsia="仿宋_GB2312"/>
          <w:sz w:val="32"/>
          <w:szCs w:val="32"/>
        </w:rPr>
        <w:t>0</w:t>
      </w:r>
      <w:r>
        <w:rPr>
          <w:rFonts w:hint="eastAsia" w:ascii="仿宋_GB2312" w:hAnsi="仿宋" w:eastAsia="仿宋_GB2312"/>
          <w:sz w:val="32"/>
          <w:szCs w:val="32"/>
        </w:rPr>
        <w:t>万元，占</w:t>
      </w:r>
      <w:r>
        <w:rPr>
          <w:rFonts w:ascii="仿宋_GB2312" w:hAnsi="仿宋" w:eastAsia="仿宋_GB2312"/>
          <w:sz w:val="32"/>
          <w:szCs w:val="32"/>
        </w:rPr>
        <w:t>0%</w:t>
      </w:r>
      <w:r>
        <w:rPr>
          <w:rFonts w:hint="eastAsia" w:ascii="仿宋_GB2312" w:hAnsi="仿宋" w:eastAsia="仿宋_GB2312"/>
          <w:sz w:val="32"/>
          <w:szCs w:val="32"/>
        </w:rPr>
        <w:t>；经营支出</w:t>
      </w:r>
      <w:r>
        <w:rPr>
          <w:rFonts w:ascii="仿宋_GB2312" w:hAnsi="仿宋" w:eastAsia="仿宋_GB2312"/>
          <w:sz w:val="32"/>
          <w:szCs w:val="32"/>
        </w:rPr>
        <w:t>0</w:t>
      </w:r>
      <w:r>
        <w:rPr>
          <w:rFonts w:hint="eastAsia" w:ascii="仿宋_GB2312" w:hAnsi="仿宋" w:eastAsia="仿宋_GB2312"/>
          <w:sz w:val="32"/>
          <w:szCs w:val="32"/>
        </w:rPr>
        <w:t>万元，占</w:t>
      </w:r>
      <w:r>
        <w:rPr>
          <w:rFonts w:ascii="仿宋_GB2312" w:hAnsi="仿宋" w:eastAsia="仿宋_GB2312"/>
          <w:sz w:val="32"/>
          <w:szCs w:val="32"/>
        </w:rPr>
        <w:t>0%</w:t>
      </w:r>
      <w:r>
        <w:rPr>
          <w:rFonts w:hint="eastAsia" w:ascii="仿宋_GB2312" w:hAnsi="仿宋" w:eastAsia="仿宋_GB2312"/>
          <w:sz w:val="32"/>
          <w:szCs w:val="32"/>
        </w:rPr>
        <w:t>；对附属单位补助支出</w:t>
      </w:r>
      <w:r>
        <w:rPr>
          <w:rFonts w:ascii="仿宋_GB2312" w:hAnsi="仿宋" w:eastAsia="仿宋_GB2312"/>
          <w:sz w:val="32"/>
          <w:szCs w:val="32"/>
        </w:rPr>
        <w:t>0</w:t>
      </w:r>
      <w:r>
        <w:rPr>
          <w:rFonts w:hint="eastAsia" w:ascii="仿宋_GB2312" w:hAnsi="仿宋" w:eastAsia="仿宋_GB2312"/>
          <w:sz w:val="32"/>
          <w:szCs w:val="32"/>
        </w:rPr>
        <w:t>万元，占</w:t>
      </w:r>
      <w:r>
        <w:rPr>
          <w:rFonts w:ascii="仿宋_GB2312" w:hAnsi="仿宋" w:eastAsia="仿宋_GB2312"/>
          <w:sz w:val="32"/>
          <w:szCs w:val="32"/>
        </w:rPr>
        <w:t>0%</w:t>
      </w:r>
      <w:r>
        <w:rPr>
          <w:rFonts w:hint="eastAsia" w:ascii="仿宋_GB2312" w:hAnsi="仿宋" w:eastAsia="仿宋_GB2312"/>
          <w:sz w:val="32"/>
          <w:szCs w:val="32"/>
        </w:rPr>
        <w:t>。</w:t>
      </w:r>
    </w:p>
    <w:p>
      <w:pPr>
        <w:spacing w:line="600" w:lineRule="exact"/>
        <w:ind w:firstLine="640" w:firstLineChars="200"/>
        <w:jc w:val="left"/>
        <w:outlineLvl w:val="1"/>
        <w:rPr>
          <w:rFonts w:ascii="仿宋_GB2312" w:hAnsi="仿宋" w:eastAsia="仿宋_GB2312"/>
          <w:sz w:val="32"/>
          <w:szCs w:val="32"/>
        </w:rPr>
      </w:pPr>
      <w:r>
        <w:rPr>
          <w:rFonts w:hint="eastAsia" w:ascii="仿宋_GB2312" w:hAnsi="仿宋" w:eastAsia="仿宋_GB2312"/>
          <w:sz w:val="32"/>
          <w:szCs w:val="32"/>
        </w:rPr>
        <w:t>图3：支出决算结构图（单位：万元）</w:t>
      </w:r>
    </w:p>
    <w:p>
      <w:pPr>
        <w:spacing w:line="60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61312" behindDoc="0" locked="0" layoutInCell="1" allowOverlap="1">
            <wp:simplePos x="0" y="0"/>
            <wp:positionH relativeFrom="column">
              <wp:posOffset>361950</wp:posOffset>
            </wp:positionH>
            <wp:positionV relativeFrom="paragraph">
              <wp:posOffset>115570</wp:posOffset>
            </wp:positionV>
            <wp:extent cx="4575810" cy="2305685"/>
            <wp:effectExtent l="19050" t="0" r="15240" b="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Style w:val="2"/>
      </w:pPr>
    </w:p>
    <w:p>
      <w:pPr>
        <w:spacing w:line="600" w:lineRule="exact"/>
        <w:ind w:firstLine="640" w:firstLineChars="200"/>
        <w:outlineLvl w:val="1"/>
        <w:rPr>
          <w:rFonts w:ascii="黑体" w:hAnsi="黑体" w:eastAsia="黑体"/>
          <w:sz w:val="32"/>
          <w:szCs w:val="32"/>
        </w:rPr>
      </w:pPr>
      <w:bookmarkStart w:id="24" w:name="_Toc15396606"/>
      <w:bookmarkStart w:id="25" w:name="_Toc15377208"/>
    </w:p>
    <w:p>
      <w:pPr>
        <w:spacing w:line="600" w:lineRule="exact"/>
        <w:ind w:firstLine="640" w:firstLineChars="200"/>
        <w:outlineLvl w:val="1"/>
        <w:rPr>
          <w:rFonts w:ascii="黑体" w:hAnsi="黑体" w:eastAsia="黑体"/>
          <w:sz w:val="32"/>
          <w:szCs w:val="32"/>
        </w:rPr>
      </w:pPr>
    </w:p>
    <w:p>
      <w:pPr>
        <w:spacing w:line="600" w:lineRule="exact"/>
        <w:ind w:firstLine="640" w:firstLineChars="200"/>
        <w:outlineLvl w:val="1"/>
        <w:rPr>
          <w:rFonts w:ascii="黑体" w:hAnsi="黑体" w:eastAsia="黑体"/>
          <w:sz w:val="32"/>
          <w:szCs w:val="32"/>
        </w:rPr>
      </w:pPr>
    </w:p>
    <w:p>
      <w:pPr>
        <w:spacing w:line="600" w:lineRule="exact"/>
        <w:ind w:firstLine="640" w:firstLineChars="200"/>
        <w:jc w:val="right"/>
        <w:outlineLvl w:val="1"/>
        <w:rPr>
          <w:rFonts w:ascii="黑体" w:hAnsi="黑体" w:eastAsia="黑体"/>
          <w:sz w:val="32"/>
          <w:szCs w:val="32"/>
        </w:rPr>
      </w:pPr>
    </w:p>
    <w:p>
      <w:pPr>
        <w:spacing w:line="580" w:lineRule="exact"/>
        <w:ind w:firstLine="640" w:firstLineChars="200"/>
        <w:outlineLvl w:val="1"/>
        <w:rPr>
          <w:rStyle w:val="29"/>
          <w:rFonts w:ascii="黑体" w:hAnsi="黑体" w:eastAsia="黑体"/>
          <w:b w:val="0"/>
        </w:rPr>
      </w:pPr>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pPr>
        <w:spacing w:line="580" w:lineRule="exact"/>
        <w:ind w:firstLine="640" w:firstLineChars="200"/>
        <w:jc w:val="left"/>
        <w:outlineLvl w:val="1"/>
        <w:rPr>
          <w:rFonts w:ascii="仿宋_GB2312" w:hAnsi="仿宋" w:eastAsia="仿宋_GB2312"/>
          <w:sz w:val="32"/>
          <w:szCs w:val="32"/>
        </w:rPr>
      </w:pPr>
      <w:r>
        <w:rPr>
          <w:rFonts w:hint="eastAsia" w:ascii="仿宋_GB2312" w:hAnsi="仿宋" w:eastAsia="仿宋_GB2312"/>
          <w:sz w:val="32"/>
          <w:szCs w:val="32"/>
        </w:rPr>
        <w:t>2023年度财政拨款收入、支出总计均为</w:t>
      </w:r>
      <w:r>
        <w:rPr>
          <w:rFonts w:ascii="仿宋_GB2312" w:hAnsi="仿宋" w:eastAsia="仿宋_GB2312"/>
          <w:sz w:val="32"/>
          <w:szCs w:val="32"/>
        </w:rPr>
        <w:t>714.73</w:t>
      </w:r>
      <w:r>
        <w:rPr>
          <w:rFonts w:hint="eastAsia" w:ascii="仿宋_GB2312" w:hAnsi="仿宋" w:eastAsia="仿宋_GB2312"/>
          <w:sz w:val="32"/>
          <w:szCs w:val="32"/>
        </w:rPr>
        <w:t>万元。与2022年度相比，财政拨款收、支总计各增加119.2万元，增</w:t>
      </w:r>
      <w:r>
        <w:rPr>
          <w:rFonts w:hint="eastAsia" w:ascii="仿宋_GB2312" w:hAnsi="仿宋" w:eastAsia="仿宋_GB2312"/>
          <w:color w:val="auto"/>
          <w:sz w:val="32"/>
          <w:szCs w:val="32"/>
        </w:rPr>
        <w:t>长20.02</w:t>
      </w:r>
      <w:r>
        <w:rPr>
          <w:rFonts w:ascii="仿宋_GB2312" w:hAnsi="仿宋" w:eastAsia="仿宋_GB2312"/>
          <w:color w:val="auto"/>
          <w:sz w:val="32"/>
          <w:szCs w:val="32"/>
        </w:rPr>
        <w:t>%</w:t>
      </w:r>
      <w:r>
        <w:rPr>
          <w:rFonts w:hint="eastAsia" w:ascii="仿宋_GB2312" w:hAnsi="仿宋" w:eastAsia="仿宋_GB2312"/>
          <w:sz w:val="32"/>
          <w:szCs w:val="32"/>
        </w:rPr>
        <w:t>。主要变动原因是人员工资正常增长，保险缴费基数调增。</w:t>
      </w:r>
    </w:p>
    <w:p>
      <w:pPr>
        <w:spacing w:line="580" w:lineRule="exact"/>
        <w:ind w:firstLine="640" w:firstLineChars="200"/>
        <w:jc w:val="left"/>
        <w:outlineLvl w:val="1"/>
        <w:rPr>
          <w:rFonts w:ascii="仿宋_GB2312" w:hAnsi="仿宋" w:eastAsia="仿宋_GB2312"/>
          <w:sz w:val="32"/>
          <w:szCs w:val="32"/>
        </w:rPr>
      </w:pPr>
      <w:r>
        <w:rPr>
          <w:rFonts w:hint="eastAsia" w:ascii="仿宋_GB2312" w:hAnsi="仿宋" w:eastAsia="仿宋_GB2312"/>
          <w:sz w:val="32"/>
          <w:szCs w:val="32"/>
        </w:rPr>
        <w:t>图4：财政拨款收、支决算总计变动表（单位：万元）</w:t>
      </w:r>
    </w:p>
    <w:p>
      <w:pPr>
        <w:pStyle w:val="2"/>
        <w:jc w:val="center"/>
      </w:pPr>
      <w:r>
        <w:drawing>
          <wp:inline distT="0" distB="0" distL="0" distR="0">
            <wp:extent cx="4578985" cy="2814320"/>
            <wp:effectExtent l="19050" t="0" r="11678" b="4638"/>
            <wp:docPr id="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ind w:firstLine="640" w:firstLineChars="200"/>
        <w:outlineLvl w:val="1"/>
        <w:rPr>
          <w:rStyle w:val="29"/>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pPr>
        <w:spacing w:line="600" w:lineRule="exact"/>
        <w:ind w:firstLine="640" w:firstLineChars="200"/>
        <w:outlineLvl w:val="2"/>
        <w:rPr>
          <w:rFonts w:ascii="楷体_GB2312" w:hAnsi="仿宋" w:eastAsia="楷体_GB2312"/>
          <w:sz w:val="32"/>
          <w:szCs w:val="32"/>
        </w:rPr>
      </w:pPr>
      <w:bookmarkStart w:id="28" w:name="_Toc15377210"/>
      <w:r>
        <w:rPr>
          <w:rFonts w:hint="eastAsia" w:ascii="楷体_GB2312" w:hAnsi="仿宋" w:eastAsia="楷体_GB2312"/>
          <w:sz w:val="32"/>
          <w:szCs w:val="32"/>
        </w:rPr>
        <w:t>（一）一般公共预算财政拨款支出决算总体情况</w:t>
      </w:r>
      <w:bookmarkEnd w:id="28"/>
    </w:p>
    <w:p>
      <w:pPr>
        <w:spacing w:line="580" w:lineRule="exact"/>
        <w:ind w:firstLine="640" w:firstLineChars="200"/>
        <w:jc w:val="left"/>
        <w:outlineLvl w:val="1"/>
        <w:rPr>
          <w:rFonts w:ascii="仿宋_GB2312" w:hAnsi="仿宋" w:eastAsia="仿宋_GB2312"/>
          <w:sz w:val="32"/>
          <w:szCs w:val="32"/>
        </w:rPr>
      </w:pPr>
      <w:r>
        <w:rPr>
          <w:rFonts w:hint="eastAsia" w:ascii="仿宋_GB2312" w:hAnsi="仿宋" w:eastAsia="仿宋_GB2312"/>
          <w:sz w:val="32"/>
          <w:szCs w:val="32"/>
        </w:rPr>
        <w:t>2023年度一般公共预算财政拨款支出</w:t>
      </w:r>
      <w:r>
        <w:rPr>
          <w:rFonts w:ascii="仿宋_GB2312" w:hAnsi="仿宋" w:eastAsia="仿宋_GB2312"/>
          <w:sz w:val="32"/>
          <w:szCs w:val="32"/>
        </w:rPr>
        <w:t>694.41</w:t>
      </w:r>
      <w:r>
        <w:rPr>
          <w:rFonts w:hint="eastAsia" w:ascii="仿宋_GB2312" w:hAnsi="仿宋" w:eastAsia="仿宋_GB2312"/>
          <w:sz w:val="32"/>
          <w:szCs w:val="32"/>
        </w:rPr>
        <w:t>万元，占本年支出合计的</w:t>
      </w:r>
      <w:r>
        <w:rPr>
          <w:rFonts w:ascii="仿宋_GB2312" w:hAnsi="仿宋" w:eastAsia="仿宋_GB2312"/>
          <w:color w:val="000000" w:themeColor="text1"/>
          <w:sz w:val="32"/>
          <w:szCs w:val="32"/>
          <w14:textFill>
            <w14:solidFill>
              <w14:schemeClr w14:val="tx1"/>
            </w14:solidFill>
          </w14:textFill>
        </w:rPr>
        <w:t>97.1</w:t>
      </w:r>
      <w:r>
        <w:rPr>
          <w:rFonts w:hint="eastAsia" w:ascii="仿宋_GB2312" w:hAnsi="仿宋" w:eastAsia="仿宋_GB2312"/>
          <w:color w:val="000000" w:themeColor="text1"/>
          <w:sz w:val="32"/>
          <w:szCs w:val="32"/>
          <w14:textFill>
            <w14:solidFill>
              <w14:schemeClr w14:val="tx1"/>
            </w14:solidFill>
          </w14:textFill>
        </w:rPr>
        <w:t>5</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sz w:val="32"/>
          <w:szCs w:val="32"/>
        </w:rPr>
        <w:t>。与2022年度相比，一般公共预算财政拨款支出增加142.71万元，增长25.87</w:t>
      </w:r>
      <w:r>
        <w:rPr>
          <w:rFonts w:ascii="仿宋_GB2312" w:hAnsi="仿宋" w:eastAsia="仿宋_GB2312"/>
          <w:sz w:val="32"/>
          <w:szCs w:val="32"/>
        </w:rPr>
        <w:t>%</w:t>
      </w:r>
      <w:r>
        <w:rPr>
          <w:rFonts w:hint="eastAsia" w:ascii="仿宋_GB2312" w:hAnsi="仿宋" w:eastAsia="仿宋_GB2312"/>
          <w:sz w:val="32"/>
          <w:szCs w:val="32"/>
        </w:rPr>
        <w:t>。主要变动原因是人员经费增长21%；公用经费增长41%。</w:t>
      </w:r>
    </w:p>
    <w:p>
      <w:pPr>
        <w:spacing w:line="580" w:lineRule="exact"/>
        <w:ind w:firstLine="640" w:firstLineChars="200"/>
        <w:jc w:val="left"/>
        <w:outlineLvl w:val="1"/>
        <w:rPr>
          <w:rFonts w:ascii="仿宋_GB2312" w:hAnsi="仿宋" w:eastAsia="仿宋_GB2312"/>
          <w:sz w:val="32"/>
          <w:szCs w:val="32"/>
        </w:rPr>
      </w:pPr>
      <w:r>
        <w:rPr>
          <w:rFonts w:hint="eastAsia" w:ascii="仿宋_GB2312" w:hAnsi="仿宋" w:eastAsia="仿宋_GB2312"/>
          <w:sz w:val="32"/>
          <w:szCs w:val="32"/>
        </w:rPr>
        <w:t>图5：一般公共预算财政拨款支出决算变动情况表（单位：万元）</w:t>
      </w:r>
    </w:p>
    <w:p>
      <w:pPr>
        <w:spacing w:line="600" w:lineRule="exact"/>
        <w:ind w:firstLine="640" w:firstLineChars="200"/>
        <w:rPr>
          <w:rFonts w:ascii="仿宋" w:hAnsi="仿宋" w:eastAsia="仿宋"/>
          <w:sz w:val="32"/>
          <w:szCs w:val="32"/>
        </w:rPr>
      </w:pPr>
      <w:r>
        <w:rPr>
          <w:rFonts w:ascii="仿宋" w:hAnsi="仿宋" w:eastAsia="仿宋"/>
          <w:sz w:val="32"/>
          <w:szCs w:val="32"/>
        </w:rPr>
        <w:drawing>
          <wp:anchor distT="0" distB="0" distL="114300" distR="114300" simplePos="0" relativeHeight="251662336" behindDoc="0" locked="0" layoutInCell="1" allowOverlap="1">
            <wp:simplePos x="0" y="0"/>
            <wp:positionH relativeFrom="column">
              <wp:posOffset>266700</wp:posOffset>
            </wp:positionH>
            <wp:positionV relativeFrom="paragraph">
              <wp:posOffset>75565</wp:posOffset>
            </wp:positionV>
            <wp:extent cx="4573270" cy="2926080"/>
            <wp:effectExtent l="19050" t="0" r="17780" b="7620"/>
            <wp:wrapSquare wrapText="bothSides"/>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spacing w:line="600" w:lineRule="exact"/>
        <w:ind w:firstLine="642" w:firstLineChars="200"/>
        <w:outlineLvl w:val="2"/>
        <w:rPr>
          <w:rFonts w:ascii="仿宋" w:hAnsi="仿宋" w:eastAsia="仿宋"/>
          <w:b/>
          <w:sz w:val="32"/>
          <w:szCs w:val="32"/>
        </w:rPr>
      </w:pPr>
      <w:bookmarkStart w:id="29" w:name="_Toc15377211"/>
    </w:p>
    <w:p>
      <w:pPr>
        <w:spacing w:line="600" w:lineRule="exact"/>
        <w:ind w:firstLine="642" w:firstLineChars="200"/>
        <w:outlineLvl w:val="2"/>
        <w:rPr>
          <w:rFonts w:ascii="仿宋" w:hAnsi="仿宋" w:eastAsia="仿宋"/>
          <w:b/>
          <w:sz w:val="32"/>
          <w:szCs w:val="32"/>
        </w:rPr>
      </w:pPr>
    </w:p>
    <w:p>
      <w:pPr>
        <w:spacing w:line="600" w:lineRule="exact"/>
        <w:ind w:firstLine="642" w:firstLineChars="200"/>
        <w:outlineLvl w:val="2"/>
        <w:rPr>
          <w:rFonts w:ascii="仿宋" w:hAnsi="仿宋" w:eastAsia="仿宋"/>
          <w:b/>
          <w:sz w:val="32"/>
          <w:szCs w:val="32"/>
        </w:rPr>
      </w:pPr>
    </w:p>
    <w:p>
      <w:pPr>
        <w:spacing w:line="600" w:lineRule="exact"/>
        <w:ind w:firstLine="642" w:firstLineChars="200"/>
        <w:outlineLvl w:val="2"/>
        <w:rPr>
          <w:rFonts w:ascii="仿宋" w:hAnsi="仿宋" w:eastAsia="仿宋"/>
          <w:b/>
          <w:sz w:val="32"/>
          <w:szCs w:val="32"/>
        </w:rPr>
      </w:pPr>
    </w:p>
    <w:p>
      <w:pPr>
        <w:spacing w:line="600" w:lineRule="exact"/>
        <w:ind w:firstLine="642" w:firstLineChars="200"/>
        <w:outlineLvl w:val="2"/>
        <w:rPr>
          <w:rFonts w:ascii="仿宋" w:hAnsi="仿宋" w:eastAsia="仿宋"/>
          <w:b/>
          <w:sz w:val="32"/>
          <w:szCs w:val="32"/>
        </w:rPr>
      </w:pPr>
    </w:p>
    <w:p>
      <w:pPr>
        <w:spacing w:line="600" w:lineRule="exact"/>
        <w:ind w:firstLine="642" w:firstLineChars="200"/>
        <w:outlineLvl w:val="2"/>
        <w:rPr>
          <w:rFonts w:ascii="仿宋" w:hAnsi="仿宋" w:eastAsia="仿宋"/>
          <w:b/>
          <w:sz w:val="32"/>
          <w:szCs w:val="32"/>
        </w:rPr>
      </w:pPr>
    </w:p>
    <w:p>
      <w:pPr>
        <w:spacing w:line="600" w:lineRule="exact"/>
        <w:ind w:firstLine="642" w:firstLineChars="200"/>
        <w:outlineLvl w:val="2"/>
        <w:rPr>
          <w:rFonts w:ascii="仿宋" w:hAnsi="仿宋" w:eastAsia="仿宋"/>
          <w:b/>
          <w:sz w:val="32"/>
          <w:szCs w:val="32"/>
        </w:rPr>
      </w:pPr>
    </w:p>
    <w:p>
      <w:pPr>
        <w:spacing w:line="600" w:lineRule="exact"/>
        <w:ind w:firstLine="640" w:firstLineChars="200"/>
        <w:outlineLvl w:val="2"/>
        <w:rPr>
          <w:rFonts w:ascii="仿宋" w:hAnsi="仿宋" w:eastAsia="仿宋"/>
          <w:b/>
          <w:sz w:val="32"/>
          <w:szCs w:val="32"/>
        </w:rPr>
      </w:pPr>
      <w:r>
        <w:rPr>
          <w:rFonts w:hint="eastAsia" w:ascii="楷体_GB2312" w:hAnsi="仿宋" w:eastAsia="楷体_GB2312"/>
          <w:sz w:val="32"/>
          <w:szCs w:val="32"/>
        </w:rPr>
        <w:t>（二）一般公共预算财政拨款支出决算结构情况</w:t>
      </w:r>
      <w:bookmarkEnd w:id="29"/>
    </w:p>
    <w:p>
      <w:pPr>
        <w:spacing w:line="600" w:lineRule="exact"/>
        <w:ind w:firstLine="640" w:firstLineChars="200"/>
        <w:jc w:val="left"/>
        <w:outlineLvl w:val="1"/>
        <w:rPr>
          <w:rFonts w:ascii="仿宋_GB2312" w:hAnsi="仿宋" w:eastAsia="仿宋_GB2312"/>
          <w:color w:val="auto"/>
          <w:sz w:val="32"/>
          <w:szCs w:val="32"/>
        </w:rPr>
      </w:pPr>
      <w:r>
        <w:rPr>
          <w:rFonts w:hint="eastAsia" w:ascii="仿宋_GB2312" w:hAnsi="仿宋" w:eastAsia="仿宋_GB2312"/>
          <w:sz w:val="32"/>
          <w:szCs w:val="32"/>
        </w:rPr>
        <w:t>2023年度一般公共预算财政拨款支出</w:t>
      </w:r>
      <w:r>
        <w:rPr>
          <w:rFonts w:ascii="仿宋_GB2312" w:hAnsi="仿宋" w:eastAsia="仿宋_GB2312"/>
          <w:sz w:val="32"/>
          <w:szCs w:val="32"/>
        </w:rPr>
        <w:t>694.41</w:t>
      </w:r>
      <w:r>
        <w:rPr>
          <w:rFonts w:hint="eastAsia" w:ascii="仿宋_GB2312" w:hAnsi="仿宋" w:eastAsia="仿宋_GB2312"/>
          <w:sz w:val="32"/>
          <w:szCs w:val="32"/>
        </w:rPr>
        <w:t>万元，主要用于以下方面</w:t>
      </w:r>
      <w:r>
        <w:rPr>
          <w:rFonts w:ascii="仿宋_GB2312" w:hAnsi="仿宋" w:eastAsia="仿宋_GB2312"/>
          <w:sz w:val="32"/>
          <w:szCs w:val="32"/>
        </w:rPr>
        <w:t>:</w:t>
      </w:r>
      <w:r>
        <w:rPr>
          <w:rFonts w:hint="eastAsia" w:ascii="仿宋_GB2312" w:hAnsi="仿宋" w:eastAsia="仿宋_GB2312"/>
          <w:sz w:val="32"/>
          <w:szCs w:val="32"/>
        </w:rPr>
        <w:t>一般公共服务支出</w:t>
      </w:r>
      <w:r>
        <w:rPr>
          <w:rFonts w:hint="eastAsia" w:ascii="仿宋_GB2312" w:hAnsi="仿宋" w:eastAsia="仿宋_GB2312"/>
          <w:color w:val="auto"/>
          <w:sz w:val="32"/>
          <w:szCs w:val="32"/>
          <w:lang w:val="en-US" w:eastAsia="zh-CN"/>
        </w:rPr>
        <w:t>508.10</w:t>
      </w:r>
      <w:r>
        <w:rPr>
          <w:rFonts w:hint="eastAsia" w:ascii="仿宋_GB2312" w:hAnsi="仿宋" w:eastAsia="仿宋_GB2312"/>
          <w:color w:val="auto"/>
          <w:sz w:val="32"/>
          <w:szCs w:val="32"/>
        </w:rPr>
        <w:t>万元，</w:t>
      </w:r>
      <w:r>
        <w:rPr>
          <w:rFonts w:hint="eastAsia" w:ascii="仿宋_GB2312" w:hAnsi="仿宋" w:eastAsia="仿宋_GB2312"/>
          <w:color w:val="000000" w:themeColor="text1"/>
          <w:sz w:val="32"/>
          <w:szCs w:val="32"/>
          <w14:textFill>
            <w14:solidFill>
              <w14:schemeClr w14:val="tx1"/>
            </w14:solidFill>
          </w14:textFill>
        </w:rPr>
        <w:t>占73.1</w:t>
      </w:r>
      <w:r>
        <w:rPr>
          <w:rFonts w:hint="eastAsia" w:ascii="仿宋_GB2312" w:hAnsi="仿宋" w:eastAsia="仿宋_GB2312"/>
          <w:color w:val="000000" w:themeColor="text1"/>
          <w:sz w:val="32"/>
          <w:szCs w:val="32"/>
          <w:lang w:val="en-US" w:eastAsia="zh-CN"/>
          <w14:textFill>
            <w14:solidFill>
              <w14:schemeClr w14:val="tx1"/>
            </w14:solidFill>
          </w14:textFill>
        </w:rPr>
        <w:t>8</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auto"/>
          <w:sz w:val="32"/>
          <w:szCs w:val="32"/>
        </w:rPr>
        <w:t>；教育支出0万元，占0</w:t>
      </w:r>
      <w:r>
        <w:rPr>
          <w:rFonts w:ascii="仿宋_GB2312" w:hAnsi="仿宋" w:eastAsia="仿宋_GB2312"/>
          <w:color w:val="auto"/>
          <w:sz w:val="32"/>
          <w:szCs w:val="32"/>
        </w:rPr>
        <w:t>%</w:t>
      </w:r>
      <w:r>
        <w:rPr>
          <w:rFonts w:hint="eastAsia" w:ascii="仿宋_GB2312" w:hAnsi="仿宋" w:eastAsia="仿宋_GB2312"/>
          <w:color w:val="auto"/>
          <w:sz w:val="32"/>
          <w:szCs w:val="32"/>
        </w:rPr>
        <w:t>；科学技术支出0万元，占0</w:t>
      </w:r>
      <w:r>
        <w:rPr>
          <w:rFonts w:ascii="仿宋_GB2312" w:hAnsi="仿宋" w:eastAsia="仿宋_GB2312"/>
          <w:color w:val="auto"/>
          <w:sz w:val="32"/>
          <w:szCs w:val="32"/>
        </w:rPr>
        <w:t>%</w:t>
      </w:r>
      <w:r>
        <w:rPr>
          <w:rFonts w:hint="eastAsia" w:ascii="仿宋_GB2312" w:hAnsi="仿宋" w:eastAsia="仿宋_GB2312"/>
          <w:color w:val="auto"/>
          <w:sz w:val="32"/>
          <w:szCs w:val="32"/>
        </w:rPr>
        <w:t>；文化旅游体育与传媒支出0万元，占0</w:t>
      </w:r>
      <w:r>
        <w:rPr>
          <w:rFonts w:ascii="仿宋_GB2312" w:hAnsi="仿宋" w:eastAsia="仿宋_GB2312"/>
          <w:color w:val="auto"/>
          <w:sz w:val="32"/>
          <w:szCs w:val="32"/>
        </w:rPr>
        <w:t>%</w:t>
      </w:r>
      <w:r>
        <w:rPr>
          <w:rFonts w:hint="eastAsia" w:ascii="仿宋_GB2312" w:hAnsi="仿宋" w:eastAsia="仿宋_GB2312"/>
          <w:color w:val="auto"/>
          <w:sz w:val="32"/>
          <w:szCs w:val="32"/>
        </w:rPr>
        <w:t>；社会保障和就业支出80.35万元，占11.57</w:t>
      </w:r>
      <w:r>
        <w:rPr>
          <w:rFonts w:ascii="仿宋_GB2312" w:hAnsi="仿宋" w:eastAsia="仿宋_GB2312"/>
          <w:color w:val="auto"/>
          <w:sz w:val="32"/>
          <w:szCs w:val="32"/>
        </w:rPr>
        <w:t>%</w:t>
      </w:r>
      <w:r>
        <w:rPr>
          <w:rFonts w:hint="eastAsia" w:ascii="仿宋_GB2312" w:hAnsi="仿宋" w:eastAsia="仿宋_GB2312"/>
          <w:color w:val="auto"/>
          <w:sz w:val="32"/>
          <w:szCs w:val="32"/>
        </w:rPr>
        <w:t>；卫生健康支出58.43万元，占8.41</w:t>
      </w:r>
      <w:r>
        <w:rPr>
          <w:rFonts w:ascii="仿宋_GB2312" w:hAnsi="仿宋" w:eastAsia="仿宋_GB2312"/>
          <w:color w:val="auto"/>
          <w:sz w:val="32"/>
          <w:szCs w:val="32"/>
        </w:rPr>
        <w:t>%</w:t>
      </w:r>
      <w:r>
        <w:rPr>
          <w:rFonts w:hint="eastAsia" w:ascii="仿宋_GB2312" w:hAnsi="仿宋" w:eastAsia="仿宋_GB2312"/>
          <w:color w:val="auto"/>
          <w:sz w:val="32"/>
          <w:szCs w:val="32"/>
        </w:rPr>
        <w:t>；住房保障支出47.53万元，占</w:t>
      </w:r>
      <w:r>
        <w:rPr>
          <w:rFonts w:hint="eastAsia" w:ascii="仿宋_GB2312" w:hAnsi="仿宋" w:eastAsia="仿宋_GB2312"/>
          <w:color w:val="000000" w:themeColor="text1"/>
          <w:sz w:val="32"/>
          <w:szCs w:val="32"/>
          <w14:textFill>
            <w14:solidFill>
              <w14:schemeClr w14:val="tx1"/>
            </w14:solidFill>
          </w14:textFill>
        </w:rPr>
        <w:t>6.8</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ascii="仿宋_GB2312" w:hAnsi="仿宋" w:eastAsia="仿宋_GB2312"/>
          <w:color w:val="auto"/>
          <w:sz w:val="32"/>
          <w:szCs w:val="32"/>
        </w:rPr>
        <w:t>%</w:t>
      </w:r>
      <w:r>
        <w:rPr>
          <w:rFonts w:hint="eastAsia" w:ascii="仿宋_GB2312" w:hAnsi="仿宋" w:eastAsia="仿宋_GB2312"/>
          <w:color w:val="auto"/>
          <w:sz w:val="32"/>
          <w:szCs w:val="32"/>
        </w:rPr>
        <w:t>。</w:t>
      </w:r>
    </w:p>
    <w:p>
      <w:pPr>
        <w:spacing w:line="600" w:lineRule="exact"/>
        <w:ind w:firstLine="640" w:firstLineChars="200"/>
        <w:jc w:val="left"/>
        <w:outlineLvl w:val="1"/>
        <w:rPr>
          <w:rFonts w:ascii="仿宋_GB2312" w:hAnsi="仿宋" w:eastAsia="仿宋_GB2312"/>
          <w:sz w:val="32"/>
          <w:szCs w:val="32"/>
        </w:rPr>
      </w:pPr>
      <w:r>
        <w:rPr>
          <w:rFonts w:hint="eastAsia" w:ascii="仿宋_GB2312" w:hAnsi="仿宋" w:eastAsia="仿宋_GB2312"/>
          <w:sz w:val="32"/>
          <w:szCs w:val="32"/>
        </w:rPr>
        <w:t>（图6：一般公共预算财政拨款支出决算结构）（饼状图）</w:t>
      </w:r>
    </w:p>
    <w:p>
      <w:pPr>
        <w:spacing w:line="600" w:lineRule="exact"/>
        <w:ind w:firstLine="642" w:firstLineChars="200"/>
        <w:outlineLvl w:val="2"/>
        <w:rPr>
          <w:rFonts w:ascii="仿宋" w:hAnsi="仿宋" w:eastAsia="仿宋"/>
          <w:b/>
          <w:sz w:val="32"/>
          <w:szCs w:val="32"/>
        </w:rPr>
      </w:pPr>
      <w:bookmarkStart w:id="30" w:name="_Toc15377212"/>
      <w:r>
        <w:rPr>
          <w:rFonts w:hint="eastAsia" w:ascii="仿宋" w:hAnsi="仿宋" w:eastAsia="仿宋"/>
          <w:b/>
          <w:sz w:val="32"/>
          <w:szCs w:val="32"/>
        </w:rPr>
        <w:drawing>
          <wp:anchor distT="0" distB="0" distL="114300" distR="114300" simplePos="0" relativeHeight="251666432" behindDoc="1" locked="0" layoutInCell="1" allowOverlap="1">
            <wp:simplePos x="0" y="0"/>
            <wp:positionH relativeFrom="column">
              <wp:posOffset>408305</wp:posOffset>
            </wp:positionH>
            <wp:positionV relativeFrom="paragraph">
              <wp:posOffset>144145</wp:posOffset>
            </wp:positionV>
            <wp:extent cx="4577715" cy="1979930"/>
            <wp:effectExtent l="4445" t="5080" r="5715" b="12065"/>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pPr>
        <w:spacing w:line="600" w:lineRule="exact"/>
        <w:ind w:firstLine="642" w:firstLineChars="200"/>
        <w:outlineLvl w:val="2"/>
        <w:rPr>
          <w:rFonts w:ascii="仿宋" w:hAnsi="仿宋" w:eastAsia="仿宋"/>
          <w:b/>
          <w:sz w:val="32"/>
          <w:szCs w:val="32"/>
        </w:rPr>
      </w:pPr>
    </w:p>
    <w:p>
      <w:pPr>
        <w:spacing w:line="600" w:lineRule="exact"/>
        <w:ind w:firstLine="642" w:firstLineChars="200"/>
        <w:outlineLvl w:val="2"/>
        <w:rPr>
          <w:rFonts w:ascii="仿宋" w:hAnsi="仿宋" w:eastAsia="仿宋"/>
          <w:b/>
          <w:sz w:val="32"/>
          <w:szCs w:val="32"/>
        </w:rPr>
      </w:pPr>
    </w:p>
    <w:p>
      <w:pPr>
        <w:spacing w:line="600" w:lineRule="exact"/>
        <w:ind w:firstLine="642" w:firstLineChars="200"/>
        <w:outlineLvl w:val="2"/>
        <w:rPr>
          <w:rFonts w:ascii="仿宋" w:hAnsi="仿宋" w:eastAsia="仿宋"/>
          <w:b/>
          <w:sz w:val="32"/>
          <w:szCs w:val="32"/>
        </w:rPr>
      </w:pPr>
    </w:p>
    <w:p>
      <w:pPr>
        <w:spacing w:line="600" w:lineRule="exact"/>
        <w:ind w:firstLine="642" w:firstLineChars="200"/>
        <w:outlineLvl w:val="2"/>
        <w:rPr>
          <w:rFonts w:ascii="仿宋" w:hAnsi="仿宋" w:eastAsia="仿宋"/>
          <w:b/>
          <w:sz w:val="32"/>
          <w:szCs w:val="32"/>
        </w:rPr>
      </w:pPr>
    </w:p>
    <w:p>
      <w:pPr>
        <w:spacing w:line="640" w:lineRule="exact"/>
        <w:ind w:firstLine="640" w:firstLineChars="200"/>
        <w:outlineLvl w:val="2"/>
        <w:rPr>
          <w:rFonts w:ascii="楷体_GB2312" w:hAnsi="仿宋" w:eastAsia="楷体_GB2312"/>
          <w:sz w:val="32"/>
          <w:szCs w:val="32"/>
        </w:rPr>
      </w:pPr>
      <w:r>
        <w:rPr>
          <w:rFonts w:hint="eastAsia" w:ascii="楷体_GB2312" w:hAnsi="仿宋" w:eastAsia="楷体_GB2312"/>
          <w:sz w:val="32"/>
          <w:szCs w:val="32"/>
        </w:rPr>
        <w:t>（三）一般公共预算财政拨款支出决算具体情况</w:t>
      </w:r>
      <w:bookmarkEnd w:id="30"/>
    </w:p>
    <w:p>
      <w:pPr>
        <w:spacing w:line="640" w:lineRule="exact"/>
        <w:ind w:firstLine="642" w:firstLineChars="200"/>
        <w:outlineLvl w:val="2"/>
        <w:rPr>
          <w:rFonts w:ascii="仿宋_GB2312" w:hAnsi="仿宋" w:eastAsia="仿宋_GB2312"/>
          <w:sz w:val="32"/>
          <w:szCs w:val="32"/>
        </w:rPr>
      </w:pPr>
      <w:bookmarkStart w:id="31" w:name="_Toc15378460"/>
      <w:bookmarkStart w:id="32" w:name="_Toc15377213"/>
      <w:bookmarkStart w:id="33" w:name="_Toc15377444"/>
      <w:r>
        <w:rPr>
          <w:rFonts w:hint="eastAsia" w:ascii="仿宋_GB2312" w:hAnsi="仿宋" w:eastAsia="仿宋_GB2312"/>
          <w:b/>
          <w:sz w:val="32"/>
          <w:szCs w:val="32"/>
        </w:rPr>
        <w:t>2023年度一般公共预算支出决算数为</w:t>
      </w:r>
      <w:r>
        <w:rPr>
          <w:rFonts w:hint="eastAsia" w:ascii="仿宋_GB2312" w:eastAsia="仿宋_GB2312"/>
          <w:sz w:val="32"/>
          <w:szCs w:val="32"/>
        </w:rPr>
        <w:t>694.41</w:t>
      </w:r>
      <w:r>
        <w:rPr>
          <w:rFonts w:hint="eastAsia" w:ascii="仿宋_GB2312" w:hAnsi="仿宋" w:eastAsia="仿宋_GB2312"/>
          <w:sz w:val="32"/>
          <w:szCs w:val="32"/>
        </w:rPr>
        <w:t>，</w:t>
      </w:r>
      <w:r>
        <w:rPr>
          <w:rStyle w:val="18"/>
          <w:rFonts w:hint="eastAsia" w:ascii="仿宋_GB2312" w:hAnsi="仿宋" w:eastAsia="仿宋_GB2312"/>
          <w:bCs/>
          <w:sz w:val="32"/>
          <w:szCs w:val="32"/>
        </w:rPr>
        <w:t>完成预算100%。其中：</w:t>
      </w:r>
      <w:bookmarkEnd w:id="31"/>
      <w:bookmarkEnd w:id="32"/>
      <w:bookmarkEnd w:id="33"/>
    </w:p>
    <w:p>
      <w:pPr>
        <w:spacing w:line="640" w:lineRule="exact"/>
        <w:ind w:firstLine="642" w:firstLineChars="200"/>
        <w:rPr>
          <w:rStyle w:val="18"/>
          <w:rFonts w:ascii="仿宋_GB2312" w:hAnsi="仿宋" w:eastAsia="仿宋_GB2312"/>
          <w:b w:val="0"/>
          <w:bCs/>
          <w:sz w:val="32"/>
          <w:szCs w:val="32"/>
        </w:rPr>
      </w:pPr>
      <w:r>
        <w:rPr>
          <w:rStyle w:val="18"/>
          <w:rFonts w:hint="eastAsia" w:ascii="仿宋_GB2312" w:hAnsi="仿宋" w:eastAsia="仿宋_GB2312"/>
          <w:bCs/>
          <w:sz w:val="32"/>
          <w:szCs w:val="32"/>
        </w:rPr>
        <w:t>1.一般公共服务（类）政协事务（款）行政运行（项）</w:t>
      </w:r>
      <w:r>
        <w:rPr>
          <w:rStyle w:val="18"/>
          <w:rFonts w:hint="eastAsia" w:ascii="仿宋_GB2312" w:hAnsi="仿宋" w:eastAsia="仿宋_GB2312"/>
          <w:b w:val="0"/>
          <w:bCs/>
          <w:sz w:val="32"/>
          <w:szCs w:val="32"/>
        </w:rPr>
        <w:t>支出决算为422.91万元，完成预算100%</w:t>
      </w:r>
      <w:r>
        <w:rPr>
          <w:rStyle w:val="18"/>
          <w:rFonts w:hint="eastAsia" w:ascii="仿宋_GB2312" w:hAnsi="仿宋" w:eastAsia="仿宋_GB2312"/>
          <w:bCs/>
          <w:sz w:val="32"/>
          <w:szCs w:val="32"/>
        </w:rPr>
        <w:t>;一般行政管理事务（项）</w:t>
      </w:r>
      <w:r>
        <w:rPr>
          <w:rStyle w:val="18"/>
          <w:rFonts w:hint="eastAsia" w:ascii="仿宋_GB2312" w:hAnsi="仿宋" w:eastAsia="仿宋_GB2312"/>
          <w:b w:val="0"/>
          <w:bCs/>
          <w:sz w:val="32"/>
          <w:szCs w:val="32"/>
        </w:rPr>
        <w:t>支出决算为21.79万元，完成预算100%</w:t>
      </w:r>
      <w:r>
        <w:rPr>
          <w:rStyle w:val="18"/>
          <w:rFonts w:hint="eastAsia" w:ascii="仿宋_GB2312" w:hAnsi="仿宋" w:eastAsia="仿宋_GB2312"/>
          <w:bCs/>
          <w:sz w:val="32"/>
          <w:szCs w:val="32"/>
        </w:rPr>
        <w:t>;事业运行（项）</w:t>
      </w:r>
      <w:r>
        <w:rPr>
          <w:rStyle w:val="18"/>
          <w:rFonts w:hint="eastAsia" w:ascii="仿宋_GB2312" w:hAnsi="仿宋" w:eastAsia="仿宋_GB2312"/>
          <w:b w:val="0"/>
          <w:bCs/>
          <w:sz w:val="32"/>
          <w:szCs w:val="32"/>
        </w:rPr>
        <w:t>支出决算为58.97万元，完成预算100%</w:t>
      </w:r>
      <w:r>
        <w:rPr>
          <w:rStyle w:val="18"/>
          <w:rFonts w:hint="eastAsia" w:ascii="仿宋_GB2312" w:hAnsi="仿宋" w:eastAsia="仿宋_GB2312"/>
          <w:bCs/>
          <w:sz w:val="32"/>
          <w:szCs w:val="32"/>
        </w:rPr>
        <w:t>;其他政协事务支出（项）</w:t>
      </w:r>
      <w:r>
        <w:rPr>
          <w:rStyle w:val="18"/>
          <w:rFonts w:hint="eastAsia" w:ascii="仿宋_GB2312" w:hAnsi="仿宋" w:eastAsia="仿宋_GB2312"/>
          <w:b w:val="0"/>
          <w:bCs/>
          <w:sz w:val="32"/>
          <w:szCs w:val="32"/>
        </w:rPr>
        <w:t>支出决算为4.44万元，完成预算100%。</w:t>
      </w:r>
    </w:p>
    <w:p>
      <w:pPr>
        <w:spacing w:line="640" w:lineRule="exact"/>
        <w:ind w:firstLine="642" w:firstLineChars="200"/>
        <w:rPr>
          <w:rStyle w:val="18"/>
          <w:rFonts w:ascii="仿宋_GB2312" w:hAnsi="仿宋" w:eastAsia="仿宋_GB2312"/>
          <w:b w:val="0"/>
          <w:bCs/>
          <w:sz w:val="32"/>
          <w:szCs w:val="32"/>
        </w:rPr>
      </w:pPr>
      <w:r>
        <w:rPr>
          <w:rStyle w:val="18"/>
          <w:rFonts w:hint="eastAsia" w:ascii="仿宋_GB2312" w:hAnsi="仿宋" w:eastAsia="仿宋_GB2312"/>
          <w:bCs/>
          <w:sz w:val="32"/>
          <w:szCs w:val="32"/>
        </w:rPr>
        <w:t>2.社会保障和就业（类）行政事业单位养老支出（款）行政单位离退休（项）</w:t>
      </w:r>
      <w:r>
        <w:rPr>
          <w:rStyle w:val="18"/>
          <w:rFonts w:hint="eastAsia" w:ascii="仿宋_GB2312" w:hAnsi="仿宋" w:eastAsia="仿宋_GB2312"/>
          <w:b w:val="0"/>
          <w:bCs/>
          <w:sz w:val="32"/>
          <w:szCs w:val="32"/>
        </w:rPr>
        <w:t>支出决算为14.24万元，完成预算100%</w:t>
      </w:r>
      <w:r>
        <w:rPr>
          <w:rStyle w:val="18"/>
          <w:rFonts w:hint="eastAsia" w:ascii="仿宋_GB2312" w:hAnsi="仿宋" w:eastAsia="仿宋_GB2312"/>
          <w:bCs/>
          <w:sz w:val="32"/>
          <w:szCs w:val="32"/>
        </w:rPr>
        <w:t>;机关事业单位基本养老保险缴费支出（项）</w:t>
      </w:r>
      <w:r>
        <w:rPr>
          <w:rStyle w:val="18"/>
          <w:rFonts w:hint="eastAsia" w:ascii="仿宋_GB2312" w:hAnsi="仿宋" w:eastAsia="仿宋_GB2312"/>
          <w:b w:val="0"/>
          <w:bCs/>
          <w:sz w:val="32"/>
          <w:szCs w:val="32"/>
        </w:rPr>
        <w:t>支出决算为66.11万元，完成预算100% 。</w:t>
      </w:r>
    </w:p>
    <w:p>
      <w:pPr>
        <w:spacing w:line="640" w:lineRule="exact"/>
        <w:ind w:firstLine="642" w:firstLineChars="200"/>
        <w:rPr>
          <w:rFonts w:ascii="仿宋_GB2312" w:hAnsi="仿宋" w:eastAsia="仿宋_GB2312"/>
          <w:b/>
          <w:color w:val="auto"/>
          <w:sz w:val="32"/>
          <w:szCs w:val="32"/>
        </w:rPr>
      </w:pPr>
      <w:r>
        <w:rPr>
          <w:rStyle w:val="18"/>
          <w:rFonts w:hint="eastAsia" w:ascii="仿宋_GB2312" w:hAnsi="仿宋" w:eastAsia="仿宋_GB2312"/>
          <w:bCs/>
          <w:color w:val="auto"/>
          <w:sz w:val="32"/>
          <w:szCs w:val="32"/>
        </w:rPr>
        <w:t>3.</w:t>
      </w:r>
      <w:r>
        <w:rPr>
          <w:rFonts w:hint="eastAsia" w:ascii="仿宋_GB2312" w:hAnsi="仿宋" w:eastAsia="仿宋_GB2312"/>
          <w:b/>
          <w:bCs/>
          <w:color w:val="auto"/>
          <w:sz w:val="32"/>
          <w:szCs w:val="32"/>
        </w:rPr>
        <w:t>卫生健康210</w:t>
      </w:r>
      <w:r>
        <w:rPr>
          <w:rStyle w:val="18"/>
          <w:rFonts w:hint="eastAsia" w:ascii="仿宋_GB2312" w:hAnsi="仿宋" w:eastAsia="仿宋_GB2312"/>
          <w:bCs/>
          <w:color w:val="auto"/>
          <w:sz w:val="32"/>
          <w:szCs w:val="32"/>
        </w:rPr>
        <w:t>（类）行政事业单位医疗（款）行政单位医疗（项）</w:t>
      </w:r>
      <w:r>
        <w:rPr>
          <w:rStyle w:val="18"/>
          <w:rFonts w:hint="eastAsia" w:ascii="仿宋_GB2312" w:hAnsi="仿宋" w:eastAsia="仿宋_GB2312"/>
          <w:b w:val="0"/>
          <w:bCs/>
          <w:color w:val="auto"/>
          <w:sz w:val="32"/>
          <w:szCs w:val="32"/>
        </w:rPr>
        <w:t>支出决算为29.84万元，完成预算100% ;</w:t>
      </w:r>
      <w:r>
        <w:rPr>
          <w:rStyle w:val="18"/>
          <w:rFonts w:hint="eastAsia" w:ascii="仿宋_GB2312" w:hAnsi="仿宋" w:eastAsia="仿宋_GB2312"/>
          <w:bCs/>
          <w:color w:val="auto"/>
          <w:sz w:val="32"/>
          <w:szCs w:val="32"/>
        </w:rPr>
        <w:t>事业单位医疗（项）</w:t>
      </w:r>
      <w:r>
        <w:rPr>
          <w:rStyle w:val="18"/>
          <w:rFonts w:hint="eastAsia" w:ascii="仿宋_GB2312" w:hAnsi="仿宋" w:eastAsia="仿宋_GB2312"/>
          <w:b w:val="0"/>
          <w:bCs/>
          <w:color w:val="auto"/>
          <w:sz w:val="32"/>
          <w:szCs w:val="32"/>
        </w:rPr>
        <w:t>支出决算为3.26万元，完成预算100% ;</w:t>
      </w:r>
      <w:r>
        <w:rPr>
          <w:rFonts w:hint="eastAsia"/>
          <w:color w:val="auto"/>
        </w:rPr>
        <w:t xml:space="preserve"> </w:t>
      </w:r>
      <w:r>
        <w:rPr>
          <w:rStyle w:val="18"/>
          <w:rFonts w:hint="eastAsia" w:ascii="仿宋_GB2312" w:hAnsi="仿宋" w:eastAsia="仿宋_GB2312"/>
          <w:bCs/>
          <w:color w:val="auto"/>
          <w:sz w:val="32"/>
          <w:szCs w:val="32"/>
        </w:rPr>
        <w:t>公务员医疗补助（项）</w:t>
      </w:r>
      <w:r>
        <w:rPr>
          <w:rStyle w:val="18"/>
          <w:rFonts w:hint="eastAsia" w:ascii="仿宋_GB2312" w:hAnsi="仿宋" w:eastAsia="仿宋_GB2312"/>
          <w:b w:val="0"/>
          <w:bCs/>
          <w:color w:val="auto"/>
          <w:sz w:val="32"/>
          <w:szCs w:val="32"/>
        </w:rPr>
        <w:t>支出决算为23.23万元，完成预算100%;其他行政事业单位医疗支出</w:t>
      </w:r>
      <w:r>
        <w:rPr>
          <w:rStyle w:val="18"/>
          <w:rFonts w:hint="eastAsia" w:ascii="仿宋_GB2312" w:hAnsi="仿宋" w:eastAsia="仿宋_GB2312"/>
          <w:bCs/>
          <w:color w:val="auto"/>
          <w:sz w:val="32"/>
          <w:szCs w:val="32"/>
        </w:rPr>
        <w:t>（项）</w:t>
      </w:r>
      <w:r>
        <w:rPr>
          <w:rStyle w:val="18"/>
          <w:rFonts w:hint="eastAsia" w:ascii="仿宋_GB2312" w:hAnsi="仿宋" w:eastAsia="仿宋_GB2312"/>
          <w:b w:val="0"/>
          <w:bCs/>
          <w:color w:val="auto"/>
          <w:sz w:val="32"/>
          <w:szCs w:val="32"/>
        </w:rPr>
        <w:t>支出决算为2.11万元，完成预算100%。</w:t>
      </w:r>
    </w:p>
    <w:p>
      <w:pPr>
        <w:spacing w:line="640" w:lineRule="exact"/>
        <w:ind w:firstLine="642" w:firstLineChars="200"/>
        <w:rPr>
          <w:rFonts w:ascii="仿宋_GB2312" w:hAnsi="仿宋" w:eastAsia="仿宋_GB2312"/>
          <w:b/>
          <w:color w:val="auto"/>
          <w:sz w:val="32"/>
          <w:szCs w:val="32"/>
        </w:rPr>
      </w:pPr>
      <w:r>
        <w:rPr>
          <w:rFonts w:hint="eastAsia" w:ascii="仿宋_GB2312" w:hAnsi="仿宋" w:eastAsia="仿宋_GB2312"/>
          <w:b/>
          <w:color w:val="auto"/>
          <w:sz w:val="32"/>
          <w:szCs w:val="32"/>
        </w:rPr>
        <w:t>4.</w:t>
      </w:r>
      <w:r>
        <w:rPr>
          <w:rFonts w:hint="eastAsia" w:ascii="仿宋_GB2312" w:eastAsia="仿宋_GB2312" w:cs="方正仿宋_GBK"/>
          <w:b/>
          <w:bCs/>
          <w:color w:val="auto"/>
          <w:sz w:val="32"/>
          <w:szCs w:val="32"/>
        </w:rPr>
        <w:t xml:space="preserve"> 住房保障支出</w:t>
      </w:r>
      <w:r>
        <w:rPr>
          <w:rFonts w:hint="eastAsia" w:ascii="仿宋_GB2312" w:hAnsi="仿宋" w:eastAsia="仿宋_GB2312" w:cs="仿宋"/>
          <w:b/>
          <w:bCs/>
          <w:color w:val="auto"/>
          <w:sz w:val="32"/>
          <w:szCs w:val="32"/>
        </w:rPr>
        <w:t>（类）住房改革支出（款）住房公积金（项）：</w:t>
      </w:r>
      <w:r>
        <w:rPr>
          <w:rStyle w:val="18"/>
          <w:rFonts w:hint="eastAsia" w:ascii="仿宋_GB2312" w:hAnsi="仿宋" w:eastAsia="仿宋_GB2312"/>
          <w:b w:val="0"/>
          <w:bCs/>
          <w:color w:val="auto"/>
          <w:sz w:val="32"/>
          <w:szCs w:val="32"/>
        </w:rPr>
        <w:t>支出决算为47.53万元，完成预算100%。</w:t>
      </w:r>
    </w:p>
    <w:p>
      <w:pPr>
        <w:tabs>
          <w:tab w:val="right" w:pos="8306"/>
        </w:tabs>
        <w:spacing w:line="640" w:lineRule="exact"/>
        <w:ind w:firstLine="640"/>
        <w:outlineLvl w:val="1"/>
        <w:rPr>
          <w:rStyle w:val="29"/>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pPr>
        <w:spacing w:line="640" w:lineRule="exact"/>
        <w:ind w:firstLine="645"/>
        <w:rPr>
          <w:rFonts w:ascii="仿宋_GB2312" w:hAnsi="仿宋" w:eastAsia="仿宋_GB2312"/>
          <w:sz w:val="32"/>
          <w:szCs w:val="32"/>
        </w:rPr>
      </w:pPr>
      <w:r>
        <w:rPr>
          <w:rFonts w:hint="eastAsia" w:ascii="仿宋_GB2312" w:hAnsi="仿宋" w:eastAsia="仿宋_GB2312"/>
          <w:sz w:val="32"/>
          <w:szCs w:val="32"/>
        </w:rPr>
        <w:t>2023年度一般公共预算财政拨款基本支出</w:t>
      </w:r>
      <w:r>
        <w:rPr>
          <w:rFonts w:hint="eastAsia" w:ascii="仿宋_GB2312" w:eastAsia="仿宋_GB2312"/>
          <w:color w:val="auto"/>
          <w:sz w:val="32"/>
          <w:szCs w:val="32"/>
        </w:rPr>
        <w:t>668.18</w:t>
      </w:r>
      <w:r>
        <w:rPr>
          <w:rFonts w:hint="eastAsia" w:ascii="仿宋_GB2312" w:hAnsi="仿宋" w:eastAsia="仿宋_GB2312"/>
          <w:color w:val="auto"/>
          <w:sz w:val="32"/>
          <w:szCs w:val="32"/>
        </w:rPr>
        <w:t>万元</w:t>
      </w:r>
      <w:r>
        <w:rPr>
          <w:rFonts w:hint="eastAsia" w:ascii="仿宋_GB2312" w:hAnsi="仿宋" w:eastAsia="仿宋_GB2312"/>
          <w:sz w:val="32"/>
          <w:szCs w:val="32"/>
        </w:rPr>
        <w:t>，其中：</w:t>
      </w:r>
    </w:p>
    <w:p>
      <w:pPr>
        <w:spacing w:line="640" w:lineRule="exact"/>
        <w:ind w:firstLine="645"/>
        <w:rPr>
          <w:rFonts w:ascii="仿宋_GB2312" w:hAnsi="仿宋" w:eastAsia="仿宋_GB2312"/>
          <w:sz w:val="32"/>
          <w:szCs w:val="32"/>
        </w:rPr>
      </w:pPr>
      <w:r>
        <w:rPr>
          <w:rFonts w:hint="eastAsia" w:ascii="仿宋_GB2312" w:hAnsi="仿宋" w:eastAsia="仿宋_GB2312"/>
          <w:sz w:val="32"/>
          <w:szCs w:val="32"/>
        </w:rPr>
        <w:t>人员经费</w:t>
      </w:r>
      <w:r>
        <w:rPr>
          <w:rFonts w:hint="eastAsia" w:ascii="仿宋_GB2312" w:eastAsia="仿宋_GB2312"/>
          <w:sz w:val="32"/>
          <w:szCs w:val="32"/>
        </w:rPr>
        <w:t>610.4</w:t>
      </w:r>
      <w:r>
        <w:rPr>
          <w:rFonts w:hint="eastAsia" w:ascii="仿宋_GB2312" w:hAnsi="仿宋" w:eastAsia="仿宋_GB2312"/>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 w:eastAsia="仿宋_GB2312"/>
          <w:sz w:val="32"/>
          <w:szCs w:val="32"/>
        </w:rPr>
        <w:br w:type="textWrapping"/>
      </w:r>
      <w:r>
        <w:rPr>
          <w:rFonts w:hint="eastAsia" w:ascii="仿宋_GB2312" w:hAnsi="仿宋" w:eastAsia="仿宋_GB2312"/>
          <w:sz w:val="32"/>
          <w:szCs w:val="32"/>
        </w:rPr>
        <w:t>　　公用经费</w:t>
      </w:r>
      <w:r>
        <w:rPr>
          <w:rFonts w:hint="eastAsia" w:ascii="仿宋_GB2312" w:eastAsia="仿宋_GB2312"/>
          <w:sz w:val="32"/>
          <w:szCs w:val="32"/>
        </w:rPr>
        <w:t>57.78</w:t>
      </w:r>
      <w:r>
        <w:rPr>
          <w:rFonts w:hint="eastAsia" w:ascii="仿宋_GB2312" w:hAnsi="仿宋" w:eastAsia="仿宋_GB2312"/>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40" w:lineRule="exact"/>
        <w:ind w:firstLine="640"/>
        <w:outlineLvl w:val="1"/>
        <w:rPr>
          <w:rStyle w:val="29"/>
          <w:rFonts w:ascii="黑体" w:hAnsi="黑体" w:eastAsia="黑体"/>
          <w:b w:val="0"/>
        </w:rPr>
      </w:pPr>
      <w:bookmarkStart w:id="36" w:name="_Toc15377215"/>
      <w:bookmarkStart w:id="37"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6"/>
      <w:bookmarkEnd w:id="37"/>
    </w:p>
    <w:p>
      <w:pPr>
        <w:spacing w:line="640" w:lineRule="exact"/>
        <w:ind w:firstLine="640"/>
        <w:outlineLvl w:val="2"/>
        <w:rPr>
          <w:rFonts w:ascii="楷体_GB2312" w:hAnsi="仿宋" w:eastAsia="楷体_GB2312"/>
          <w:b/>
          <w:sz w:val="32"/>
          <w:szCs w:val="32"/>
        </w:rPr>
      </w:pPr>
      <w:bookmarkStart w:id="38" w:name="_Toc15377216"/>
      <w:r>
        <w:rPr>
          <w:rFonts w:hint="eastAsia" w:ascii="楷体_GB2312" w:hAnsi="仿宋" w:eastAsia="楷体_GB2312"/>
          <w:b/>
          <w:sz w:val="32"/>
          <w:szCs w:val="32"/>
        </w:rPr>
        <w:t>（一）“三公”经费财政拨款支出决算总体情况说明</w:t>
      </w:r>
      <w:bookmarkEnd w:id="38"/>
    </w:p>
    <w:p>
      <w:pPr>
        <w:spacing w:line="640" w:lineRule="exact"/>
        <w:ind w:firstLine="640"/>
        <w:rPr>
          <w:rFonts w:ascii="仿宋_GB2312" w:hAnsi="仿宋" w:eastAsia="仿宋_GB2312"/>
          <w:sz w:val="32"/>
          <w:szCs w:val="32"/>
        </w:rPr>
      </w:pPr>
      <w:r>
        <w:rPr>
          <w:rFonts w:hint="eastAsia" w:ascii="仿宋_GB2312" w:hAnsi="仿宋" w:eastAsia="仿宋_GB2312"/>
          <w:sz w:val="32"/>
          <w:szCs w:val="32"/>
        </w:rPr>
        <w:t>2023年度“三公”经费财政拨款支出决算为</w:t>
      </w:r>
      <w:r>
        <w:rPr>
          <w:rFonts w:hint="eastAsia" w:ascii="仿宋_GB2312" w:eastAsia="仿宋_GB2312"/>
          <w:sz w:val="32"/>
          <w:szCs w:val="32"/>
        </w:rPr>
        <w:t>0.29</w:t>
      </w:r>
      <w:r>
        <w:rPr>
          <w:rFonts w:hint="eastAsia" w:ascii="仿宋_GB2312" w:hAnsi="仿宋" w:eastAsia="仿宋_GB2312"/>
          <w:sz w:val="32"/>
          <w:szCs w:val="32"/>
        </w:rPr>
        <w:t>万元，完成预算</w:t>
      </w:r>
      <w:r>
        <w:rPr>
          <w:rFonts w:hint="eastAsia" w:ascii="仿宋_GB2312" w:hAnsi="仿宋" w:eastAsia="仿宋_GB2312"/>
          <w:color w:val="auto"/>
          <w:sz w:val="32"/>
          <w:szCs w:val="32"/>
        </w:rPr>
        <w:t>100%，</w:t>
      </w:r>
      <w:r>
        <w:rPr>
          <w:rFonts w:hint="eastAsia" w:ascii="仿宋_GB2312" w:hAnsi="仿宋" w:eastAsia="仿宋_GB2312"/>
          <w:sz w:val="32"/>
          <w:szCs w:val="32"/>
        </w:rPr>
        <w:t>较上年度减少0.17万元，下降36.96%。决算数小于预算数的主要原因是认真贯彻落实省、市、区关于过紧日子的要求，厉行节约，</w:t>
      </w:r>
      <w:r>
        <w:rPr>
          <w:rFonts w:hint="eastAsia" w:ascii="仿宋_GB2312" w:hAnsi="仿宋" w:eastAsia="仿宋_GB2312"/>
          <w:sz w:val="32"/>
          <w:szCs w:val="32"/>
          <w:lang w:val="en-US" w:eastAsia="zh-CN"/>
        </w:rPr>
        <w:t>来宾批次减少，</w:t>
      </w:r>
      <w:r>
        <w:rPr>
          <w:rFonts w:hint="eastAsia" w:ascii="仿宋_GB2312" w:hAnsi="仿宋" w:eastAsia="仿宋_GB2312"/>
          <w:sz w:val="32"/>
          <w:szCs w:val="32"/>
        </w:rPr>
        <w:t>从严控制“三公”经费开支。</w:t>
      </w:r>
    </w:p>
    <w:p>
      <w:pPr>
        <w:spacing w:line="640" w:lineRule="exact"/>
        <w:ind w:firstLine="640"/>
        <w:outlineLvl w:val="2"/>
        <w:rPr>
          <w:rFonts w:ascii="楷体_GB2312" w:hAnsi="仿宋" w:eastAsia="楷体_GB2312"/>
          <w:b/>
          <w:sz w:val="32"/>
          <w:szCs w:val="32"/>
        </w:rPr>
      </w:pPr>
      <w:bookmarkStart w:id="39" w:name="_Toc15377217"/>
      <w:r>
        <w:rPr>
          <w:rFonts w:hint="eastAsia" w:ascii="楷体_GB2312" w:hAnsi="仿宋" w:eastAsia="楷体_GB2312"/>
          <w:b/>
          <w:sz w:val="32"/>
          <w:szCs w:val="32"/>
        </w:rPr>
        <w:t>（二）“三公”经费财政拨款支出决算具体情况说明</w:t>
      </w:r>
      <w:bookmarkEnd w:id="39"/>
    </w:p>
    <w:p>
      <w:pPr>
        <w:spacing w:line="640" w:lineRule="exact"/>
        <w:ind w:firstLine="640"/>
        <w:rPr>
          <w:rFonts w:ascii="仿宋_GB2312" w:hAnsi="仿宋" w:eastAsia="仿宋_GB2312"/>
          <w:sz w:val="32"/>
          <w:szCs w:val="32"/>
        </w:rPr>
      </w:pPr>
      <w:r>
        <w:rPr>
          <w:rFonts w:hint="eastAsia" w:ascii="仿宋_GB2312" w:hAnsi="仿宋" w:eastAsia="仿宋_GB2312"/>
          <w:sz w:val="32"/>
          <w:szCs w:val="32"/>
        </w:rPr>
        <w:t>2023年度“三公”经费财政拨款支出决算中，因公出国（境）费支出决算</w:t>
      </w:r>
      <w:r>
        <w:rPr>
          <w:rFonts w:hint="eastAsia" w:ascii="仿宋_GB2312" w:eastAsia="仿宋_GB2312"/>
          <w:sz w:val="32"/>
          <w:szCs w:val="32"/>
        </w:rPr>
        <w:t>0</w:t>
      </w:r>
      <w:r>
        <w:rPr>
          <w:rFonts w:hint="eastAsia" w:ascii="仿宋_GB2312" w:hAnsi="仿宋" w:eastAsia="仿宋_GB2312"/>
          <w:sz w:val="32"/>
          <w:szCs w:val="32"/>
        </w:rPr>
        <w:t>万元，占</w:t>
      </w:r>
      <w:r>
        <w:rPr>
          <w:rFonts w:hint="eastAsia" w:ascii="仿宋_GB2312" w:eastAsia="仿宋_GB2312"/>
          <w:sz w:val="32"/>
          <w:szCs w:val="32"/>
        </w:rPr>
        <w:t>0</w:t>
      </w:r>
      <w:r>
        <w:rPr>
          <w:rFonts w:hint="eastAsia" w:ascii="仿宋_GB2312" w:hAnsi="仿宋" w:eastAsia="仿宋_GB2312"/>
          <w:sz w:val="32"/>
          <w:szCs w:val="32"/>
        </w:rPr>
        <w:t>%；公务用车购置及运行维护费支出决算</w:t>
      </w:r>
      <w:r>
        <w:rPr>
          <w:rFonts w:hint="eastAsia" w:ascii="仿宋_GB2312" w:eastAsia="仿宋_GB2312"/>
          <w:sz w:val="32"/>
          <w:szCs w:val="32"/>
        </w:rPr>
        <w:t>0</w:t>
      </w:r>
      <w:r>
        <w:rPr>
          <w:rFonts w:hint="eastAsia" w:ascii="仿宋_GB2312" w:hAnsi="仿宋" w:eastAsia="仿宋_GB2312"/>
          <w:sz w:val="32"/>
          <w:szCs w:val="32"/>
        </w:rPr>
        <w:t>万元，占</w:t>
      </w:r>
      <w:r>
        <w:rPr>
          <w:rFonts w:hint="eastAsia" w:ascii="仿宋_GB2312" w:eastAsia="仿宋_GB2312"/>
          <w:sz w:val="32"/>
          <w:szCs w:val="32"/>
        </w:rPr>
        <w:t>0</w:t>
      </w:r>
      <w:r>
        <w:rPr>
          <w:rFonts w:hint="eastAsia" w:ascii="仿宋_GB2312" w:hAnsi="仿宋" w:eastAsia="仿宋_GB2312"/>
          <w:sz w:val="32"/>
          <w:szCs w:val="32"/>
        </w:rPr>
        <w:t>%；公务接待费支出决算</w:t>
      </w:r>
      <w:r>
        <w:rPr>
          <w:rFonts w:hint="eastAsia" w:ascii="仿宋_GB2312" w:eastAsia="仿宋_GB2312"/>
          <w:sz w:val="32"/>
          <w:szCs w:val="32"/>
        </w:rPr>
        <w:t>0.29</w:t>
      </w:r>
      <w:r>
        <w:rPr>
          <w:rFonts w:hint="eastAsia" w:ascii="仿宋_GB2312" w:hAnsi="仿宋" w:eastAsia="仿宋_GB2312"/>
          <w:sz w:val="32"/>
          <w:szCs w:val="32"/>
        </w:rPr>
        <w:t>万元，占</w:t>
      </w:r>
      <w:r>
        <w:rPr>
          <w:rFonts w:hint="eastAsia" w:ascii="仿宋_GB2312" w:eastAsia="仿宋_GB2312"/>
          <w:sz w:val="32"/>
          <w:szCs w:val="32"/>
        </w:rPr>
        <w:t>100</w:t>
      </w:r>
      <w:r>
        <w:rPr>
          <w:rFonts w:hint="eastAsia" w:ascii="仿宋_GB2312" w:hAnsi="仿宋" w:eastAsia="仿宋_GB2312"/>
          <w:sz w:val="32"/>
          <w:szCs w:val="32"/>
        </w:rPr>
        <w:t>%。具体情况如下：</w:t>
      </w:r>
    </w:p>
    <w:p>
      <w:pPr>
        <w:spacing w:line="640" w:lineRule="exact"/>
        <w:ind w:firstLine="640"/>
        <w:rPr>
          <w:rFonts w:ascii="仿宋_GB2312" w:hAnsi="仿宋" w:eastAsia="仿宋_GB2312"/>
          <w:sz w:val="32"/>
          <w:szCs w:val="32"/>
        </w:rPr>
      </w:pPr>
      <w:r>
        <w:rPr>
          <w:rFonts w:hint="eastAsia" w:ascii="仿宋_GB2312" w:hAnsi="仿宋" w:eastAsia="仿宋_GB2312"/>
          <w:sz w:val="32"/>
          <w:szCs w:val="32"/>
        </w:rPr>
        <w:t>图7：“三公”经费财政拨款支出结构</w:t>
      </w:r>
    </w:p>
    <w:p>
      <w:pPr>
        <w:pStyle w:val="2"/>
        <w:jc w:val="center"/>
      </w:pPr>
      <w:r>
        <w:drawing>
          <wp:inline distT="0" distB="0" distL="0" distR="0">
            <wp:extent cx="4575175" cy="2289810"/>
            <wp:effectExtent l="19050" t="0" r="15488"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spacing w:line="600" w:lineRule="exact"/>
        <w:ind w:firstLine="640"/>
        <w:rPr>
          <w:rFonts w:ascii="仿宋_GB2312" w:eastAsia="仿宋_GB2312"/>
          <w:b/>
          <w:color w:val="auto"/>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w:t>
      </w:r>
      <w:r>
        <w:rPr>
          <w:rFonts w:hint="eastAsia" w:ascii="仿宋_GB2312" w:eastAsia="仿宋_GB2312"/>
          <w:color w:val="auto"/>
          <w:sz w:val="32"/>
          <w:szCs w:val="32"/>
        </w:rPr>
        <w:t>与2022年度持平。</w:t>
      </w:r>
    </w:p>
    <w:p>
      <w:pPr>
        <w:spacing w:line="600" w:lineRule="exact"/>
        <w:ind w:firstLine="640"/>
        <w:rPr>
          <w:rFonts w:ascii="仿宋_GB2312" w:eastAsia="仿宋_GB2312"/>
          <w:b/>
          <w:color w:val="auto"/>
          <w:sz w:val="32"/>
          <w:szCs w:val="32"/>
        </w:rPr>
      </w:pPr>
      <w:r>
        <w:rPr>
          <w:rFonts w:ascii="仿宋_GB2312" w:eastAsia="仿宋_GB2312"/>
          <w:b/>
          <w:color w:val="auto"/>
          <w:sz w:val="32"/>
          <w:szCs w:val="32"/>
        </w:rPr>
        <w:t>2.</w:t>
      </w:r>
      <w:r>
        <w:rPr>
          <w:rFonts w:hint="eastAsia" w:ascii="仿宋_GB2312" w:eastAsia="仿宋_GB2312"/>
          <w:b/>
          <w:color w:val="auto"/>
          <w:sz w:val="32"/>
          <w:szCs w:val="32"/>
        </w:rPr>
        <w:t>公务用车购置及运行维护费支出</w:t>
      </w:r>
      <w:r>
        <w:rPr>
          <w:color w:val="auto"/>
          <w:sz w:val="32"/>
          <w:szCs w:val="32"/>
        </w:rPr>
        <w:t>0</w:t>
      </w:r>
      <w:r>
        <w:rPr>
          <w:rFonts w:hint="eastAsia" w:ascii="仿宋_GB2312" w:eastAsia="仿宋_GB2312"/>
          <w:color w:val="auto"/>
          <w:sz w:val="32"/>
          <w:szCs w:val="32"/>
        </w:rPr>
        <w:t>万元,</w:t>
      </w:r>
      <w:r>
        <w:rPr>
          <w:rStyle w:val="18"/>
          <w:rFonts w:hint="eastAsia" w:ascii="仿宋" w:hAnsi="仿宋" w:eastAsia="仿宋"/>
          <w:b w:val="0"/>
          <w:bCs/>
          <w:color w:val="auto"/>
          <w:sz w:val="32"/>
          <w:szCs w:val="32"/>
        </w:rPr>
        <w:t>完成预算</w:t>
      </w:r>
      <w:r>
        <w:rPr>
          <w:color w:val="auto"/>
          <w:sz w:val="32"/>
          <w:szCs w:val="32"/>
        </w:rPr>
        <w:t>0</w:t>
      </w:r>
      <w:r>
        <w:rPr>
          <w:rStyle w:val="18"/>
          <w:rFonts w:ascii="仿宋" w:hAnsi="仿宋" w:eastAsia="仿宋"/>
          <w:b w:val="0"/>
          <w:bCs/>
          <w:color w:val="auto"/>
          <w:sz w:val="32"/>
          <w:szCs w:val="32"/>
        </w:rPr>
        <w:t>%</w:t>
      </w:r>
      <w:r>
        <w:rPr>
          <w:rStyle w:val="18"/>
          <w:rFonts w:hint="eastAsia" w:ascii="仿宋" w:hAnsi="仿宋" w:eastAsia="仿宋"/>
          <w:b w:val="0"/>
          <w:bCs/>
          <w:color w:val="auto"/>
          <w:sz w:val="32"/>
          <w:szCs w:val="32"/>
        </w:rPr>
        <w:t>。</w:t>
      </w:r>
      <w:r>
        <w:rPr>
          <w:rFonts w:hint="eastAsia" w:ascii="仿宋_GB2312" w:eastAsia="仿宋_GB2312"/>
          <w:color w:val="auto"/>
          <w:sz w:val="32"/>
          <w:szCs w:val="32"/>
        </w:rPr>
        <w:t>公务用车购置及运行维护费支出决算与2022年度持平。</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万元。全年按规定更新购置公务用车0辆，其中：轿车0辆、金额0万元，越野车0辆、金额0万元，载客汽车0辆、金额0万元0。截至2023年</w:t>
      </w:r>
      <w:r>
        <w:rPr>
          <w:rFonts w:ascii="仿宋_GB2312" w:eastAsia="仿宋_GB2312"/>
          <w:sz w:val="32"/>
          <w:szCs w:val="32"/>
        </w:rPr>
        <w:t>12</w:t>
      </w:r>
      <w:r>
        <w:rPr>
          <w:rFonts w:hint="eastAsia" w:ascii="仿宋_GB2312" w:eastAsia="仿宋_GB2312"/>
          <w:sz w:val="32"/>
          <w:szCs w:val="32"/>
        </w:rPr>
        <w:t>月31日，单位共有公务用车0辆，其中：轿车0辆、越野车0辆、载客汽车0辆。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0.29</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Fonts w:hint="eastAsia" w:ascii="仿宋_GB2312" w:hAnsi="仿宋" w:eastAsia="仿宋_GB2312"/>
          <w:color w:val="auto"/>
          <w:sz w:val="32"/>
          <w:szCs w:val="32"/>
        </w:rPr>
        <w:t>100%</w:t>
      </w:r>
      <w:r>
        <w:rPr>
          <w:rStyle w:val="18"/>
          <w:rFonts w:hint="eastAsia" w:ascii="仿宋" w:hAnsi="仿宋" w:eastAsia="仿宋"/>
          <w:b w:val="0"/>
          <w:bCs/>
          <w:sz w:val="32"/>
          <w:szCs w:val="32"/>
        </w:rPr>
        <w:t>。</w:t>
      </w:r>
      <w:r>
        <w:rPr>
          <w:rFonts w:hint="eastAsia" w:ascii="仿宋_GB2312" w:eastAsia="仿宋_GB2312"/>
          <w:sz w:val="32"/>
          <w:szCs w:val="32"/>
        </w:rPr>
        <w:t>公务接待费支出决算比2022年度减少0.17万元，下降36.96</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rPr>
        <w:t>认真贯彻落实省、市、区关于过紧日子的要求，厉行节约，从严控制“三公”经费开支。</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国内公务接待支出0.29</w:t>
      </w:r>
      <w:r>
        <w:rPr>
          <w:rFonts w:hint="eastAsia" w:ascii="仿宋_GB2312" w:eastAsia="仿宋_GB2312"/>
          <w:sz w:val="32"/>
          <w:szCs w:val="32"/>
        </w:rPr>
        <w:t>万元，主要用于相关部门来我办调研相关工作，国内公务接待4批次，22人次（不包括陪同人员），共计支出0.29万元，具体内容包括：接待市政协调研委员联络站有事来协商小微协商、接待市政协调研西区农文旅整合发展情况等。</w:t>
      </w:r>
    </w:p>
    <w:p>
      <w:pPr>
        <w:spacing w:line="600" w:lineRule="exact"/>
        <w:ind w:firstLine="640"/>
        <w:rPr>
          <w:rFonts w:ascii="仿宋_GB2312" w:eastAsia="仿宋_GB2312"/>
          <w:sz w:val="32"/>
          <w:szCs w:val="32"/>
        </w:rPr>
      </w:pPr>
      <w:r>
        <w:rPr>
          <w:rFonts w:hint="eastAsia" w:ascii="仿宋_GB2312" w:eastAsia="仿宋_GB2312"/>
          <w:sz w:val="32"/>
          <w:szCs w:val="32"/>
        </w:rPr>
        <w:t>外事接待支出0万元。外事接待0批次，0人次（不包括陪同人员），共计支出0万元。</w:t>
      </w:r>
    </w:p>
    <w:p>
      <w:pPr>
        <w:spacing w:line="600" w:lineRule="exact"/>
        <w:ind w:firstLine="640"/>
        <w:outlineLvl w:val="1"/>
        <w:rPr>
          <w:rStyle w:val="29"/>
          <w:rFonts w:ascii="黑体" w:hAnsi="黑体" w:eastAsia="黑体"/>
        </w:rPr>
      </w:pPr>
      <w:bookmarkStart w:id="40" w:name="_Toc15377218"/>
      <w:bookmarkStart w:id="41" w:name="_Toc15396610"/>
      <w:r>
        <w:rPr>
          <w:rFonts w:hint="eastAsia" w:ascii="黑体" w:eastAsia="黑体"/>
          <w:sz w:val="32"/>
          <w:szCs w:val="32"/>
        </w:rPr>
        <w:t>八、</w:t>
      </w:r>
      <w:r>
        <w:rPr>
          <w:rStyle w:val="29"/>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_GB2312" w:eastAsia="仿宋_GB2312"/>
          <w:sz w:val="32"/>
          <w:szCs w:val="32"/>
        </w:rPr>
        <w:t>20.32</w:t>
      </w:r>
      <w:r>
        <w:rPr>
          <w:rFonts w:hint="eastAsia" w:ascii="仿宋_GB2312" w:eastAsia="仿宋_GB2312"/>
          <w:sz w:val="32"/>
          <w:szCs w:val="32"/>
        </w:rPr>
        <w:t>万元。</w:t>
      </w:r>
    </w:p>
    <w:p>
      <w:pPr>
        <w:numPr>
          <w:ilvl w:val="0"/>
          <w:numId w:val="1"/>
        </w:numPr>
        <w:spacing w:line="600" w:lineRule="exact"/>
        <w:ind w:firstLine="640"/>
        <w:outlineLvl w:val="1"/>
        <w:rPr>
          <w:rStyle w:val="29"/>
          <w:rFonts w:ascii="黑体" w:hAnsi="黑体" w:eastAsia="黑体"/>
          <w:b w:val="0"/>
        </w:rPr>
      </w:pPr>
      <w:bookmarkStart w:id="42" w:name="_Toc15396611"/>
      <w:bookmarkStart w:id="43" w:name="_Toc15377219"/>
      <w:r>
        <w:rPr>
          <w:rStyle w:val="29"/>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1"/>
        </w:numPr>
        <w:spacing w:line="600" w:lineRule="exact"/>
        <w:ind w:firstLine="640"/>
        <w:outlineLvl w:val="1"/>
        <w:rPr>
          <w:rStyle w:val="29"/>
          <w:rFonts w:ascii="黑体" w:hAnsi="黑体" w:eastAsia="黑体"/>
          <w:b w:val="0"/>
        </w:rPr>
      </w:pPr>
      <w:bookmarkStart w:id="44" w:name="_Toc15377221"/>
      <w:bookmarkStart w:id="45" w:name="_Toc15396612"/>
      <w:r>
        <w:rPr>
          <w:rStyle w:val="29"/>
          <w:rFonts w:hint="eastAsia" w:ascii="黑体" w:hAnsi="黑体" w:eastAsia="黑体"/>
          <w:b w:val="0"/>
        </w:rPr>
        <w:t>其他重要事项的情况说明</w:t>
      </w:r>
      <w:bookmarkEnd w:id="44"/>
      <w:bookmarkEnd w:id="45"/>
    </w:p>
    <w:p>
      <w:pPr>
        <w:spacing w:line="600" w:lineRule="exact"/>
        <w:ind w:firstLine="640" w:firstLineChars="200"/>
        <w:outlineLvl w:val="2"/>
        <w:rPr>
          <w:rFonts w:ascii="楷体_GB2312" w:hAnsi="仿宋" w:eastAsia="楷体_GB2312"/>
          <w:sz w:val="32"/>
          <w:szCs w:val="32"/>
        </w:rPr>
      </w:pPr>
      <w:bookmarkStart w:id="46" w:name="_Toc15377222"/>
      <w:r>
        <w:rPr>
          <w:rFonts w:hint="eastAsia" w:ascii="楷体_GB2312" w:hAnsi="仿宋" w:eastAsia="楷体_GB2312"/>
          <w:sz w:val="32"/>
          <w:szCs w:val="32"/>
        </w:rPr>
        <w:t>（一）机关运行经费支出情况</w:t>
      </w:r>
      <w:bookmarkEnd w:id="46"/>
    </w:p>
    <w:p>
      <w:pPr>
        <w:spacing w:line="600" w:lineRule="exact"/>
        <w:ind w:firstLine="640"/>
        <w:rPr>
          <w:rFonts w:ascii="仿宋_GB2312" w:eastAsia="仿宋_GB2312"/>
          <w:color w:val="auto"/>
          <w:sz w:val="32"/>
          <w:szCs w:val="32"/>
        </w:rPr>
      </w:pPr>
      <w:r>
        <w:rPr>
          <w:rFonts w:hint="eastAsia" w:ascii="仿宋_GB2312" w:eastAsia="仿宋_GB2312"/>
          <w:color w:val="auto"/>
          <w:sz w:val="32"/>
          <w:szCs w:val="32"/>
        </w:rPr>
        <w:t>2023年度，中国人民政治协商会议攀枝花市西区委员会办公室机关运行经费支出</w:t>
      </w:r>
      <w:r>
        <w:rPr>
          <w:rFonts w:ascii="仿宋_GB2312" w:eastAsia="仿宋_GB2312"/>
          <w:color w:val="auto"/>
          <w:sz w:val="32"/>
          <w:szCs w:val="32"/>
        </w:rPr>
        <w:t>57.78</w:t>
      </w:r>
      <w:r>
        <w:rPr>
          <w:rFonts w:hint="eastAsia" w:ascii="仿宋_GB2312" w:eastAsia="仿宋_GB2312"/>
          <w:color w:val="auto"/>
          <w:sz w:val="32"/>
          <w:szCs w:val="32"/>
        </w:rPr>
        <w:t>万元，比2022年度增加16.9万元，增长41.34</w:t>
      </w:r>
      <w:r>
        <w:rPr>
          <w:rFonts w:ascii="仿宋_GB2312" w:eastAsia="仿宋_GB2312"/>
          <w:color w:val="auto"/>
          <w:sz w:val="32"/>
          <w:szCs w:val="32"/>
        </w:rPr>
        <w:t>%</w:t>
      </w:r>
      <w:r>
        <w:rPr>
          <w:rFonts w:hint="eastAsia" w:ascii="仿宋_GB2312" w:eastAsia="仿宋_GB2312"/>
          <w:color w:val="auto"/>
          <w:sz w:val="32"/>
          <w:szCs w:val="32"/>
        </w:rPr>
        <w:t>。主要原因</w:t>
      </w:r>
      <w:r>
        <w:rPr>
          <w:rFonts w:hint="eastAsia" w:ascii="仿宋_GB2312" w:eastAsia="仿宋_GB2312"/>
          <w:color w:val="auto"/>
          <w:sz w:val="32"/>
          <w:szCs w:val="32"/>
          <w:lang w:eastAsia="zh-CN"/>
        </w:rPr>
        <w:t>：</w:t>
      </w:r>
      <w:r>
        <w:rPr>
          <w:rFonts w:hint="eastAsia" w:ascii="仿宋_GB2312" w:eastAsia="仿宋_GB2312"/>
          <w:color w:val="auto"/>
          <w:sz w:val="32"/>
          <w:szCs w:val="32"/>
        </w:rPr>
        <w:t>为委员履职“提能充电”</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增加外出学习、视察</w:t>
      </w:r>
      <w:r>
        <w:rPr>
          <w:rFonts w:hint="eastAsia" w:ascii="仿宋_GB2312" w:eastAsia="仿宋_GB2312"/>
          <w:color w:val="auto"/>
          <w:sz w:val="32"/>
          <w:szCs w:val="32"/>
        </w:rPr>
        <w:t>。</w:t>
      </w:r>
    </w:p>
    <w:p>
      <w:pPr>
        <w:spacing w:line="600" w:lineRule="exact"/>
        <w:ind w:firstLine="640" w:firstLineChars="200"/>
        <w:outlineLvl w:val="2"/>
        <w:rPr>
          <w:rFonts w:ascii="楷体_GB2312" w:hAnsi="仿宋" w:eastAsia="楷体_GB2312"/>
          <w:color w:val="auto"/>
          <w:sz w:val="32"/>
          <w:szCs w:val="32"/>
        </w:rPr>
      </w:pPr>
      <w:bookmarkStart w:id="47" w:name="_Toc15377223"/>
      <w:r>
        <w:rPr>
          <w:rFonts w:hint="eastAsia" w:ascii="楷体_GB2312" w:hAnsi="仿宋" w:eastAsia="楷体_GB2312"/>
          <w:color w:val="auto"/>
          <w:sz w:val="32"/>
          <w:szCs w:val="32"/>
        </w:rPr>
        <w:t>（二）政府采购支出情况</w:t>
      </w:r>
      <w:bookmarkEnd w:id="47"/>
    </w:p>
    <w:p>
      <w:pPr>
        <w:spacing w:line="600" w:lineRule="exact"/>
        <w:ind w:firstLine="640"/>
        <w:rPr>
          <w:rFonts w:ascii="仿宋_GB2312" w:eastAsia="仿宋_GB2312"/>
          <w:sz w:val="32"/>
          <w:szCs w:val="32"/>
        </w:rPr>
      </w:pPr>
      <w:r>
        <w:rPr>
          <w:rFonts w:hint="eastAsia" w:ascii="仿宋_GB2312" w:eastAsia="仿宋_GB2312"/>
          <w:sz w:val="32"/>
          <w:szCs w:val="32"/>
        </w:rPr>
        <w:t>2023年度，中国人民政治协商会议攀枝花市西区委员会办公室政府采购支出总额</w:t>
      </w:r>
      <w:r>
        <w:rPr>
          <w:rFonts w:ascii="仿宋_GB2312" w:eastAsia="仿宋_GB2312"/>
          <w:sz w:val="32"/>
          <w:szCs w:val="32"/>
        </w:rPr>
        <w:t>0</w:t>
      </w:r>
      <w:r>
        <w:rPr>
          <w:rFonts w:hint="eastAsia" w:ascii="仿宋_GB2312" w:eastAsia="仿宋_GB2312"/>
          <w:sz w:val="32"/>
          <w:szCs w:val="32"/>
        </w:rPr>
        <w:t>.09万元，其中：政府采购货物支出</w:t>
      </w:r>
      <w:r>
        <w:rPr>
          <w:rFonts w:ascii="仿宋_GB2312" w:eastAsia="仿宋_GB2312"/>
          <w:sz w:val="32"/>
          <w:szCs w:val="32"/>
        </w:rPr>
        <w:t>0.</w:t>
      </w:r>
      <w:r>
        <w:rPr>
          <w:rFonts w:hint="eastAsia" w:ascii="仿宋_GB2312" w:eastAsia="仿宋_GB2312"/>
          <w:sz w:val="32"/>
          <w:szCs w:val="32"/>
        </w:rPr>
        <w:t>09万元、政府采购工程支出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万元。主要用于办公设备购置。授予中小企业合同金额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pPr>
        <w:spacing w:line="600" w:lineRule="exact"/>
        <w:ind w:firstLine="640" w:firstLineChars="200"/>
        <w:outlineLvl w:val="2"/>
        <w:rPr>
          <w:rFonts w:ascii="仿宋" w:hAnsi="仿宋" w:eastAsia="仿宋"/>
          <w:b/>
          <w:sz w:val="32"/>
          <w:szCs w:val="32"/>
        </w:rPr>
      </w:pPr>
      <w:bookmarkStart w:id="48" w:name="_Toc15377224"/>
      <w:r>
        <w:rPr>
          <w:rFonts w:hint="eastAsia" w:ascii="楷体_GB2312" w:hAnsi="仿宋" w:eastAsia="楷体_GB2312"/>
          <w:sz w:val="32"/>
          <w:szCs w:val="32"/>
        </w:rPr>
        <w:t>（三）国有资产占有使用情况</w:t>
      </w:r>
      <w:bookmarkEnd w:id="48"/>
    </w:p>
    <w:p>
      <w:pPr>
        <w:spacing w:line="600" w:lineRule="exact"/>
        <w:ind w:firstLine="640"/>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日，中国人民政治协商会议攀枝花市西区委员会办公室共有车辆</w:t>
      </w:r>
      <w:r>
        <w:rPr>
          <w:rFonts w:ascii="仿宋_GB2312" w:eastAsia="仿宋_GB2312"/>
          <w:sz w:val="32"/>
          <w:szCs w:val="32"/>
        </w:rPr>
        <w:t>0</w:t>
      </w:r>
      <w:r>
        <w:rPr>
          <w:rFonts w:hint="eastAsia" w:ascii="仿宋_GB2312" w:eastAsia="仿宋_GB2312"/>
          <w:sz w:val="32"/>
          <w:szCs w:val="32"/>
        </w:rPr>
        <w:t>辆，其中：主要领导干部用车0辆、机要通信用车0辆、应急保障用车0辆、其他用车0辆。单价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sz w:val="32"/>
          <w:szCs w:val="32"/>
        </w:rPr>
        <w:t>0</w:t>
      </w:r>
      <w:r>
        <w:rPr>
          <w:rFonts w:hint="eastAsia" w:ascii="仿宋_GB2312" w:eastAsia="仿宋_GB2312"/>
          <w:sz w:val="32"/>
          <w:szCs w:val="32"/>
        </w:rPr>
        <w:t>台（套）。</w:t>
      </w:r>
    </w:p>
    <w:p>
      <w:pPr>
        <w:spacing w:line="600" w:lineRule="exact"/>
        <w:ind w:firstLine="640" w:firstLineChars="200"/>
        <w:outlineLvl w:val="2"/>
        <w:rPr>
          <w:rFonts w:ascii="楷体_GB2312" w:hAnsi="仿宋" w:eastAsia="楷体_GB2312"/>
          <w:sz w:val="32"/>
          <w:szCs w:val="32"/>
        </w:rPr>
      </w:pPr>
      <w:r>
        <w:rPr>
          <w:rFonts w:hint="eastAsia" w:ascii="楷体_GB2312" w:hAnsi="仿宋" w:eastAsia="楷体_GB2312"/>
          <w:sz w:val="32"/>
          <w:szCs w:val="32"/>
        </w:rPr>
        <w:t>（四）预算绩效管理情况</w:t>
      </w:r>
    </w:p>
    <w:p>
      <w:pPr>
        <w:spacing w:line="600" w:lineRule="exact"/>
        <w:ind w:firstLine="640"/>
        <w:rPr>
          <w:rFonts w:ascii="仿宋_GB2312" w:eastAsia="仿宋_GB2312"/>
          <w:sz w:val="32"/>
          <w:szCs w:val="32"/>
        </w:rPr>
      </w:pPr>
      <w:r>
        <w:rPr>
          <w:rFonts w:hint="eastAsia" w:ascii="仿宋_GB2312" w:eastAsia="仿宋_GB2312"/>
          <w:sz w:val="32"/>
          <w:szCs w:val="32"/>
        </w:rPr>
        <w:t>根据预算绩效管理要求，本部门在2023年度预算编制阶段，组织对政协业务经费项目、政协会议经费等</w:t>
      </w:r>
      <w:r>
        <w:rPr>
          <w:rFonts w:hint="eastAsia" w:ascii="仿宋_GB2312" w:eastAsia="仿宋_GB2312"/>
          <w:color w:val="auto"/>
          <w:sz w:val="32"/>
          <w:szCs w:val="32"/>
          <w:lang w:val="en-US" w:eastAsia="zh-CN"/>
        </w:rPr>
        <w:t>5</w:t>
      </w:r>
      <w:r>
        <w:rPr>
          <w:rFonts w:hint="eastAsia" w:ascii="仿宋_GB2312" w:eastAsia="仿宋_GB2312"/>
          <w:sz w:val="32"/>
          <w:szCs w:val="32"/>
        </w:rPr>
        <w:t>个项目编制了绩效目标，预算执行过程中，选取</w:t>
      </w:r>
      <w:r>
        <w:rPr>
          <w:rFonts w:hint="eastAsia" w:ascii="仿宋_GB2312" w:eastAsia="仿宋_GB2312"/>
          <w:color w:val="auto"/>
          <w:sz w:val="32"/>
          <w:szCs w:val="32"/>
          <w:lang w:val="en-US" w:eastAsia="zh-CN"/>
        </w:rPr>
        <w:t>5</w:t>
      </w:r>
      <w:r>
        <w:rPr>
          <w:rFonts w:hint="eastAsia" w:ascii="仿宋_GB2312" w:eastAsia="仿宋_GB2312"/>
          <w:sz w:val="32"/>
          <w:szCs w:val="32"/>
        </w:rPr>
        <w:t>个项目开展绩效监控。</w:t>
      </w:r>
    </w:p>
    <w:p>
      <w:pPr>
        <w:spacing w:line="600" w:lineRule="exact"/>
        <w:ind w:firstLine="640"/>
        <w:rPr>
          <w:rFonts w:ascii="仿宋_GB2312" w:eastAsia="仿宋_GB2312"/>
          <w:sz w:val="32"/>
          <w:szCs w:val="32"/>
        </w:rPr>
      </w:pPr>
      <w:r>
        <w:rPr>
          <w:rFonts w:hint="eastAsia" w:ascii="仿宋_GB2312" w:eastAsia="仿宋_GB2312"/>
          <w:sz w:val="32"/>
          <w:szCs w:val="32"/>
        </w:rPr>
        <w:t>组织对2023年度一般公共预算支出全面开展绩效自评，形成整体绩效自评报告，自评得分91分。综述：区政协认真贯彻落实省、市、区全面实施预算绩效管理的决策部署，切实履行部门预算绩效管理主任责任，扎实推进预算绩效管理工作稳步开展。全年部门整体支出绩效自查自评结果良好，全年基本支出保证了部门的正常运转，项目支出保障了重点工作的开展。本部门不涉及专项预算项目绩效评价。</w:t>
      </w:r>
    </w:p>
    <w:p>
      <w:pPr>
        <w:pStyle w:val="2"/>
        <w:pageBreakBefore w:val="0"/>
        <w:widowControl w:val="0"/>
        <w:kinsoku/>
        <w:wordWrap/>
        <w:overflowPunct/>
        <w:topLinePunct w:val="0"/>
        <w:autoSpaceDE/>
        <w:autoSpaceDN/>
        <w:bidi w:val="0"/>
        <w:adjustRightInd/>
        <w:snapToGrid/>
        <w:spacing w:before="0" w:after="0" w:line="600" w:lineRule="exact"/>
        <w:textAlignment w:val="auto"/>
      </w:pPr>
    </w:p>
    <w:p>
      <w:pPr>
        <w:pageBreakBefore w:val="0"/>
        <w:widowControl w:val="0"/>
        <w:kinsoku/>
        <w:wordWrap/>
        <w:overflowPunct/>
        <w:topLinePunct w:val="0"/>
        <w:autoSpaceDE/>
        <w:autoSpaceDN/>
        <w:bidi w:val="0"/>
        <w:adjustRightInd/>
        <w:snapToGrid/>
        <w:spacing w:line="600" w:lineRule="exact"/>
        <w:textAlignment w:val="auto"/>
      </w:pPr>
    </w:p>
    <w:p>
      <w:pPr>
        <w:pStyle w:val="2"/>
        <w:pageBreakBefore w:val="0"/>
        <w:widowControl w:val="0"/>
        <w:kinsoku/>
        <w:wordWrap/>
        <w:overflowPunct/>
        <w:topLinePunct w:val="0"/>
        <w:autoSpaceDE/>
        <w:autoSpaceDN/>
        <w:bidi w:val="0"/>
        <w:adjustRightInd/>
        <w:snapToGrid/>
        <w:spacing w:before="0" w:after="0" w:line="600" w:lineRule="exact"/>
        <w:textAlignment w:val="auto"/>
      </w:pPr>
    </w:p>
    <w:p>
      <w:pPr>
        <w:pageBreakBefore w:val="0"/>
        <w:widowControl w:val="0"/>
        <w:kinsoku/>
        <w:wordWrap/>
        <w:overflowPunct/>
        <w:topLinePunct w:val="0"/>
        <w:autoSpaceDE/>
        <w:autoSpaceDN/>
        <w:bidi w:val="0"/>
        <w:adjustRightInd/>
        <w:snapToGrid/>
        <w:spacing w:line="600" w:lineRule="exact"/>
        <w:textAlignment w:val="auto"/>
      </w:pPr>
    </w:p>
    <w:p>
      <w:pPr>
        <w:pStyle w:val="2"/>
        <w:pageBreakBefore w:val="0"/>
        <w:widowControl w:val="0"/>
        <w:kinsoku/>
        <w:wordWrap/>
        <w:overflowPunct/>
        <w:topLinePunct w:val="0"/>
        <w:autoSpaceDE/>
        <w:autoSpaceDN/>
        <w:bidi w:val="0"/>
        <w:adjustRightInd/>
        <w:snapToGrid/>
        <w:spacing w:before="0" w:after="0" w:line="600" w:lineRule="exact"/>
        <w:textAlignment w:val="auto"/>
      </w:pPr>
    </w:p>
    <w:p>
      <w:pPr>
        <w:pageBreakBefore w:val="0"/>
        <w:widowControl w:val="0"/>
        <w:kinsoku/>
        <w:wordWrap/>
        <w:overflowPunct/>
        <w:topLinePunct w:val="0"/>
        <w:autoSpaceDE/>
        <w:autoSpaceDN/>
        <w:bidi w:val="0"/>
        <w:adjustRightInd/>
        <w:snapToGrid/>
        <w:spacing w:line="600" w:lineRule="exact"/>
        <w:textAlignment w:val="auto"/>
      </w:pPr>
    </w:p>
    <w:p>
      <w:pPr>
        <w:pStyle w:val="2"/>
        <w:pageBreakBefore w:val="0"/>
        <w:widowControl w:val="0"/>
        <w:kinsoku/>
        <w:wordWrap/>
        <w:overflowPunct/>
        <w:topLinePunct w:val="0"/>
        <w:autoSpaceDE/>
        <w:autoSpaceDN/>
        <w:bidi w:val="0"/>
        <w:adjustRightInd/>
        <w:snapToGrid/>
        <w:spacing w:before="0" w:after="0" w:line="600" w:lineRule="exact"/>
        <w:textAlignment w:val="auto"/>
      </w:pPr>
    </w:p>
    <w:p>
      <w:pPr>
        <w:pageBreakBefore w:val="0"/>
        <w:widowControl w:val="0"/>
        <w:kinsoku/>
        <w:wordWrap/>
        <w:overflowPunct/>
        <w:topLinePunct w:val="0"/>
        <w:autoSpaceDE/>
        <w:autoSpaceDN/>
        <w:bidi w:val="0"/>
        <w:adjustRightInd/>
        <w:snapToGrid/>
        <w:spacing w:line="600" w:lineRule="exact"/>
        <w:textAlignment w:val="auto"/>
      </w:pPr>
    </w:p>
    <w:p>
      <w:pPr>
        <w:pStyle w:val="2"/>
        <w:pageBreakBefore w:val="0"/>
        <w:widowControl w:val="0"/>
        <w:kinsoku/>
        <w:wordWrap/>
        <w:overflowPunct/>
        <w:topLinePunct w:val="0"/>
        <w:autoSpaceDE/>
        <w:autoSpaceDN/>
        <w:bidi w:val="0"/>
        <w:adjustRightInd/>
        <w:snapToGrid/>
        <w:spacing w:before="0" w:after="0" w:line="600" w:lineRule="exact"/>
        <w:textAlignment w:val="auto"/>
      </w:pPr>
    </w:p>
    <w:p>
      <w:pPr>
        <w:pageBreakBefore w:val="0"/>
        <w:widowControl w:val="0"/>
        <w:kinsoku/>
        <w:wordWrap/>
        <w:overflowPunct/>
        <w:topLinePunct w:val="0"/>
        <w:autoSpaceDE/>
        <w:autoSpaceDN/>
        <w:bidi w:val="0"/>
        <w:adjustRightInd/>
        <w:snapToGrid/>
        <w:spacing w:line="600" w:lineRule="exact"/>
        <w:textAlignment w:val="auto"/>
      </w:pPr>
    </w:p>
    <w:p>
      <w:pPr>
        <w:pageBreakBefore w:val="0"/>
        <w:widowControl w:val="0"/>
        <w:kinsoku/>
        <w:wordWrap/>
        <w:overflowPunct/>
        <w:topLinePunct w:val="0"/>
        <w:autoSpaceDE/>
        <w:autoSpaceDN/>
        <w:bidi w:val="0"/>
        <w:adjustRightInd/>
        <w:snapToGrid/>
        <w:spacing w:line="600" w:lineRule="exact"/>
        <w:textAlignment w:val="auto"/>
      </w:pPr>
    </w:p>
    <w:p/>
    <w:p>
      <w:pPr>
        <w:pStyle w:val="3"/>
        <w:spacing w:before="0" w:after="0" w:line="600" w:lineRule="exact"/>
        <w:jc w:val="center"/>
        <w:rPr>
          <w:rFonts w:ascii="方正小标宋_GBK" w:eastAsia="方正小标宋_GBK"/>
          <w:b w:val="0"/>
        </w:rPr>
      </w:pPr>
      <w:r>
        <w:rPr>
          <w:rFonts w:hint="eastAsia" w:ascii="方正小标宋_GBK" w:eastAsia="方正小标宋_GBK"/>
          <w:b w:val="0"/>
        </w:rPr>
        <w:t>第三部分</w:t>
      </w:r>
      <w:r>
        <w:rPr>
          <w:rFonts w:hint="eastAsia" w:ascii="方正小标宋_GBK" w:eastAsia="方正小标宋_GBK"/>
          <w:b w:val="0"/>
          <w:lang w:val="en-US" w:eastAsia="zh-CN"/>
        </w:rPr>
        <w:t xml:space="preserve"> </w:t>
      </w:r>
      <w:r>
        <w:rPr>
          <w:rFonts w:hint="eastAsia" w:ascii="方正小标宋_GBK" w:eastAsia="方正小标宋_GBK"/>
          <w:b w:val="0"/>
        </w:rPr>
        <w:t xml:space="preserve"> 名词解释</w:t>
      </w:r>
    </w:p>
    <w:p>
      <w:pPr>
        <w:spacing w:line="600" w:lineRule="exact"/>
        <w:rPr>
          <w:rFonts w:ascii="方正小标宋_GBK" w:eastAsia="方正小标宋_GBK"/>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1.财政拨款收入：指单位从同级财政部门取得的财政预算资金。</w:t>
      </w:r>
    </w:p>
    <w:p>
      <w:pPr>
        <w:ind w:firstLine="640" w:firstLineChars="200"/>
        <w:rPr>
          <w:rFonts w:ascii="仿宋_GB2312" w:eastAsia="仿宋_GB2312"/>
          <w:sz w:val="32"/>
          <w:szCs w:val="32"/>
        </w:rPr>
      </w:pPr>
      <w:r>
        <w:rPr>
          <w:rFonts w:hint="eastAsia" w:ascii="仿宋_GB2312" w:eastAsia="仿宋_GB2312"/>
          <w:sz w:val="32"/>
          <w:szCs w:val="32"/>
        </w:rPr>
        <w:t xml:space="preserve">2.年初结转和结余：指以前年度尚未完成、结转到本年按有关规定继续使用的资金。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3.年末结转和结余：指单位按有关规定结转到下年或以后年度继续使用的资金。</w:t>
      </w:r>
    </w:p>
    <w:p>
      <w:pPr>
        <w:adjustRightInd w:val="0"/>
        <w:snapToGrid w:val="0"/>
        <w:spacing w:line="560" w:lineRule="exact"/>
        <w:ind w:firstLine="660" w:firstLineChars="200"/>
        <w:rPr>
          <w:rFonts w:eastAsia="方正仿宋_GBK"/>
          <w:color w:val="000000"/>
          <w:sz w:val="33"/>
          <w:szCs w:val="33"/>
        </w:rPr>
      </w:pPr>
      <w:r>
        <w:rPr>
          <w:rFonts w:eastAsia="方正仿宋_GBK"/>
          <w:color w:val="000000"/>
          <w:sz w:val="33"/>
          <w:szCs w:val="33"/>
        </w:rPr>
        <w:t>4.基本支出：指为保障机构正常运转、完成日常工作任务而发生的人员支出和公用支出。</w:t>
      </w:r>
    </w:p>
    <w:p>
      <w:pPr>
        <w:adjustRightInd w:val="0"/>
        <w:snapToGrid w:val="0"/>
        <w:spacing w:line="560" w:lineRule="exact"/>
        <w:ind w:firstLine="660" w:firstLineChars="200"/>
        <w:rPr>
          <w:rFonts w:eastAsia="方正仿宋_GBK"/>
          <w:color w:val="000000"/>
          <w:sz w:val="33"/>
          <w:szCs w:val="33"/>
        </w:rPr>
      </w:pPr>
      <w:r>
        <w:rPr>
          <w:rFonts w:eastAsia="方正仿宋_GBK"/>
          <w:color w:val="000000"/>
          <w:sz w:val="33"/>
          <w:szCs w:val="33"/>
        </w:rPr>
        <w:t>5.项目支出：指在基本支出之外为完成特定行政任务和事业发展目标所发生的支出。</w:t>
      </w:r>
    </w:p>
    <w:p>
      <w:pPr>
        <w:adjustRightInd w:val="0"/>
        <w:snapToGrid w:val="0"/>
        <w:spacing w:line="560" w:lineRule="exact"/>
        <w:ind w:firstLine="660" w:firstLineChars="200"/>
        <w:rPr>
          <w:rFonts w:eastAsia="方正仿宋_GBK"/>
          <w:color w:val="000000"/>
          <w:sz w:val="33"/>
          <w:szCs w:val="33"/>
        </w:rPr>
      </w:pPr>
      <w:r>
        <w:rPr>
          <w:rFonts w:eastAsia="方正仿宋_GBK"/>
          <w:color w:val="000000"/>
          <w:sz w:val="33"/>
          <w:szCs w:val="33"/>
        </w:rPr>
        <w:t>6.</w:t>
      </w:r>
      <w:r>
        <w:rPr>
          <w:rFonts w:eastAsia="方正仿宋_GBK"/>
          <w:sz w:val="33"/>
          <w:szCs w:val="33"/>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eastAsia="方正仿宋_GBK"/>
          <w:color w:val="000000"/>
          <w:sz w:val="33"/>
          <w:szCs w:val="33"/>
        </w:rPr>
        <w:t>。</w:t>
      </w:r>
    </w:p>
    <w:p>
      <w:pPr>
        <w:pStyle w:val="2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7.机关运行经费：为保障</w:t>
      </w:r>
      <w:r>
        <w:rPr>
          <w:rFonts w:hint="eastAsia" w:ascii="Times New Roman" w:hAnsi="Times New Roman" w:eastAsia="仿宋_GB2312" w:cs="Times New Roman"/>
          <w:color w:val="auto"/>
          <w:sz w:val="32"/>
          <w:szCs w:val="32"/>
        </w:rPr>
        <w:t>机关</w:t>
      </w:r>
      <w:r>
        <w:rPr>
          <w:rFonts w:ascii="Times New Roman" w:hAnsi="Times New Roman" w:eastAsia="仿宋_GB2312" w:cs="Times New Roman"/>
          <w:color w:val="auto"/>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djustRightInd w:val="0"/>
        <w:snapToGrid w:val="0"/>
        <w:spacing w:line="560" w:lineRule="exact"/>
        <w:ind w:firstLine="640" w:firstLineChars="200"/>
        <w:rPr>
          <w:rFonts w:eastAsia="方正仿宋_GBK" w:cs="方正仿宋_GBK"/>
          <w:color w:val="000000" w:themeColor="text1"/>
          <w:sz w:val="32"/>
          <w:szCs w:val="32"/>
          <w14:textFill>
            <w14:solidFill>
              <w14:schemeClr w14:val="tx1"/>
            </w14:solidFill>
          </w14:textFill>
        </w:rPr>
      </w:pPr>
      <w:r>
        <w:rPr>
          <w:rFonts w:hint="eastAsia" w:eastAsia="方正仿宋_GBK" w:cs="方正仿宋_GBK"/>
          <w:color w:val="000000" w:themeColor="text1"/>
          <w:sz w:val="32"/>
          <w:szCs w:val="32"/>
          <w14:textFill>
            <w14:solidFill>
              <w14:schemeClr w14:val="tx1"/>
            </w14:solidFill>
          </w14:textFill>
        </w:rPr>
        <w:t>8.一般公共服务支出</w:t>
      </w:r>
      <w:r>
        <w:rPr>
          <w:rFonts w:eastAsia="方正仿宋_GBK"/>
          <w:color w:val="000000" w:themeColor="text1"/>
          <w:sz w:val="32"/>
          <w:szCs w:val="32"/>
          <w14:textFill>
            <w14:solidFill>
              <w14:schemeClr w14:val="tx1"/>
            </w14:solidFill>
          </w14:textFill>
        </w:rPr>
        <w:t>201</w:t>
      </w:r>
      <w:r>
        <w:rPr>
          <w:rFonts w:hint="eastAsia" w:eastAsia="方正仿宋_GBK" w:cs="方正仿宋_GBK"/>
          <w:color w:val="000000" w:themeColor="text1"/>
          <w:sz w:val="32"/>
          <w:szCs w:val="32"/>
          <w14:textFill>
            <w14:solidFill>
              <w14:schemeClr w14:val="tx1"/>
            </w14:solidFill>
          </w14:textFill>
        </w:rPr>
        <w:t>（类）</w:t>
      </w:r>
      <w:r>
        <w:rPr>
          <w:rFonts w:hint="eastAsia" w:eastAsia="方正仿宋_GBK"/>
          <w:color w:val="000000" w:themeColor="text1"/>
          <w:sz w:val="32"/>
          <w:szCs w:val="32"/>
          <w14:textFill>
            <w14:solidFill>
              <w14:schemeClr w14:val="tx1"/>
            </w14:solidFill>
          </w14:textFill>
        </w:rPr>
        <w:t>02</w:t>
      </w:r>
      <w:r>
        <w:rPr>
          <w:rFonts w:hint="eastAsia" w:eastAsia="方正仿宋_GBK" w:cs="方正仿宋_GBK"/>
          <w:color w:val="000000" w:themeColor="text1"/>
          <w:sz w:val="32"/>
          <w:szCs w:val="32"/>
          <w14:textFill>
            <w14:solidFill>
              <w14:schemeClr w14:val="tx1"/>
            </w14:solidFill>
          </w14:textFill>
        </w:rPr>
        <w:t>（款）</w:t>
      </w:r>
      <w:r>
        <w:rPr>
          <w:rFonts w:eastAsia="方正仿宋_GBK"/>
          <w:color w:val="000000" w:themeColor="text1"/>
          <w:sz w:val="32"/>
          <w:szCs w:val="32"/>
          <w14:textFill>
            <w14:solidFill>
              <w14:schemeClr w14:val="tx1"/>
            </w14:solidFill>
          </w14:textFill>
        </w:rPr>
        <w:t>01</w:t>
      </w:r>
      <w:r>
        <w:rPr>
          <w:rFonts w:hint="eastAsia" w:eastAsia="方正仿宋_GBK" w:cs="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50</w:t>
      </w:r>
      <w:r>
        <w:rPr>
          <w:rFonts w:hint="eastAsia" w:eastAsia="方正仿宋_GBK" w:cs="方正仿宋_GBK"/>
          <w:color w:val="000000" w:themeColor="text1"/>
          <w:sz w:val="32"/>
          <w:szCs w:val="32"/>
          <w14:textFill>
            <w14:solidFill>
              <w14:schemeClr w14:val="tx1"/>
            </w14:solidFill>
          </w14:textFill>
        </w:rPr>
        <w:t>（项）：指反映政协方面的支出。</w:t>
      </w:r>
    </w:p>
    <w:p>
      <w:pPr>
        <w:adjustRightInd w:val="0"/>
        <w:snapToGrid w:val="0"/>
        <w:spacing w:line="560" w:lineRule="exact"/>
        <w:ind w:firstLine="660" w:firstLineChars="200"/>
        <w:rPr>
          <w:rFonts w:eastAsia="方正仿宋_GBK"/>
          <w:color w:val="000000"/>
          <w:sz w:val="33"/>
          <w:szCs w:val="33"/>
        </w:rPr>
      </w:pPr>
      <w:r>
        <w:rPr>
          <w:rFonts w:eastAsia="方正仿宋_GBK"/>
          <w:color w:val="000000"/>
          <w:sz w:val="33"/>
          <w:szCs w:val="33"/>
        </w:rPr>
        <w:t>201</w:t>
      </w:r>
      <w:r>
        <w:rPr>
          <w:rFonts w:hint="eastAsia" w:eastAsia="方正仿宋_GBK"/>
          <w:color w:val="000000"/>
          <w:sz w:val="33"/>
          <w:szCs w:val="33"/>
        </w:rPr>
        <w:t>02</w:t>
      </w:r>
      <w:r>
        <w:rPr>
          <w:rFonts w:eastAsia="方正仿宋_GBK"/>
          <w:color w:val="000000"/>
          <w:sz w:val="33"/>
          <w:szCs w:val="33"/>
        </w:rPr>
        <w:t>01—行政运行：指反映行政单位（包括实行公务员管理的事业单位）的基本支出。</w:t>
      </w:r>
    </w:p>
    <w:p>
      <w:pPr>
        <w:adjustRightInd w:val="0"/>
        <w:snapToGrid w:val="0"/>
        <w:spacing w:line="560" w:lineRule="exact"/>
        <w:ind w:firstLine="660" w:firstLineChars="200"/>
        <w:rPr>
          <w:rFonts w:eastAsia="方正仿宋_GBK"/>
          <w:color w:val="000000"/>
          <w:sz w:val="33"/>
          <w:szCs w:val="33"/>
        </w:rPr>
      </w:pPr>
      <w:r>
        <w:rPr>
          <w:rFonts w:eastAsia="方正仿宋_GBK"/>
          <w:color w:val="000000"/>
          <w:sz w:val="33"/>
          <w:szCs w:val="33"/>
        </w:rPr>
        <w:t>201</w:t>
      </w:r>
      <w:r>
        <w:rPr>
          <w:rFonts w:hint="eastAsia" w:eastAsia="方正仿宋_GBK"/>
          <w:color w:val="000000"/>
          <w:sz w:val="33"/>
          <w:szCs w:val="33"/>
        </w:rPr>
        <w:t>02</w:t>
      </w:r>
      <w:r>
        <w:rPr>
          <w:rFonts w:eastAsia="方正仿宋_GBK"/>
          <w:color w:val="000000"/>
          <w:sz w:val="33"/>
          <w:szCs w:val="33"/>
        </w:rPr>
        <w:t>02—一般行政管理事务：指反映行政单位（包括实行公务员管理的事业单位）未单独设置项级科目的其他项目支出。</w:t>
      </w:r>
    </w:p>
    <w:p>
      <w:pPr>
        <w:adjustRightInd w:val="0"/>
        <w:snapToGrid w:val="0"/>
        <w:spacing w:line="560" w:lineRule="exact"/>
        <w:ind w:firstLine="660" w:firstLineChars="200"/>
        <w:rPr>
          <w:rFonts w:eastAsia="方正仿宋_GBK"/>
          <w:color w:val="000000"/>
          <w:sz w:val="33"/>
          <w:szCs w:val="33"/>
        </w:rPr>
      </w:pPr>
      <w:r>
        <w:rPr>
          <w:rFonts w:eastAsia="方正仿宋_GBK"/>
          <w:color w:val="000000"/>
          <w:sz w:val="33"/>
          <w:szCs w:val="33"/>
        </w:rPr>
        <w:t>201</w:t>
      </w:r>
      <w:r>
        <w:rPr>
          <w:rFonts w:hint="eastAsia" w:eastAsia="方正仿宋_GBK"/>
          <w:color w:val="000000"/>
          <w:sz w:val="33"/>
          <w:szCs w:val="33"/>
        </w:rPr>
        <w:t>02</w:t>
      </w:r>
      <w:r>
        <w:rPr>
          <w:rFonts w:eastAsia="方正仿宋_GBK"/>
          <w:color w:val="000000"/>
          <w:sz w:val="33"/>
          <w:szCs w:val="33"/>
        </w:rPr>
        <w:t>50—事业运行：指反映事业单位的基本支出，不包括行政单位（包括实行公务员管理的事业单位）后勤服务中心、医务室等附属事业单位。</w:t>
      </w:r>
    </w:p>
    <w:p>
      <w:pPr>
        <w:adjustRightInd w:val="0"/>
        <w:snapToGrid w:val="0"/>
        <w:spacing w:line="560" w:lineRule="exact"/>
        <w:ind w:firstLine="640" w:firstLineChars="200"/>
        <w:rPr>
          <w:rFonts w:eastAsia="方正仿宋_GBK"/>
          <w:color w:val="000000"/>
          <w:sz w:val="33"/>
          <w:szCs w:val="33"/>
        </w:rPr>
      </w:pPr>
      <w:r>
        <w:rPr>
          <w:rFonts w:hint="eastAsia" w:eastAsia="方正仿宋_GBK" w:cs="方正仿宋_GBK"/>
          <w:color w:val="000000"/>
          <w:sz w:val="32"/>
          <w:szCs w:val="32"/>
        </w:rPr>
        <w:t>9.社会保障和就业支出</w:t>
      </w:r>
      <w:r>
        <w:rPr>
          <w:rFonts w:eastAsia="方正仿宋_GBK"/>
          <w:color w:val="000000"/>
          <w:sz w:val="32"/>
          <w:szCs w:val="32"/>
        </w:rPr>
        <w:t>208</w:t>
      </w:r>
      <w:r>
        <w:rPr>
          <w:rFonts w:hint="eastAsia" w:eastAsia="方正仿宋_GBK" w:cs="方正仿宋_GBK"/>
          <w:color w:val="000000"/>
          <w:sz w:val="32"/>
          <w:szCs w:val="32"/>
        </w:rPr>
        <w:t>（类）</w:t>
      </w:r>
      <w:r>
        <w:rPr>
          <w:rFonts w:eastAsia="方正仿宋_GBK"/>
          <w:color w:val="000000"/>
          <w:sz w:val="32"/>
          <w:szCs w:val="32"/>
        </w:rPr>
        <w:t>05</w:t>
      </w:r>
      <w:r>
        <w:rPr>
          <w:rFonts w:hint="eastAsia" w:eastAsia="方正仿宋_GBK" w:cs="方正仿宋_GBK"/>
          <w:color w:val="000000"/>
          <w:sz w:val="32"/>
          <w:szCs w:val="32"/>
        </w:rPr>
        <w:t>（款）</w:t>
      </w:r>
      <w:r>
        <w:rPr>
          <w:rFonts w:eastAsia="方正仿宋_GBK"/>
          <w:color w:val="000000"/>
          <w:sz w:val="32"/>
          <w:szCs w:val="32"/>
        </w:rPr>
        <w:t>01</w:t>
      </w:r>
      <w:r>
        <w:rPr>
          <w:rFonts w:hint="eastAsia" w:eastAsia="方正仿宋_GBK" w:cs="方正仿宋_GBK"/>
          <w:color w:val="000000"/>
          <w:sz w:val="32"/>
          <w:szCs w:val="32"/>
        </w:rPr>
        <w:t>、</w:t>
      </w:r>
      <w:r>
        <w:rPr>
          <w:rFonts w:eastAsia="方正仿宋_GBK"/>
          <w:color w:val="000000"/>
          <w:sz w:val="32"/>
          <w:szCs w:val="32"/>
        </w:rPr>
        <w:t>05</w:t>
      </w:r>
      <w:r>
        <w:rPr>
          <w:rFonts w:hint="eastAsia" w:eastAsia="方正仿宋_GBK" w:cs="方正仿宋_GBK"/>
          <w:color w:val="000000"/>
          <w:sz w:val="32"/>
          <w:szCs w:val="32"/>
        </w:rPr>
        <w:t>（项）：指行政事业单位离退休（未归口管理的行政单位离退休、机关事业单位基本养老保险缴费支出等）。</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2080501—</w:t>
      </w:r>
      <w:r>
        <w:rPr>
          <w:rFonts w:hint="eastAsia" w:eastAsia="方正仿宋_GBK" w:cs="方正仿宋_GBK"/>
          <w:color w:val="000000"/>
          <w:sz w:val="32"/>
          <w:szCs w:val="32"/>
        </w:rPr>
        <w:t>行政单位离退休：指反映行政单位（包括实行公务员管理的事业单位）开支的离退休支出。</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2080502—</w:t>
      </w:r>
      <w:r>
        <w:rPr>
          <w:rFonts w:hint="eastAsia" w:eastAsia="方正仿宋_GBK" w:cs="方正仿宋_GBK"/>
          <w:color w:val="000000"/>
          <w:sz w:val="32"/>
          <w:szCs w:val="32"/>
        </w:rPr>
        <w:t>事业单位离退休：指反映事业单位开支的离退休经费。</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2080505—</w:t>
      </w:r>
      <w:r>
        <w:rPr>
          <w:rFonts w:hint="eastAsia" w:eastAsia="方正仿宋_GBK" w:cs="方正仿宋_GBK"/>
          <w:color w:val="000000"/>
          <w:sz w:val="32"/>
          <w:szCs w:val="32"/>
        </w:rPr>
        <w:t>机关事业单位基本养老保险缴费支出：指反映机关事业单位实施养老保险制度由单位实际缴纳的基本保险费支出。</w:t>
      </w:r>
    </w:p>
    <w:p>
      <w:pPr>
        <w:adjustRightInd w:val="0"/>
        <w:snapToGrid w:val="0"/>
        <w:spacing w:line="560" w:lineRule="exact"/>
        <w:ind w:firstLine="640" w:firstLineChars="200"/>
        <w:rPr>
          <w:rFonts w:eastAsia="方正仿宋_GBK"/>
          <w:color w:val="000000"/>
          <w:sz w:val="32"/>
          <w:szCs w:val="32"/>
        </w:rPr>
      </w:pPr>
      <w:r>
        <w:rPr>
          <w:rFonts w:hint="eastAsia" w:eastAsia="方正仿宋_GBK" w:cs="方正仿宋_GBK"/>
          <w:color w:val="000000"/>
          <w:sz w:val="32"/>
          <w:szCs w:val="32"/>
        </w:rPr>
        <w:t>10.医疗卫生与计划生育支出</w:t>
      </w:r>
      <w:r>
        <w:rPr>
          <w:rFonts w:eastAsia="方正仿宋_GBK"/>
          <w:color w:val="000000"/>
          <w:sz w:val="32"/>
          <w:szCs w:val="32"/>
        </w:rPr>
        <w:t>210</w:t>
      </w:r>
      <w:r>
        <w:rPr>
          <w:rFonts w:hint="eastAsia" w:eastAsia="方正仿宋_GBK" w:cs="方正仿宋_GBK"/>
          <w:color w:val="000000"/>
          <w:sz w:val="32"/>
          <w:szCs w:val="32"/>
        </w:rPr>
        <w:t>（类）</w:t>
      </w:r>
      <w:r>
        <w:rPr>
          <w:rFonts w:eastAsia="方正仿宋_GBK"/>
          <w:color w:val="000000"/>
          <w:sz w:val="32"/>
          <w:szCs w:val="32"/>
        </w:rPr>
        <w:t>11</w:t>
      </w:r>
      <w:r>
        <w:rPr>
          <w:rFonts w:hint="eastAsia" w:eastAsia="方正仿宋_GBK" w:cs="方正仿宋_GBK"/>
          <w:color w:val="000000"/>
          <w:sz w:val="32"/>
          <w:szCs w:val="32"/>
        </w:rPr>
        <w:t>（款）</w:t>
      </w:r>
      <w:r>
        <w:rPr>
          <w:rFonts w:eastAsia="方正仿宋_GBK"/>
          <w:color w:val="000000"/>
          <w:sz w:val="32"/>
          <w:szCs w:val="32"/>
        </w:rPr>
        <w:t>01</w:t>
      </w:r>
      <w:r>
        <w:rPr>
          <w:rFonts w:hint="eastAsia" w:eastAsia="方正仿宋_GBK" w:cs="方正仿宋_GBK"/>
          <w:color w:val="000000"/>
          <w:sz w:val="32"/>
          <w:szCs w:val="32"/>
        </w:rPr>
        <w:t>、</w:t>
      </w:r>
      <w:r>
        <w:rPr>
          <w:rFonts w:eastAsia="方正仿宋_GBK"/>
          <w:color w:val="000000"/>
          <w:sz w:val="32"/>
          <w:szCs w:val="32"/>
        </w:rPr>
        <w:t>02</w:t>
      </w:r>
      <w:r>
        <w:rPr>
          <w:rFonts w:hint="eastAsia" w:eastAsia="方正仿宋_GBK" w:cs="方正仿宋_GBK"/>
          <w:color w:val="000000"/>
          <w:sz w:val="32"/>
          <w:szCs w:val="32"/>
        </w:rPr>
        <w:t>、</w:t>
      </w:r>
      <w:r>
        <w:rPr>
          <w:rFonts w:eastAsia="方正仿宋_GBK"/>
          <w:color w:val="000000"/>
          <w:sz w:val="32"/>
          <w:szCs w:val="32"/>
        </w:rPr>
        <w:t>03</w:t>
      </w:r>
      <w:r>
        <w:rPr>
          <w:rFonts w:hint="eastAsia" w:eastAsia="方正仿宋_GBK"/>
          <w:color w:val="000000"/>
          <w:sz w:val="32"/>
          <w:szCs w:val="32"/>
        </w:rPr>
        <w:t>、99</w:t>
      </w:r>
      <w:r>
        <w:rPr>
          <w:rFonts w:hint="eastAsia" w:eastAsia="方正仿宋_GBK" w:cs="方正仿宋_GBK"/>
          <w:color w:val="000000"/>
          <w:sz w:val="32"/>
          <w:szCs w:val="32"/>
        </w:rPr>
        <w:t>（项）：指行政事业单位医疗支出。</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2101101—</w:t>
      </w:r>
      <w:r>
        <w:rPr>
          <w:rFonts w:hint="eastAsia" w:eastAsia="方正仿宋_GBK" w:cs="方正仿宋_GBK"/>
          <w:color w:val="000000"/>
          <w:sz w:val="32"/>
          <w:szCs w:val="32"/>
        </w:rPr>
        <w:t>行政单位医疗：指反映财政部门安排的行政单位基本医疗保险缴费经费。</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2101102—</w:t>
      </w:r>
      <w:r>
        <w:rPr>
          <w:rFonts w:hint="eastAsia" w:eastAsia="方正仿宋_GBK" w:cs="方正仿宋_GBK"/>
          <w:color w:val="000000"/>
          <w:sz w:val="32"/>
          <w:szCs w:val="32"/>
        </w:rPr>
        <w:t>事业单位医疗：指反映财政部门安排的事业单位基本医疗保险缴费经费。</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2101103—</w:t>
      </w:r>
      <w:r>
        <w:rPr>
          <w:rFonts w:hint="eastAsia" w:eastAsia="方正仿宋_GBK" w:cs="方正仿宋_GBK"/>
          <w:color w:val="000000"/>
          <w:sz w:val="32"/>
          <w:szCs w:val="32"/>
        </w:rPr>
        <w:t>公务员医疗补助：指反映财政部门安排的公务员医疗补助经费。</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2101199—</w:t>
      </w:r>
      <w:r>
        <w:rPr>
          <w:rFonts w:hint="eastAsia" w:eastAsia="方正仿宋_GBK" w:cs="方正仿宋_GBK"/>
          <w:color w:val="000000"/>
          <w:sz w:val="32"/>
          <w:szCs w:val="32"/>
        </w:rPr>
        <w:t>其他行政事业单位医疗支出：指反映除上项目以外的其他用于行政事业单位医疗方面的支出了。</w:t>
      </w:r>
    </w:p>
    <w:p>
      <w:pPr>
        <w:adjustRightInd w:val="0"/>
        <w:snapToGrid w:val="0"/>
        <w:spacing w:line="560" w:lineRule="exact"/>
        <w:ind w:firstLine="640" w:firstLineChars="200"/>
        <w:rPr>
          <w:rFonts w:eastAsia="方正仿宋_GBK"/>
          <w:color w:val="000000"/>
          <w:sz w:val="32"/>
          <w:szCs w:val="32"/>
        </w:rPr>
      </w:pPr>
      <w:r>
        <w:rPr>
          <w:rFonts w:hint="eastAsia" w:eastAsia="方正仿宋_GBK" w:cs="方正仿宋_GBK"/>
          <w:color w:val="000000"/>
          <w:sz w:val="32"/>
          <w:szCs w:val="32"/>
        </w:rPr>
        <w:t>11</w:t>
      </w:r>
      <w:r>
        <w:rPr>
          <w:rFonts w:eastAsia="方正仿宋_GBK"/>
          <w:color w:val="000000"/>
          <w:sz w:val="32"/>
          <w:szCs w:val="32"/>
        </w:rPr>
        <w:t>.</w:t>
      </w:r>
      <w:r>
        <w:rPr>
          <w:rFonts w:hint="eastAsia" w:eastAsia="方正仿宋_GBK" w:cs="方正仿宋_GBK"/>
          <w:color w:val="000000"/>
          <w:sz w:val="32"/>
          <w:szCs w:val="32"/>
        </w:rPr>
        <w:t>城乡社区支出</w:t>
      </w:r>
      <w:r>
        <w:rPr>
          <w:rFonts w:eastAsia="方正仿宋_GBK"/>
          <w:color w:val="000000"/>
          <w:sz w:val="32"/>
          <w:szCs w:val="32"/>
        </w:rPr>
        <w:t>212</w:t>
      </w:r>
      <w:r>
        <w:rPr>
          <w:rFonts w:hint="eastAsia" w:eastAsia="方正仿宋_GBK" w:cs="方正仿宋_GBK"/>
          <w:color w:val="000000"/>
          <w:sz w:val="32"/>
          <w:szCs w:val="32"/>
        </w:rPr>
        <w:t>（类）</w:t>
      </w:r>
      <w:r>
        <w:rPr>
          <w:rFonts w:eastAsia="方正仿宋_GBK"/>
          <w:color w:val="000000"/>
          <w:sz w:val="32"/>
          <w:szCs w:val="32"/>
        </w:rPr>
        <w:t>08</w:t>
      </w:r>
      <w:r>
        <w:rPr>
          <w:rFonts w:hint="eastAsia" w:eastAsia="方正仿宋_GBK" w:cs="方正仿宋_GBK"/>
          <w:color w:val="000000"/>
          <w:sz w:val="32"/>
          <w:szCs w:val="32"/>
        </w:rPr>
        <w:t>（款）</w:t>
      </w:r>
      <w:r>
        <w:rPr>
          <w:rFonts w:hint="eastAsia" w:eastAsia="方正仿宋_GBK"/>
          <w:color w:val="000000"/>
          <w:sz w:val="32"/>
          <w:szCs w:val="32"/>
        </w:rPr>
        <w:t>02</w:t>
      </w:r>
      <w:r>
        <w:rPr>
          <w:rFonts w:hint="eastAsia" w:eastAsia="方正仿宋_GBK" w:cs="方正仿宋_GBK"/>
          <w:color w:val="000000"/>
          <w:sz w:val="32"/>
          <w:szCs w:val="32"/>
        </w:rPr>
        <w:t>（项）：指反映不含计提和划转部分的国有土地使用权出让收入及对应专项债务收入安排的支出。</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2120802—</w:t>
      </w:r>
      <w:r>
        <w:rPr>
          <w:rFonts w:hint="eastAsia" w:eastAsia="方正仿宋_GBK" w:cs="方正仿宋_GBK"/>
          <w:color w:val="000000"/>
          <w:sz w:val="32"/>
          <w:szCs w:val="32"/>
        </w:rPr>
        <w:t>土地开发支出（基金）。</w:t>
      </w:r>
    </w:p>
    <w:p>
      <w:pPr>
        <w:adjustRightInd w:val="0"/>
        <w:snapToGrid w:val="0"/>
        <w:spacing w:line="560" w:lineRule="exact"/>
        <w:ind w:firstLine="640" w:firstLineChars="200"/>
        <w:rPr>
          <w:rFonts w:eastAsia="方正仿宋_GBK"/>
          <w:color w:val="000000"/>
          <w:sz w:val="32"/>
          <w:szCs w:val="32"/>
        </w:rPr>
      </w:pPr>
      <w:r>
        <w:rPr>
          <w:rFonts w:hint="eastAsia" w:eastAsia="方正仿宋_GBK" w:cs="方正仿宋_GBK"/>
          <w:color w:val="000000"/>
          <w:sz w:val="32"/>
          <w:szCs w:val="32"/>
        </w:rPr>
        <w:t>12.住房保障支出</w:t>
      </w:r>
      <w:r>
        <w:rPr>
          <w:rFonts w:eastAsia="方正仿宋_GBK"/>
          <w:color w:val="000000"/>
          <w:sz w:val="32"/>
          <w:szCs w:val="32"/>
        </w:rPr>
        <w:t>221</w:t>
      </w:r>
      <w:r>
        <w:rPr>
          <w:rFonts w:hint="eastAsia" w:eastAsia="方正仿宋_GBK" w:cs="方正仿宋_GBK"/>
          <w:color w:val="000000"/>
          <w:sz w:val="32"/>
          <w:szCs w:val="32"/>
        </w:rPr>
        <w:t>（类）</w:t>
      </w:r>
      <w:r>
        <w:rPr>
          <w:rFonts w:eastAsia="方正仿宋_GBK"/>
          <w:color w:val="000000"/>
          <w:sz w:val="32"/>
          <w:szCs w:val="32"/>
        </w:rPr>
        <w:t>02</w:t>
      </w:r>
      <w:r>
        <w:rPr>
          <w:rFonts w:hint="eastAsia" w:eastAsia="方正仿宋_GBK" w:cs="方正仿宋_GBK"/>
          <w:color w:val="000000"/>
          <w:sz w:val="32"/>
          <w:szCs w:val="32"/>
        </w:rPr>
        <w:t>（款）</w:t>
      </w:r>
      <w:r>
        <w:rPr>
          <w:rFonts w:eastAsia="方正仿宋_GBK"/>
          <w:color w:val="000000"/>
          <w:sz w:val="32"/>
          <w:szCs w:val="32"/>
        </w:rPr>
        <w:t>01</w:t>
      </w:r>
      <w:r>
        <w:rPr>
          <w:rFonts w:hint="eastAsia" w:eastAsia="方正仿宋_GBK" w:cs="方正仿宋_GBK"/>
          <w:color w:val="000000"/>
          <w:sz w:val="32"/>
          <w:szCs w:val="32"/>
        </w:rPr>
        <w:t>（项）：指住房改革支出</w:t>
      </w:r>
      <w:r>
        <w:rPr>
          <w:rFonts w:eastAsia="方正仿宋_GBK"/>
          <w:color w:val="000000"/>
          <w:sz w:val="32"/>
          <w:szCs w:val="32"/>
        </w:rPr>
        <w:t>—</w:t>
      </w:r>
      <w:r>
        <w:rPr>
          <w:rFonts w:hint="eastAsia" w:eastAsia="方正仿宋_GBK" w:cs="方正仿宋_GBK"/>
          <w:color w:val="000000"/>
          <w:sz w:val="32"/>
          <w:szCs w:val="32"/>
        </w:rPr>
        <w:t>住房公积金支出。</w:t>
      </w:r>
    </w:p>
    <w:p>
      <w:pPr>
        <w:adjustRightInd w:val="0"/>
        <w:snapToGrid w:val="0"/>
        <w:spacing w:line="600" w:lineRule="exact"/>
        <w:ind w:firstLine="640" w:firstLineChars="200"/>
        <w:rPr>
          <w:rFonts w:eastAsia="方正仿宋_GBK" w:cs="方正仿宋_GBK"/>
          <w:color w:val="000000"/>
          <w:sz w:val="32"/>
          <w:szCs w:val="32"/>
        </w:rPr>
      </w:pPr>
      <w:r>
        <w:rPr>
          <w:rFonts w:eastAsia="方正仿宋_GBK"/>
          <w:color w:val="000000"/>
          <w:sz w:val="32"/>
          <w:szCs w:val="32"/>
        </w:rPr>
        <w:t>2210201—</w:t>
      </w:r>
      <w:r>
        <w:rPr>
          <w:rFonts w:hint="eastAsia" w:eastAsia="方正仿宋_GBK" w:cs="方正仿宋_GBK"/>
          <w:color w:val="000000"/>
          <w:sz w:val="32"/>
          <w:szCs w:val="32"/>
        </w:rPr>
        <w:t>住房公积金：指反映行政事业单位按人力资源</w:t>
      </w:r>
      <w:bookmarkStart w:id="49" w:name="_GoBack"/>
      <w:bookmarkEnd w:id="49"/>
      <w:r>
        <w:rPr>
          <w:rFonts w:hint="eastAsia" w:eastAsia="方正仿宋_GBK" w:cs="方正仿宋_GBK"/>
          <w:color w:val="000000"/>
          <w:sz w:val="32"/>
          <w:szCs w:val="32"/>
        </w:rPr>
        <w:t>和社会保障部、财政部规定的基本工资和津贴补贴以及规定比例为职工缴纳的住房公积金。</w:t>
      </w:r>
    </w:p>
    <w:p>
      <w:pPr>
        <w:pStyle w:val="3"/>
        <w:snapToGrid w:val="0"/>
        <w:spacing w:before="0" w:after="0" w:line="600" w:lineRule="exact"/>
        <w:jc w:val="center"/>
        <w:rPr>
          <w:rFonts w:ascii="方正小标宋_GBK" w:hAnsi="黑体" w:eastAsia="方正小标宋_GBK"/>
          <w:b w:val="0"/>
        </w:rPr>
      </w:pPr>
    </w:p>
    <w:p/>
    <w:p>
      <w:pPr>
        <w:pStyle w:val="3"/>
        <w:snapToGrid w:val="0"/>
        <w:spacing w:before="0" w:after="0" w:line="600" w:lineRule="exact"/>
        <w:jc w:val="center"/>
        <w:rPr>
          <w:rFonts w:ascii="方正小标宋_GBK" w:hAnsi="黑体" w:eastAsia="方正小标宋_GBK"/>
          <w:b w:val="0"/>
        </w:rPr>
      </w:pPr>
      <w:r>
        <w:rPr>
          <w:rFonts w:hint="eastAsia" w:ascii="方正小标宋_GBK" w:hAnsi="黑体" w:eastAsia="方正小标宋_GBK"/>
          <w:b w:val="0"/>
        </w:rPr>
        <w:t xml:space="preserve">第四部分 </w:t>
      </w:r>
      <w:r>
        <w:rPr>
          <w:rFonts w:hint="eastAsia" w:ascii="方正小标宋_GBK" w:hAnsi="黑体" w:eastAsia="方正小标宋_GBK"/>
          <w:b w:val="0"/>
          <w:lang w:val="en-US" w:eastAsia="zh-CN"/>
        </w:rPr>
        <w:t xml:space="preserve"> </w:t>
      </w:r>
      <w:r>
        <w:rPr>
          <w:rFonts w:hint="eastAsia" w:ascii="方正小标宋_GBK" w:hAnsi="黑体" w:eastAsia="方正小标宋_GBK"/>
          <w:b w:val="0"/>
        </w:rPr>
        <w:t>附件</w:t>
      </w:r>
    </w:p>
    <w:p>
      <w:pPr>
        <w:snapToGrid w:val="0"/>
        <w:spacing w:line="600" w:lineRule="exact"/>
      </w:pPr>
    </w:p>
    <w:p>
      <w:pPr>
        <w:snapToGrid w:val="0"/>
        <w:spacing w:line="600" w:lineRule="exact"/>
        <w:rPr>
          <w:rFonts w:ascii="黑体" w:hAnsi="黑体" w:eastAsia="黑体"/>
          <w:sz w:val="32"/>
          <w:szCs w:val="32"/>
        </w:rPr>
      </w:pPr>
      <w:r>
        <w:rPr>
          <w:rFonts w:hint="eastAsia" w:ascii="黑体" w:hAnsi="黑体" w:eastAsia="黑体"/>
          <w:sz w:val="32"/>
          <w:szCs w:val="32"/>
        </w:rPr>
        <w:t>附件1</w:t>
      </w:r>
    </w:p>
    <w:p>
      <w:pPr>
        <w:pStyle w:val="2"/>
        <w:snapToGrid w:val="0"/>
        <w:spacing w:before="0" w:after="0" w:line="600" w:lineRule="exact"/>
      </w:pPr>
    </w:p>
    <w:p>
      <w:pPr>
        <w:pStyle w:val="3"/>
        <w:snapToGrid w:val="0"/>
        <w:spacing w:before="0" w:after="0" w:line="600" w:lineRule="exact"/>
        <w:jc w:val="center"/>
        <w:rPr>
          <w:rFonts w:ascii="方正小标宋_GBK" w:hAnsi="黑体" w:eastAsia="方正小标宋_GBK"/>
          <w:b w:val="0"/>
        </w:rPr>
      </w:pPr>
      <w:r>
        <w:rPr>
          <w:rFonts w:hint="eastAsia" w:ascii="方正小标宋_GBK" w:hAnsi="黑体" w:eastAsia="方正小标宋_GBK"/>
          <w:b w:val="0"/>
        </w:rPr>
        <w:t>部门预算绩效评价报告</w:t>
      </w:r>
    </w:p>
    <w:p>
      <w:pPr>
        <w:snapToGrid w:val="0"/>
        <w:spacing w:line="600" w:lineRule="exact"/>
      </w:pPr>
    </w:p>
    <w:p>
      <w:pPr>
        <w:spacing w:line="600" w:lineRule="exact"/>
        <w:ind w:firstLine="707" w:firstLineChars="221"/>
        <w:rPr>
          <w:rFonts w:ascii="黑体" w:hAnsi="黑体" w:eastAsia="黑体"/>
          <w:sz w:val="32"/>
          <w:szCs w:val="32"/>
        </w:rPr>
      </w:pPr>
      <w:r>
        <w:rPr>
          <w:rFonts w:hint="eastAsia" w:ascii="黑体" w:hAnsi="黑体" w:eastAsia="黑体"/>
          <w:sz w:val="32"/>
          <w:szCs w:val="32"/>
        </w:rPr>
        <w:t>一、部门基本情况</w:t>
      </w:r>
    </w:p>
    <w:p>
      <w:pPr>
        <w:spacing w:line="600" w:lineRule="exact"/>
        <w:ind w:firstLine="707" w:firstLineChars="221"/>
        <w:rPr>
          <w:rFonts w:ascii="仿宋_GB2312" w:eastAsia="仿宋_GB2312"/>
          <w:sz w:val="32"/>
          <w:szCs w:val="32"/>
        </w:rPr>
      </w:pPr>
      <w:r>
        <w:rPr>
          <w:rFonts w:hint="eastAsia" w:ascii="楷体_GB2312" w:eastAsia="楷体_GB2312"/>
          <w:sz w:val="32"/>
          <w:szCs w:val="32"/>
        </w:rPr>
        <w:t>（一）机构组成。</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政协攀枝花市西区委员会内设二室七委：办公室（挂政策研究室牌子）、提案委员会、经济委员会、人口资源环境委员会、社会和法制委员会、文化文史和学习委员会、教科卫体委员会、委员联络委员会。</w:t>
      </w:r>
    </w:p>
    <w:p>
      <w:pPr>
        <w:spacing w:line="600" w:lineRule="exact"/>
        <w:ind w:firstLine="707" w:firstLineChars="221"/>
        <w:rPr>
          <w:rFonts w:ascii="楷体_GB2312" w:eastAsia="楷体_GB2312"/>
          <w:b/>
          <w:sz w:val="32"/>
          <w:szCs w:val="32"/>
        </w:rPr>
      </w:pPr>
      <w:r>
        <w:rPr>
          <w:rFonts w:hint="eastAsia" w:ascii="楷体_GB2312" w:eastAsia="楷体_GB2312"/>
          <w:sz w:val="32"/>
          <w:szCs w:val="32"/>
        </w:rPr>
        <w:t>（二）机构职能</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政协攀枝花市西区委员会办公室是政协攀枝花市西区委员会的综合办事机构，承担为区政协履行政治协商、民主监督、参政议政职能服务的各项工作。</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1.负责政协攀枝花市西区委员会全体会议、常委会会议、主席会议和其他重要会议的会务工作；并起草全体会议、常委会会议和其他会议的文字工作以及政协工作的综合性文件。2.组织实施区政协组织的调研、视察、考察和其他各种活动的协调服务工作。3.负责住区市政协委员活动服务工作和区政协委员活动的服务工作。4.负责政协工作的对内对外宣传，收集反映各族各界人士的意见和建议。5.密切联系区委办公室、区人大常委会办公室、区政府办公室以及区级各部门，相互配合，协同工作。6.负责区政协机关文电处理、文书档案、文印、通讯、机要保密工作。7.负责区政协机关各种接待和联络工作。8.承办区政协委员和各界人士的来信来访工作，加强与委员联系，为他们履职尽责做好服务工作。9.负责区政协机关国有资产管理、财务管理、车辆管理和物品采购管理，负责区政协机关综治、精神文明、卫生、消防和后勤保障及管理工作。10.负责区政协机构编制、干部考核、目标管理和区政协机关的自身建设工作。11.承担区政协主席、副主席交办的其他事项。</w:t>
      </w:r>
    </w:p>
    <w:p>
      <w:pPr>
        <w:spacing w:line="600" w:lineRule="exact"/>
        <w:ind w:firstLine="707" w:firstLineChars="221"/>
        <w:rPr>
          <w:rFonts w:ascii="楷体_GB2312" w:eastAsia="楷体_GB2312"/>
          <w:b/>
          <w:sz w:val="32"/>
          <w:szCs w:val="32"/>
        </w:rPr>
      </w:pPr>
      <w:r>
        <w:rPr>
          <w:rFonts w:hint="eastAsia" w:ascii="楷体_GB2312" w:eastAsia="楷体_GB2312"/>
          <w:sz w:val="32"/>
          <w:szCs w:val="32"/>
        </w:rPr>
        <w:t>（三）人员概况</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2023年行政编制13名、事业编制4名、临聘编制2名，2023年年末实有在职人员25人（其中公务员19人，事业4人，临聘2人），由养老保险基金发放养老金的财政拨款退休人员14人。</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二、部门资金收支情况</w:t>
      </w:r>
    </w:p>
    <w:p>
      <w:pPr>
        <w:spacing w:line="600" w:lineRule="exact"/>
        <w:ind w:firstLine="707" w:firstLineChars="221"/>
        <w:rPr>
          <w:rFonts w:ascii="楷体_GB2312" w:eastAsia="楷体_GB2312"/>
          <w:sz w:val="32"/>
          <w:szCs w:val="32"/>
        </w:rPr>
      </w:pPr>
      <w:r>
        <w:rPr>
          <w:rFonts w:hint="eastAsia" w:ascii="楷体_GB2312" w:eastAsia="楷体_GB2312"/>
          <w:sz w:val="32"/>
          <w:szCs w:val="32"/>
        </w:rPr>
        <w:t>（一）收入情况。</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2023年区政协财政拨款收入691.97万元，其中：一般公共预算财政拨款收入682.37万元，主要用于维持部门日常运转的人员经费和日常公用经费；政府性基金预算财政拨款收入9.60万元，主要用于：政协委员视察调研、小微协商、政协会议、专委会工作、界别活动、委员培训、办公室运转等工作的开展。</w:t>
      </w:r>
    </w:p>
    <w:p>
      <w:pPr>
        <w:spacing w:line="600" w:lineRule="exact"/>
        <w:ind w:firstLine="707" w:firstLineChars="221"/>
        <w:rPr>
          <w:rFonts w:ascii="楷体_GB2312" w:eastAsia="楷体_GB2312"/>
          <w:sz w:val="32"/>
          <w:szCs w:val="32"/>
        </w:rPr>
      </w:pPr>
      <w:r>
        <w:rPr>
          <w:rFonts w:hint="eastAsia" w:ascii="楷体_GB2312" w:eastAsia="楷体_GB2312"/>
          <w:sz w:val="32"/>
          <w:szCs w:val="32"/>
        </w:rPr>
        <w:t>（二）支出情况。</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2023年部门支出</w:t>
      </w:r>
      <w:r>
        <w:rPr>
          <w:sz w:val="32"/>
          <w:szCs w:val="32"/>
        </w:rPr>
        <w:t>714.81</w:t>
      </w:r>
      <w:r>
        <w:rPr>
          <w:rFonts w:hint="eastAsia" w:ascii="仿宋" w:hAnsi="仿宋" w:eastAsia="仿宋"/>
          <w:sz w:val="32"/>
          <w:szCs w:val="32"/>
        </w:rPr>
        <w:t>万元，其中：基本支出</w:t>
      </w:r>
      <w:r>
        <w:rPr>
          <w:sz w:val="32"/>
          <w:szCs w:val="32"/>
        </w:rPr>
        <w:t>668.27</w:t>
      </w:r>
      <w:r>
        <w:rPr>
          <w:rFonts w:hint="eastAsia" w:ascii="仿宋" w:hAnsi="仿宋" w:eastAsia="仿宋"/>
          <w:sz w:val="32"/>
          <w:szCs w:val="32"/>
        </w:rPr>
        <w:t>万元，占总支出的</w:t>
      </w:r>
      <w:r>
        <w:rPr>
          <w:sz w:val="32"/>
          <w:szCs w:val="32"/>
        </w:rPr>
        <w:t>93.4</w:t>
      </w:r>
      <w:r>
        <w:rPr>
          <w:rFonts w:hint="eastAsia"/>
          <w:sz w:val="32"/>
          <w:szCs w:val="32"/>
        </w:rPr>
        <w:t>9</w:t>
      </w:r>
      <w:r>
        <w:rPr>
          <w:rFonts w:ascii="仿宋" w:hAnsi="仿宋" w:eastAsia="仿宋"/>
          <w:sz w:val="32"/>
          <w:szCs w:val="32"/>
        </w:rPr>
        <w:t>%</w:t>
      </w:r>
      <w:r>
        <w:rPr>
          <w:rFonts w:hint="eastAsia" w:ascii="仿宋" w:hAnsi="仿宋" w:eastAsia="仿宋"/>
          <w:sz w:val="32"/>
          <w:szCs w:val="32"/>
        </w:rPr>
        <w:t>；项目支出</w:t>
      </w:r>
      <w:r>
        <w:rPr>
          <w:sz w:val="32"/>
          <w:szCs w:val="32"/>
        </w:rPr>
        <w:t>46.54</w:t>
      </w:r>
      <w:r>
        <w:rPr>
          <w:rFonts w:hint="eastAsia" w:ascii="仿宋" w:hAnsi="仿宋" w:eastAsia="仿宋"/>
          <w:sz w:val="32"/>
          <w:szCs w:val="32"/>
        </w:rPr>
        <w:t>万元，占总支出的</w:t>
      </w:r>
      <w:r>
        <w:rPr>
          <w:sz w:val="32"/>
          <w:szCs w:val="32"/>
        </w:rPr>
        <w:t>6.51</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万元，占总支出的</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万元，占总支出的</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万元，占总支出的</w:t>
      </w:r>
      <w:r>
        <w:rPr>
          <w:sz w:val="32"/>
          <w:szCs w:val="32"/>
        </w:rPr>
        <w:t>0</w:t>
      </w:r>
      <w:r>
        <w:rPr>
          <w:rFonts w:ascii="仿宋" w:hAnsi="仿宋" w:eastAsia="仿宋"/>
          <w:sz w:val="32"/>
          <w:szCs w:val="32"/>
        </w:rPr>
        <w:t>%</w:t>
      </w:r>
      <w:r>
        <w:rPr>
          <w:rFonts w:hint="eastAsia" w:ascii="仿宋" w:hAnsi="仿宋" w:eastAsia="仿宋"/>
          <w:sz w:val="32"/>
          <w:szCs w:val="32"/>
        </w:rPr>
        <w:t>。</w:t>
      </w:r>
    </w:p>
    <w:p>
      <w:pPr>
        <w:spacing w:line="600" w:lineRule="exact"/>
        <w:ind w:firstLine="707" w:firstLineChars="221"/>
        <w:rPr>
          <w:rFonts w:ascii="楷体_GB2312" w:eastAsia="楷体_GB2312"/>
          <w:sz w:val="32"/>
          <w:szCs w:val="32"/>
        </w:rPr>
      </w:pPr>
      <w:r>
        <w:rPr>
          <w:rFonts w:hint="eastAsia" w:ascii="楷体_GB2312" w:eastAsia="楷体_GB2312"/>
          <w:sz w:val="32"/>
          <w:szCs w:val="32"/>
        </w:rPr>
        <w:t>（三）结余分配和结转结余情况。</w:t>
      </w:r>
    </w:p>
    <w:p>
      <w:pPr>
        <w:widowControl/>
        <w:adjustRightInd w:val="0"/>
        <w:snapToGrid w:val="0"/>
        <w:spacing w:line="600" w:lineRule="exact"/>
        <w:ind w:firstLine="640" w:firstLineChars="200"/>
        <w:contextualSpacing/>
        <w:jc w:val="left"/>
        <w:rPr>
          <w:rFonts w:eastAsia="仿宋_GB2312"/>
          <w:kern w:val="0"/>
          <w:szCs w:val="32"/>
          <w:shd w:val="clear" w:color="auto" w:fill="FFFFFF"/>
          <w:lang w:val="zh-CN"/>
        </w:rPr>
      </w:pPr>
      <w:r>
        <w:rPr>
          <w:rFonts w:hint="eastAsia" w:eastAsia="仿宋_GB2312"/>
          <w:sz w:val="32"/>
          <w:szCs w:val="32"/>
        </w:rPr>
        <w:t>中国人民政治协商会议攀枝花市西区委员会办公室2023年无结转结余。</w:t>
      </w:r>
    </w:p>
    <w:p>
      <w:pPr>
        <w:widowControl/>
        <w:adjustRightInd w:val="0"/>
        <w:snapToGrid w:val="0"/>
        <w:spacing w:line="600" w:lineRule="exact"/>
        <w:ind w:firstLine="640" w:firstLineChars="200"/>
        <w:contextualSpacing/>
        <w:jc w:val="left"/>
        <w:rPr>
          <w:rFonts w:eastAsia="仿宋_GB2312"/>
          <w:color w:val="000000"/>
          <w:kern w:val="0"/>
          <w:szCs w:val="32"/>
          <w:shd w:val="clear" w:color="auto" w:fill="FFFFFF"/>
          <w:lang w:val="zh-CN"/>
        </w:rPr>
      </w:pPr>
      <w:r>
        <w:rPr>
          <w:rFonts w:hint="eastAsia" w:ascii="黑体" w:hAnsi="黑体" w:eastAsia="黑体"/>
          <w:sz w:val="32"/>
          <w:szCs w:val="32"/>
        </w:rPr>
        <w:t>三、部门预算绩效分析</w:t>
      </w:r>
    </w:p>
    <w:p>
      <w:pPr>
        <w:spacing w:line="600" w:lineRule="exact"/>
        <w:ind w:firstLine="707" w:firstLineChars="221"/>
        <w:rPr>
          <w:rFonts w:ascii="楷体_GB2312" w:eastAsia="楷体_GB2312"/>
          <w:sz w:val="32"/>
          <w:szCs w:val="32"/>
        </w:rPr>
      </w:pPr>
      <w:r>
        <w:rPr>
          <w:rFonts w:hint="eastAsia" w:ascii="楷体_GB2312" w:eastAsia="楷体_GB2312"/>
          <w:sz w:val="32"/>
          <w:szCs w:val="32"/>
        </w:rPr>
        <w:t>（一）部门预算总体绩效分析。</w:t>
      </w:r>
    </w:p>
    <w:p>
      <w:pPr>
        <w:adjustRightInd w:val="0"/>
        <w:snapToGrid w:val="0"/>
        <w:spacing w:line="600" w:lineRule="exact"/>
        <w:ind w:firstLine="642" w:firstLineChars="200"/>
        <w:jc w:val="left"/>
        <w:rPr>
          <w:rFonts w:ascii="仿宋_GB2312" w:eastAsia="仿宋_GB2312"/>
          <w:b/>
          <w:spacing w:val="-6"/>
          <w:sz w:val="33"/>
          <w:szCs w:val="33"/>
        </w:rPr>
      </w:pPr>
      <w:r>
        <w:rPr>
          <w:rFonts w:hint="eastAsia" w:ascii="仿宋_GB2312" w:hAnsi="楷体_GB2312" w:eastAsia="仿宋_GB2312" w:cs="楷体_GB2312"/>
          <w:b/>
          <w:color w:val="000000"/>
          <w:kern w:val="0"/>
          <w:sz w:val="32"/>
          <w:szCs w:val="32"/>
          <w:shd w:val="clear" w:color="auto" w:fill="FFFFFF"/>
        </w:rPr>
        <w:t>1.</w:t>
      </w:r>
      <w:r>
        <w:rPr>
          <w:rFonts w:hint="eastAsia" w:ascii="仿宋_GB2312" w:hAnsi="楷体_GB2312" w:eastAsia="仿宋_GB2312" w:cs="楷体_GB2312"/>
          <w:b/>
          <w:color w:val="000000"/>
          <w:kern w:val="0"/>
          <w:sz w:val="32"/>
          <w:szCs w:val="32"/>
          <w:shd w:val="clear" w:color="auto" w:fill="FFFFFF"/>
          <w:lang w:val="zh-CN"/>
        </w:rPr>
        <w:t>履职</w:t>
      </w:r>
      <w:r>
        <w:rPr>
          <w:rFonts w:hint="eastAsia" w:ascii="仿宋_GB2312" w:hAnsi="楷体_GB2312" w:eastAsia="仿宋_GB2312" w:cs="楷体_GB2312"/>
          <w:b/>
          <w:color w:val="000000"/>
          <w:kern w:val="0"/>
          <w:sz w:val="32"/>
          <w:szCs w:val="32"/>
          <w:shd w:val="clear" w:color="auto" w:fill="FFFFFF"/>
        </w:rPr>
        <w:t>效能</w:t>
      </w:r>
      <w:r>
        <w:rPr>
          <w:rFonts w:hint="eastAsia" w:ascii="仿宋_GB2312" w:hAnsi="楷体_GB2312" w:eastAsia="仿宋_GB2312" w:cs="楷体_GB2312"/>
          <w:b/>
          <w:color w:val="000000"/>
          <w:kern w:val="0"/>
          <w:sz w:val="32"/>
          <w:szCs w:val="32"/>
          <w:shd w:val="clear" w:color="auto" w:fill="FFFFFF"/>
          <w:lang w:val="zh-CN"/>
        </w:rPr>
        <w:t>。</w:t>
      </w:r>
    </w:p>
    <w:p>
      <w:pPr>
        <w:spacing w:line="600" w:lineRule="exact"/>
        <w:ind w:firstLine="636" w:firstLineChars="200"/>
        <w:rPr>
          <w:rFonts w:eastAsia="方正仿宋_GBK"/>
          <w:sz w:val="33"/>
          <w:szCs w:val="33"/>
        </w:rPr>
      </w:pPr>
      <w:r>
        <w:rPr>
          <w:rFonts w:hint="eastAsia" w:eastAsia="方正仿宋_GBK"/>
          <w:spacing w:val="-6"/>
          <w:sz w:val="33"/>
          <w:szCs w:val="33"/>
        </w:rPr>
        <w:t>2023年区政协委员积极参加政协会议、视察调研、专委会及界别学习活动等，充分发挥了委员的主体作用，为西区发展积极建言献策；围绕区委、区政府中心工作开展</w:t>
      </w:r>
      <w:r>
        <w:rPr>
          <w:rFonts w:eastAsia="方正仿宋_GBK"/>
          <w:sz w:val="33"/>
          <w:szCs w:val="33"/>
        </w:rPr>
        <w:t>专题调研视察与协商活动</w:t>
      </w:r>
      <w:r>
        <w:rPr>
          <w:rFonts w:hint="eastAsia" w:eastAsia="方正仿宋_GBK"/>
          <w:spacing w:val="-6"/>
          <w:sz w:val="33"/>
          <w:szCs w:val="33"/>
        </w:rPr>
        <w:t>，</w:t>
      </w:r>
      <w:r>
        <w:rPr>
          <w:rFonts w:eastAsia="方正仿宋_GBK"/>
          <w:sz w:val="33"/>
          <w:szCs w:val="33"/>
        </w:rPr>
        <w:t>开展协商资政建言，</w:t>
      </w:r>
      <w:r>
        <w:rPr>
          <w:rFonts w:hint="eastAsia" w:eastAsia="方正仿宋_GBK"/>
          <w:spacing w:val="-6"/>
          <w:sz w:val="33"/>
          <w:szCs w:val="33"/>
        </w:rPr>
        <w:t>提出意见建议，</w:t>
      </w:r>
      <w:r>
        <w:rPr>
          <w:rFonts w:eastAsia="方正仿宋_GBK"/>
          <w:sz w:val="33"/>
          <w:szCs w:val="33"/>
        </w:rPr>
        <w:t>按照“1+2+4+N”协商工作体系，形成系列协商成果</w:t>
      </w:r>
      <w:r>
        <w:rPr>
          <w:rFonts w:hint="eastAsia" w:eastAsia="方正仿宋_GBK"/>
          <w:spacing w:val="-6"/>
          <w:sz w:val="33"/>
          <w:szCs w:val="33"/>
        </w:rPr>
        <w:t>；</w:t>
      </w:r>
      <w:r>
        <w:rPr>
          <w:rFonts w:eastAsia="方正仿宋_GBK"/>
          <w:sz w:val="33"/>
          <w:szCs w:val="33"/>
        </w:rPr>
        <w:t>深入开展“我为建设共同富裕试验区献一策”和履职服务为民活动</w:t>
      </w:r>
      <w:r>
        <w:rPr>
          <w:rFonts w:hint="eastAsia" w:eastAsia="方正仿宋_GBK"/>
          <w:sz w:val="33"/>
          <w:szCs w:val="33"/>
        </w:rPr>
        <w:t>，</w:t>
      </w:r>
      <w:r>
        <w:rPr>
          <w:rFonts w:eastAsia="方正仿宋_GBK"/>
          <w:sz w:val="33"/>
          <w:szCs w:val="33"/>
        </w:rPr>
        <w:t>委员发挥优势开展了教育帮扶、就业帮助、农具捐赠等力所能及的工作</w:t>
      </w:r>
      <w:r>
        <w:rPr>
          <w:rFonts w:hint="eastAsia" w:eastAsia="方正仿宋_GBK"/>
          <w:sz w:val="33"/>
          <w:szCs w:val="33"/>
        </w:rPr>
        <w:t>；</w:t>
      </w:r>
      <w:r>
        <w:rPr>
          <w:rFonts w:hint="eastAsia" w:eastAsia="方正仿宋_GBK"/>
          <w:spacing w:val="-6"/>
          <w:sz w:val="33"/>
          <w:szCs w:val="33"/>
        </w:rPr>
        <w:t>组织委员外出培训，提高委员履职能力；充分</w:t>
      </w:r>
      <w:r>
        <w:rPr>
          <w:rFonts w:eastAsia="方正仿宋_GBK"/>
          <w:sz w:val="33"/>
          <w:szCs w:val="33"/>
        </w:rPr>
        <w:t>发挥</w:t>
      </w:r>
      <w:r>
        <w:rPr>
          <w:rFonts w:hint="eastAsia" w:eastAsia="方正仿宋_GBK"/>
          <w:sz w:val="33"/>
          <w:szCs w:val="33"/>
        </w:rPr>
        <w:t>政治协商、民主监督、</w:t>
      </w:r>
      <w:r>
        <w:rPr>
          <w:rFonts w:eastAsia="方正仿宋_GBK"/>
          <w:sz w:val="33"/>
          <w:szCs w:val="33"/>
        </w:rPr>
        <w:t>参政议政作用</w:t>
      </w:r>
      <w:r>
        <w:rPr>
          <w:rFonts w:hint="eastAsia" w:eastAsia="方正仿宋_GBK"/>
          <w:sz w:val="33"/>
          <w:szCs w:val="33"/>
        </w:rPr>
        <w:t>，委员攥写提交提案，及时反应社情民意，为加快推进</w:t>
      </w:r>
      <w:r>
        <w:rPr>
          <w:rFonts w:eastAsia="方正仿宋_GBK"/>
          <w:sz w:val="33"/>
          <w:szCs w:val="33"/>
        </w:rPr>
        <w:t>“一区一城”</w:t>
      </w:r>
      <w:r>
        <w:rPr>
          <w:rFonts w:hint="eastAsia" w:eastAsia="方正仿宋_GBK"/>
          <w:sz w:val="33"/>
          <w:szCs w:val="33"/>
        </w:rPr>
        <w:t>建设</w:t>
      </w:r>
      <w:r>
        <w:rPr>
          <w:rFonts w:eastAsia="方正仿宋_GBK"/>
          <w:sz w:val="33"/>
          <w:szCs w:val="33"/>
        </w:rPr>
        <w:t>目标和高质量发展建设共同富裕试验区，力建睿智之言，力献务实之策。</w:t>
      </w:r>
    </w:p>
    <w:p>
      <w:pPr>
        <w:adjustRightInd w:val="0"/>
        <w:snapToGrid w:val="0"/>
        <w:spacing w:line="600" w:lineRule="exact"/>
        <w:ind w:firstLine="642" w:firstLineChars="200"/>
        <w:jc w:val="left"/>
        <w:rPr>
          <w:rFonts w:ascii="仿宋_GB2312" w:hAnsi="楷体_GB2312" w:eastAsia="仿宋_GB2312" w:cs="楷体_GB2312"/>
          <w:b/>
          <w:color w:val="000000"/>
          <w:kern w:val="0"/>
          <w:sz w:val="32"/>
          <w:szCs w:val="32"/>
          <w:shd w:val="clear" w:color="auto" w:fill="FFFFFF"/>
        </w:rPr>
      </w:pPr>
      <w:r>
        <w:rPr>
          <w:rFonts w:hint="eastAsia" w:ascii="仿宋_GB2312" w:hAnsi="楷体_GB2312" w:eastAsia="仿宋_GB2312" w:cs="楷体_GB2312"/>
          <w:b/>
          <w:color w:val="000000"/>
          <w:kern w:val="0"/>
          <w:sz w:val="32"/>
          <w:szCs w:val="32"/>
          <w:shd w:val="clear" w:color="auto" w:fill="FFFFFF"/>
        </w:rPr>
        <w:t>2.预算管理。</w:t>
      </w:r>
    </w:p>
    <w:p>
      <w:pPr>
        <w:adjustRightInd w:val="0"/>
        <w:snapToGrid w:val="0"/>
        <w:spacing w:line="600" w:lineRule="exact"/>
        <w:ind w:firstLine="640" w:firstLineChars="200"/>
        <w:contextualSpacing/>
        <w:jc w:val="left"/>
        <w:rPr>
          <w:rFonts w:eastAsia="仿宋_GB2312"/>
          <w:color w:val="000000"/>
          <w:kern w:val="0"/>
          <w:sz w:val="32"/>
          <w:szCs w:val="32"/>
          <w:shd w:val="clear" w:color="auto" w:fill="FFFFFF"/>
        </w:rPr>
      </w:pPr>
      <w:r>
        <w:rPr>
          <w:rFonts w:hint="eastAsia" w:eastAsia="仿宋_GB2312"/>
          <w:sz w:val="32"/>
          <w:szCs w:val="32"/>
          <w:lang w:val="zh-CN"/>
        </w:rPr>
        <w:t>根据财政预算编制要求，结合部门实际，科学、合理编制2023年度预算。资金使用中严格按照先审批后拨付管理制度执行，合理统筹部门资金，提高资金使用率。</w:t>
      </w:r>
      <w:r>
        <w:rPr>
          <w:rFonts w:hint="eastAsia" w:eastAsia="仿宋_GB2312"/>
          <w:color w:val="000000"/>
          <w:kern w:val="0"/>
          <w:sz w:val="32"/>
          <w:szCs w:val="32"/>
          <w:shd w:val="clear" w:color="auto" w:fill="FFFFFF"/>
        </w:rPr>
        <w:t>严格执行先预算后支出的原则，没有超预算或者无预算安排支出。</w:t>
      </w:r>
    </w:p>
    <w:p>
      <w:pPr>
        <w:adjustRightInd w:val="0"/>
        <w:snapToGrid w:val="0"/>
        <w:spacing w:line="600" w:lineRule="exact"/>
        <w:ind w:firstLine="642" w:firstLineChars="200"/>
        <w:jc w:val="left"/>
        <w:rPr>
          <w:rFonts w:ascii="仿宋_GB2312" w:hAnsi="楷体_GB2312" w:eastAsia="仿宋_GB2312" w:cs="楷体_GB2312"/>
          <w:b/>
          <w:color w:val="000000"/>
          <w:kern w:val="0"/>
          <w:sz w:val="32"/>
          <w:szCs w:val="32"/>
          <w:shd w:val="clear" w:color="auto" w:fill="FFFFFF"/>
        </w:rPr>
      </w:pPr>
      <w:r>
        <w:rPr>
          <w:rFonts w:hint="eastAsia" w:ascii="仿宋_GB2312" w:hAnsi="楷体_GB2312" w:eastAsia="仿宋_GB2312" w:cs="楷体_GB2312"/>
          <w:b/>
          <w:color w:val="000000"/>
          <w:kern w:val="0"/>
          <w:sz w:val="32"/>
          <w:szCs w:val="32"/>
          <w:shd w:val="clear" w:color="auto" w:fill="FFFFFF"/>
        </w:rPr>
        <w:t>3.财务管理。</w:t>
      </w:r>
    </w:p>
    <w:p>
      <w:pPr>
        <w:adjustRightInd w:val="0"/>
        <w:snapToGrid w:val="0"/>
        <w:spacing w:line="600"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eastAsia="仿宋_GB2312"/>
          <w:sz w:val="32"/>
          <w:szCs w:val="32"/>
          <w:lang w:val="zh-CN"/>
        </w:rPr>
        <w:t>部门财务管理制度健全，明确了岗位职责权限，岗位相互制约，相互分离。严格执行财务管理制度，资金使用合理规范，按照“有预算才有开支，在预算额度内开支，按预算规定用途开支”规定，严格审批把关。</w:t>
      </w:r>
      <w:r>
        <w:rPr>
          <w:rFonts w:eastAsia="方正仿宋_GBK"/>
          <w:sz w:val="33"/>
          <w:szCs w:val="33"/>
        </w:rPr>
        <w:t>账务处理及时，会计核算规范</w:t>
      </w:r>
      <w:r>
        <w:rPr>
          <w:rFonts w:hint="eastAsia" w:eastAsia="方正仿宋_GBK"/>
          <w:sz w:val="33"/>
          <w:szCs w:val="33"/>
        </w:rPr>
        <w:t>，</w:t>
      </w:r>
      <w:r>
        <w:rPr>
          <w:rFonts w:hint="eastAsia" w:eastAsia="仿宋_GB2312"/>
          <w:sz w:val="32"/>
          <w:szCs w:val="32"/>
          <w:lang w:val="zh-CN"/>
        </w:rPr>
        <w:t>坚持厉行节约原则，强化资金管理，规范、合理、高效使用财政资金。</w:t>
      </w:r>
    </w:p>
    <w:p>
      <w:pPr>
        <w:adjustRightInd w:val="0"/>
        <w:snapToGrid w:val="0"/>
        <w:spacing w:line="600" w:lineRule="exact"/>
        <w:ind w:firstLine="642" w:firstLineChars="200"/>
        <w:jc w:val="left"/>
        <w:rPr>
          <w:rFonts w:ascii="仿宋_GB2312" w:hAnsi="楷体_GB2312" w:eastAsia="仿宋_GB2312" w:cs="楷体_GB2312"/>
          <w:b/>
          <w:color w:val="000000"/>
          <w:kern w:val="0"/>
          <w:sz w:val="32"/>
          <w:szCs w:val="32"/>
          <w:shd w:val="clear" w:color="auto" w:fill="FFFFFF"/>
        </w:rPr>
      </w:pPr>
      <w:r>
        <w:rPr>
          <w:rFonts w:hint="eastAsia" w:ascii="仿宋_GB2312" w:hAnsi="楷体_GB2312" w:eastAsia="仿宋_GB2312" w:cs="楷体_GB2312"/>
          <w:b/>
          <w:color w:val="000000"/>
          <w:kern w:val="0"/>
          <w:sz w:val="32"/>
          <w:szCs w:val="32"/>
          <w:shd w:val="clear" w:color="auto" w:fill="FFFFFF"/>
        </w:rPr>
        <w:t>4.资产管理。</w:t>
      </w:r>
    </w:p>
    <w:p>
      <w:pPr>
        <w:spacing w:line="600" w:lineRule="exact"/>
        <w:ind w:firstLine="679" w:firstLineChars="206"/>
        <w:rPr>
          <w:rFonts w:eastAsia="方正仿宋_GBK"/>
          <w:sz w:val="33"/>
          <w:szCs w:val="33"/>
        </w:rPr>
      </w:pPr>
      <w:r>
        <w:rPr>
          <w:rFonts w:hint="eastAsia" w:eastAsia="方正仿宋_GBK"/>
          <w:sz w:val="33"/>
          <w:szCs w:val="33"/>
        </w:rPr>
        <w:t>截至</w:t>
      </w:r>
      <w:r>
        <w:rPr>
          <w:rFonts w:eastAsia="方正仿宋_GBK"/>
          <w:sz w:val="33"/>
          <w:szCs w:val="33"/>
        </w:rPr>
        <w:t>2023</w:t>
      </w:r>
      <w:r>
        <w:rPr>
          <w:rFonts w:hint="eastAsia" w:eastAsia="方正仿宋_GBK"/>
          <w:sz w:val="33"/>
          <w:szCs w:val="33"/>
        </w:rPr>
        <w:t>年</w:t>
      </w:r>
      <w:r>
        <w:rPr>
          <w:rFonts w:eastAsia="方正仿宋_GBK"/>
          <w:sz w:val="33"/>
          <w:szCs w:val="33"/>
        </w:rPr>
        <w:t>12</w:t>
      </w:r>
      <w:r>
        <w:rPr>
          <w:rFonts w:hint="eastAsia" w:eastAsia="方正仿宋_GBK"/>
          <w:sz w:val="33"/>
          <w:szCs w:val="33"/>
        </w:rPr>
        <w:t>月</w:t>
      </w:r>
      <w:r>
        <w:rPr>
          <w:rFonts w:eastAsia="方正仿宋_GBK"/>
          <w:sz w:val="33"/>
          <w:szCs w:val="33"/>
        </w:rPr>
        <w:t>31</w:t>
      </w:r>
      <w:r>
        <w:rPr>
          <w:rFonts w:hint="eastAsia" w:eastAsia="方正仿宋_GBK"/>
          <w:sz w:val="33"/>
          <w:szCs w:val="33"/>
        </w:rPr>
        <w:t>日，区政协办公室自用固定资产47.8万元，占账面固定资产总额的</w:t>
      </w:r>
      <w:r>
        <w:rPr>
          <w:rFonts w:eastAsia="方正仿宋_GBK"/>
          <w:sz w:val="33"/>
          <w:szCs w:val="33"/>
        </w:rPr>
        <w:t>100%</w:t>
      </w:r>
      <w:r>
        <w:rPr>
          <w:rFonts w:hint="eastAsia" w:eastAsia="方正仿宋_GBK"/>
          <w:sz w:val="33"/>
          <w:szCs w:val="33"/>
        </w:rPr>
        <w:t>，其中</w:t>
      </w:r>
      <w:r>
        <w:rPr>
          <w:rFonts w:eastAsia="方正仿宋_GBK"/>
          <w:sz w:val="33"/>
          <w:szCs w:val="33"/>
        </w:rPr>
        <w:t>:</w:t>
      </w:r>
      <w:r>
        <w:rPr>
          <w:rFonts w:hint="eastAsia" w:eastAsia="方正仿宋_GBK"/>
          <w:sz w:val="33"/>
          <w:szCs w:val="33"/>
        </w:rPr>
        <w:t>在用47.80万元，占账面固定资产总额的</w:t>
      </w:r>
      <w:r>
        <w:rPr>
          <w:rFonts w:eastAsia="方正仿宋_GBK"/>
          <w:sz w:val="33"/>
          <w:szCs w:val="33"/>
        </w:rPr>
        <w:t>100 %</w:t>
      </w:r>
      <w:r>
        <w:rPr>
          <w:rFonts w:hint="eastAsia" w:eastAsia="方正仿宋_GBK"/>
          <w:sz w:val="33"/>
          <w:szCs w:val="33"/>
        </w:rPr>
        <w:t>；闲置</w:t>
      </w:r>
      <w:r>
        <w:rPr>
          <w:rFonts w:eastAsia="方正仿宋_GBK"/>
          <w:sz w:val="33"/>
          <w:szCs w:val="33"/>
        </w:rPr>
        <w:t>0</w:t>
      </w:r>
      <w:r>
        <w:rPr>
          <w:rFonts w:hint="eastAsia" w:eastAsia="方正仿宋_GBK"/>
          <w:sz w:val="33"/>
          <w:szCs w:val="33"/>
        </w:rPr>
        <w:t>万元，占账面固定资产总额的</w:t>
      </w:r>
      <w:r>
        <w:rPr>
          <w:rFonts w:eastAsia="方正仿宋_GBK"/>
          <w:sz w:val="33"/>
          <w:szCs w:val="33"/>
        </w:rPr>
        <w:t>0%</w:t>
      </w:r>
      <w:r>
        <w:rPr>
          <w:rFonts w:hint="eastAsia" w:eastAsia="方正仿宋_GBK"/>
          <w:sz w:val="33"/>
          <w:szCs w:val="33"/>
        </w:rPr>
        <w:t>；待处置（待报废、毁损等）</w:t>
      </w:r>
      <w:r>
        <w:rPr>
          <w:rFonts w:eastAsia="方正仿宋_GBK"/>
          <w:sz w:val="33"/>
          <w:szCs w:val="33"/>
        </w:rPr>
        <w:t>0</w:t>
      </w:r>
      <w:r>
        <w:rPr>
          <w:rFonts w:hint="eastAsia" w:eastAsia="方正仿宋_GBK"/>
          <w:sz w:val="33"/>
          <w:szCs w:val="33"/>
        </w:rPr>
        <w:t>万元，占账面固定资产总额的</w:t>
      </w:r>
      <w:r>
        <w:rPr>
          <w:rFonts w:eastAsia="方正仿宋_GBK"/>
          <w:sz w:val="33"/>
          <w:szCs w:val="33"/>
        </w:rPr>
        <w:t>0%</w:t>
      </w:r>
      <w:r>
        <w:rPr>
          <w:rFonts w:hint="eastAsia" w:eastAsia="方正仿宋_GBK"/>
          <w:sz w:val="33"/>
          <w:szCs w:val="33"/>
        </w:rPr>
        <w:t>。自用无形资产</w:t>
      </w:r>
      <w:r>
        <w:rPr>
          <w:rFonts w:eastAsia="方正仿宋_GBK"/>
          <w:sz w:val="33"/>
          <w:szCs w:val="33"/>
        </w:rPr>
        <w:t>0</w:t>
      </w:r>
      <w:r>
        <w:rPr>
          <w:rFonts w:hint="eastAsia" w:eastAsia="方正仿宋_GBK"/>
          <w:sz w:val="33"/>
          <w:szCs w:val="33"/>
        </w:rPr>
        <w:t>万元，占账面无形资产总额的</w:t>
      </w:r>
      <w:r>
        <w:rPr>
          <w:rFonts w:eastAsia="方正仿宋_GBK"/>
          <w:sz w:val="33"/>
          <w:szCs w:val="33"/>
        </w:rPr>
        <w:t>0%</w:t>
      </w:r>
      <w:r>
        <w:rPr>
          <w:rFonts w:hint="eastAsia" w:eastAsia="方正仿宋_GBK"/>
          <w:sz w:val="33"/>
          <w:szCs w:val="33"/>
        </w:rPr>
        <w:t>；其中在用</w:t>
      </w:r>
      <w:r>
        <w:rPr>
          <w:rFonts w:eastAsia="方正仿宋_GBK"/>
          <w:sz w:val="33"/>
          <w:szCs w:val="33"/>
        </w:rPr>
        <w:t>0</w:t>
      </w:r>
      <w:r>
        <w:rPr>
          <w:rFonts w:hint="eastAsia" w:eastAsia="方正仿宋_GBK"/>
          <w:sz w:val="33"/>
          <w:szCs w:val="33"/>
        </w:rPr>
        <w:t>万元，占账面无形资产总额的</w:t>
      </w:r>
      <w:r>
        <w:rPr>
          <w:rFonts w:eastAsia="方正仿宋_GBK"/>
          <w:sz w:val="33"/>
          <w:szCs w:val="33"/>
        </w:rPr>
        <w:t>0%</w:t>
      </w:r>
      <w:r>
        <w:rPr>
          <w:rFonts w:hint="eastAsia" w:eastAsia="方正仿宋_GBK"/>
          <w:sz w:val="33"/>
          <w:szCs w:val="33"/>
        </w:rPr>
        <w:t>；</w:t>
      </w:r>
    </w:p>
    <w:p>
      <w:pPr>
        <w:adjustRightInd w:val="0"/>
        <w:snapToGrid w:val="0"/>
        <w:spacing w:line="600" w:lineRule="exact"/>
        <w:ind w:firstLine="642" w:firstLineChars="200"/>
        <w:jc w:val="left"/>
        <w:rPr>
          <w:rFonts w:ascii="仿宋_GB2312" w:hAnsi="楷体_GB2312" w:eastAsia="仿宋_GB2312" w:cs="楷体_GB2312"/>
          <w:b/>
          <w:color w:val="000000"/>
          <w:kern w:val="0"/>
          <w:sz w:val="32"/>
          <w:szCs w:val="32"/>
          <w:shd w:val="clear" w:color="auto" w:fill="FFFFFF"/>
        </w:rPr>
      </w:pPr>
      <w:r>
        <w:rPr>
          <w:rFonts w:hint="eastAsia" w:ascii="仿宋_GB2312" w:hAnsi="楷体_GB2312" w:eastAsia="仿宋_GB2312" w:cs="楷体_GB2312"/>
          <w:b/>
          <w:color w:val="000000"/>
          <w:kern w:val="0"/>
          <w:sz w:val="32"/>
          <w:szCs w:val="32"/>
          <w:shd w:val="clear" w:color="auto" w:fill="FFFFFF"/>
        </w:rPr>
        <w:t>5.采购管理。</w:t>
      </w:r>
    </w:p>
    <w:p>
      <w:pPr>
        <w:tabs>
          <w:tab w:val="left" w:pos="1260"/>
        </w:tabs>
        <w:spacing w:line="600" w:lineRule="exact"/>
        <w:ind w:firstLine="624" w:firstLineChars="200"/>
        <w:rPr>
          <w:rFonts w:eastAsia="仿宋_GB2312"/>
          <w:sz w:val="32"/>
          <w:szCs w:val="32"/>
        </w:rPr>
      </w:pPr>
      <w:r>
        <w:rPr>
          <w:rFonts w:hint="eastAsia" w:eastAsia="仿宋_GB2312"/>
          <w:spacing w:val="-4"/>
          <w:sz w:val="32"/>
          <w:szCs w:val="32"/>
        </w:rPr>
        <w:t>2023年区政协</w:t>
      </w:r>
      <w:r>
        <w:rPr>
          <w:rFonts w:eastAsia="仿宋_GB2312"/>
          <w:spacing w:val="-4"/>
          <w:sz w:val="32"/>
          <w:szCs w:val="32"/>
        </w:rPr>
        <w:t>严格按照《财政部关于印发&lt;政府采购品目分类目录&gt;的通知》（财库〔2013〕189号）及《攀枝花市西区行政事业单位通用办公设备和办公家具配置限额标准》</w:t>
      </w:r>
      <w:r>
        <w:rPr>
          <w:rFonts w:eastAsia="仿宋_GB2312"/>
          <w:color w:val="000000"/>
          <w:sz w:val="32"/>
          <w:szCs w:val="32"/>
        </w:rPr>
        <w:t>（攀西财〔2021〕68号）</w:t>
      </w:r>
      <w:r>
        <w:rPr>
          <w:rFonts w:eastAsia="仿宋_GB2312"/>
          <w:spacing w:val="-4"/>
          <w:sz w:val="32"/>
          <w:szCs w:val="32"/>
        </w:rPr>
        <w:t>规定，结合实际需求编制采购预算，牢固树立</w:t>
      </w:r>
      <w:r>
        <w:rPr>
          <w:rFonts w:hint="eastAsia" w:eastAsia="仿宋_GB2312"/>
          <w:spacing w:val="-4"/>
          <w:sz w:val="32"/>
          <w:szCs w:val="32"/>
        </w:rPr>
        <w:t>“</w:t>
      </w:r>
      <w:r>
        <w:rPr>
          <w:rFonts w:eastAsia="仿宋_GB2312"/>
          <w:spacing w:val="-4"/>
          <w:sz w:val="32"/>
          <w:szCs w:val="32"/>
        </w:rPr>
        <w:t>过紧日子</w:t>
      </w:r>
      <w:r>
        <w:rPr>
          <w:rFonts w:hint="eastAsia" w:eastAsia="仿宋_GB2312"/>
          <w:spacing w:val="-4"/>
          <w:sz w:val="32"/>
          <w:szCs w:val="32"/>
        </w:rPr>
        <w:t>”</w:t>
      </w:r>
      <w:r>
        <w:rPr>
          <w:rFonts w:eastAsia="仿宋_GB2312"/>
          <w:spacing w:val="-4"/>
          <w:sz w:val="32"/>
          <w:szCs w:val="32"/>
        </w:rPr>
        <w:t>思想，在采购办公设备和办公家具时</w:t>
      </w:r>
      <w:r>
        <w:rPr>
          <w:rFonts w:hint="eastAsia" w:eastAsia="仿宋_GB2312"/>
          <w:spacing w:val="-4"/>
          <w:sz w:val="32"/>
          <w:szCs w:val="32"/>
        </w:rPr>
        <w:t>均在</w:t>
      </w:r>
      <w:r>
        <w:rPr>
          <w:rFonts w:eastAsia="仿宋_GB2312"/>
          <w:spacing w:val="-4"/>
          <w:sz w:val="32"/>
          <w:szCs w:val="32"/>
        </w:rPr>
        <w:t>配置限额基础上压减10%。</w:t>
      </w:r>
      <w:r>
        <w:rPr>
          <w:rFonts w:hint="eastAsia" w:eastAsia="仿宋_GB2312"/>
          <w:sz w:val="32"/>
          <w:szCs w:val="32"/>
        </w:rPr>
        <w:t>2023年采购办公设备0.09万元。</w:t>
      </w:r>
    </w:p>
    <w:p>
      <w:pPr>
        <w:spacing w:line="600" w:lineRule="exact"/>
        <w:ind w:firstLine="707" w:firstLineChars="221"/>
        <w:rPr>
          <w:rFonts w:ascii="楷体_GB2312" w:eastAsia="楷体_GB2312"/>
          <w:sz w:val="32"/>
          <w:szCs w:val="32"/>
        </w:rPr>
      </w:pPr>
      <w:r>
        <w:rPr>
          <w:rFonts w:hint="eastAsia" w:ascii="楷体_GB2312" w:eastAsia="楷体_GB2312"/>
          <w:sz w:val="32"/>
          <w:szCs w:val="32"/>
        </w:rPr>
        <w:t>（二）部门预算项目绩效分析。</w:t>
      </w:r>
    </w:p>
    <w:p>
      <w:pPr>
        <w:adjustRightInd w:val="0"/>
        <w:snapToGrid w:val="0"/>
        <w:spacing w:line="600" w:lineRule="exact"/>
        <w:ind w:firstLine="642" w:firstLineChars="200"/>
        <w:jc w:val="left"/>
        <w:rPr>
          <w:rFonts w:ascii="仿宋_GB2312" w:hAnsi="楷体_GB2312" w:eastAsia="仿宋_GB2312" w:cs="楷体_GB2312"/>
          <w:b/>
          <w:color w:val="000000"/>
          <w:kern w:val="0"/>
          <w:sz w:val="32"/>
          <w:szCs w:val="32"/>
          <w:shd w:val="clear" w:color="auto" w:fill="FFFFFF"/>
        </w:rPr>
      </w:pPr>
      <w:r>
        <w:rPr>
          <w:rFonts w:hint="eastAsia" w:ascii="仿宋_GB2312" w:hAnsi="楷体_GB2312" w:eastAsia="仿宋_GB2312" w:cs="楷体_GB2312"/>
          <w:b/>
          <w:color w:val="000000"/>
          <w:kern w:val="0"/>
          <w:sz w:val="32"/>
          <w:szCs w:val="32"/>
          <w:shd w:val="clear" w:color="auto" w:fill="FFFFFF"/>
        </w:rPr>
        <w:t>1.项目决策。</w:t>
      </w:r>
    </w:p>
    <w:p>
      <w:pPr>
        <w:widowControl/>
        <w:adjustRightInd w:val="0"/>
        <w:snapToGrid w:val="0"/>
        <w:spacing w:line="600" w:lineRule="exact"/>
        <w:ind w:firstLine="640" w:firstLineChars="200"/>
        <w:contextualSpacing/>
        <w:jc w:val="left"/>
        <w:rPr>
          <w:rFonts w:eastAsia="仿宋_GB2312"/>
          <w:sz w:val="32"/>
          <w:szCs w:val="32"/>
        </w:rPr>
      </w:pPr>
      <w:r>
        <w:rPr>
          <w:rFonts w:hint="eastAsia" w:eastAsia="仿宋_GB2312"/>
          <w:sz w:val="32"/>
          <w:szCs w:val="32"/>
        </w:rPr>
        <w:t>一是决策程序。2023年区政协严格对照财政要求对</w:t>
      </w:r>
      <w:r>
        <w:rPr>
          <w:rFonts w:hint="eastAsia" w:eastAsia="仿宋_GB2312"/>
          <w:color w:val="FF0000"/>
          <w:sz w:val="32"/>
          <w:szCs w:val="32"/>
          <w:lang w:val="en-US" w:eastAsia="zh-CN"/>
        </w:rPr>
        <w:t>5</w:t>
      </w:r>
      <w:r>
        <w:rPr>
          <w:rFonts w:hint="eastAsia" w:eastAsia="仿宋_GB2312"/>
          <w:sz w:val="32"/>
          <w:szCs w:val="32"/>
        </w:rPr>
        <w:t>个项目开展事前绩效评估，项目绩效目标根据上年资金使用及项目实际情况编制，并按程序报批。二是目标设置。按照“谁申请资金、谁设定目标</w:t>
      </w:r>
      <w:r>
        <w:rPr>
          <w:rFonts w:eastAsia="仿宋_GB2312"/>
          <w:sz w:val="32"/>
          <w:szCs w:val="32"/>
        </w:rPr>
        <w:t>”</w:t>
      </w:r>
      <w:r>
        <w:rPr>
          <w:rFonts w:hint="eastAsia" w:eastAsia="仿宋_GB2312"/>
          <w:sz w:val="32"/>
          <w:szCs w:val="32"/>
        </w:rPr>
        <w:t>的原则，由项目责任委室收集相关资料，综合分析相关情况后，对项目的立项必要性、投入经济性、目标合理性、方案可行性以及筹资合规性等方面实施评估，进行项目预算申报。各类项目目标均已达标。</w:t>
      </w:r>
    </w:p>
    <w:p>
      <w:pPr>
        <w:adjustRightInd w:val="0"/>
        <w:snapToGrid w:val="0"/>
        <w:spacing w:line="600" w:lineRule="exact"/>
        <w:ind w:firstLine="642" w:firstLineChars="200"/>
        <w:jc w:val="left"/>
        <w:rPr>
          <w:rFonts w:ascii="仿宋_GB2312" w:hAnsi="楷体_GB2312" w:eastAsia="仿宋_GB2312" w:cs="楷体_GB2312"/>
          <w:b/>
          <w:color w:val="000000"/>
          <w:kern w:val="0"/>
          <w:sz w:val="32"/>
          <w:szCs w:val="32"/>
          <w:shd w:val="clear" w:color="auto" w:fill="FFFFFF"/>
        </w:rPr>
      </w:pPr>
      <w:r>
        <w:rPr>
          <w:rFonts w:hint="eastAsia" w:ascii="仿宋_GB2312" w:hAnsi="楷体_GB2312" w:eastAsia="仿宋_GB2312" w:cs="楷体_GB2312"/>
          <w:b/>
          <w:color w:val="000000"/>
          <w:kern w:val="0"/>
          <w:sz w:val="32"/>
          <w:szCs w:val="32"/>
          <w:shd w:val="clear" w:color="auto" w:fill="FFFFFF"/>
        </w:rPr>
        <w:t>2.项目执行。</w:t>
      </w:r>
    </w:p>
    <w:p>
      <w:pPr>
        <w:spacing w:line="600" w:lineRule="exact"/>
        <w:ind w:firstLine="660" w:firstLineChars="200"/>
        <w:rPr>
          <w:rFonts w:eastAsia="仿宋_GB2312"/>
          <w:color w:val="0000FF"/>
          <w:sz w:val="32"/>
          <w:szCs w:val="32"/>
          <w:lang w:val="zh-CN"/>
        </w:rPr>
      </w:pPr>
      <w:r>
        <w:rPr>
          <w:rFonts w:hint="eastAsia" w:eastAsia="方正仿宋_GBK"/>
          <w:sz w:val="33"/>
          <w:szCs w:val="33"/>
        </w:rPr>
        <w:t>2023年项目预算数为46.54万元，截止2023年12月31日资金实际执行数46.54万元，预算执行率为100%，我部门较好地完成了绩效目标。</w:t>
      </w:r>
    </w:p>
    <w:p>
      <w:pPr>
        <w:adjustRightInd w:val="0"/>
        <w:snapToGrid w:val="0"/>
        <w:spacing w:line="600" w:lineRule="exact"/>
        <w:ind w:firstLine="642" w:firstLineChars="200"/>
        <w:jc w:val="left"/>
        <w:rPr>
          <w:rFonts w:ascii="仿宋_GB2312" w:hAnsi="楷体_GB2312" w:eastAsia="仿宋_GB2312" w:cs="楷体_GB2312"/>
          <w:b/>
          <w:color w:val="000000"/>
          <w:kern w:val="0"/>
          <w:sz w:val="32"/>
          <w:szCs w:val="32"/>
          <w:shd w:val="clear" w:color="auto" w:fill="FFFFFF"/>
        </w:rPr>
      </w:pPr>
      <w:r>
        <w:rPr>
          <w:rFonts w:hint="eastAsia" w:ascii="仿宋_GB2312" w:hAnsi="楷体_GB2312" w:eastAsia="仿宋_GB2312" w:cs="楷体_GB2312"/>
          <w:b/>
          <w:color w:val="000000"/>
          <w:kern w:val="0"/>
          <w:sz w:val="32"/>
          <w:szCs w:val="32"/>
          <w:shd w:val="clear" w:color="auto" w:fill="FFFFFF"/>
        </w:rPr>
        <w:t>3.目标实现。</w:t>
      </w:r>
    </w:p>
    <w:p>
      <w:pPr>
        <w:widowControl/>
        <w:adjustRightInd w:val="0"/>
        <w:snapToGrid w:val="0"/>
        <w:spacing w:line="600" w:lineRule="exact"/>
        <w:ind w:firstLine="640" w:firstLineChars="200"/>
        <w:contextualSpacing/>
        <w:jc w:val="left"/>
        <w:rPr>
          <w:rFonts w:eastAsia="仿宋_GB2312"/>
          <w:sz w:val="32"/>
          <w:szCs w:val="32"/>
          <w:lang w:val="zh-CN"/>
        </w:rPr>
      </w:pPr>
      <w:r>
        <w:rPr>
          <w:rFonts w:hint="eastAsia" w:eastAsia="仿宋_GB2312"/>
          <w:sz w:val="32"/>
          <w:szCs w:val="32"/>
          <w:lang w:val="zh-CN"/>
        </w:rPr>
        <w:t>我部门均衡安排各项目资金的执行进度，贯彻落实过紧日子的要求，财政资金使用效益不断提高。各项工作按照计划有序实施。</w:t>
      </w:r>
    </w:p>
    <w:p>
      <w:pPr>
        <w:widowControl/>
        <w:adjustRightInd w:val="0"/>
        <w:snapToGrid w:val="0"/>
        <w:spacing w:line="600" w:lineRule="exact"/>
        <w:ind w:firstLine="640" w:firstLineChars="200"/>
        <w:contextualSpacing/>
        <w:jc w:val="left"/>
        <w:rPr>
          <w:rFonts w:eastAsia="仿宋_GB2312"/>
          <w:sz w:val="32"/>
          <w:szCs w:val="32"/>
          <w:lang w:val="zh-CN"/>
        </w:rPr>
      </w:pPr>
      <w:r>
        <w:rPr>
          <w:rFonts w:hint="eastAsia" w:ascii="楷体_GB2312" w:eastAsia="楷体_GB2312"/>
          <w:sz w:val="32"/>
          <w:szCs w:val="32"/>
        </w:rPr>
        <w:t>（三）重点领域绩效分析。</w:t>
      </w:r>
    </w:p>
    <w:p>
      <w:pPr>
        <w:spacing w:line="600" w:lineRule="exact"/>
        <w:ind w:firstLine="660" w:firstLineChars="200"/>
        <w:rPr>
          <w:rFonts w:eastAsia="方正仿宋_GBK"/>
          <w:sz w:val="33"/>
          <w:szCs w:val="33"/>
          <w:lang w:val="zh-CN"/>
        </w:rPr>
      </w:pPr>
      <w:r>
        <w:rPr>
          <w:rFonts w:hint="eastAsia" w:eastAsia="方正仿宋_GBK"/>
          <w:sz w:val="33"/>
          <w:szCs w:val="33"/>
          <w:lang w:val="zh-CN"/>
        </w:rPr>
        <w:t>2023年度我部门不涉及国有资本、行政事业性国有资产、债券资金、政府采购和政府购买服务等重点领域的项目。</w:t>
      </w:r>
    </w:p>
    <w:p>
      <w:pPr>
        <w:spacing w:line="600" w:lineRule="exact"/>
        <w:ind w:firstLine="707" w:firstLineChars="221"/>
        <w:rPr>
          <w:rFonts w:ascii="楷体_GB2312" w:eastAsia="楷体_GB2312"/>
          <w:sz w:val="32"/>
          <w:szCs w:val="32"/>
        </w:rPr>
      </w:pPr>
      <w:r>
        <w:rPr>
          <w:rFonts w:hint="eastAsia" w:ascii="楷体_GB2312" w:eastAsia="楷体_GB2312"/>
          <w:sz w:val="32"/>
          <w:szCs w:val="32"/>
        </w:rPr>
        <w:t>（四）绩效结果应用情况。</w:t>
      </w:r>
    </w:p>
    <w:p>
      <w:pPr>
        <w:adjustRightInd w:val="0"/>
        <w:snapToGrid w:val="0"/>
        <w:spacing w:line="600" w:lineRule="exact"/>
        <w:ind w:firstLine="642" w:firstLineChars="200"/>
        <w:jc w:val="left"/>
        <w:rPr>
          <w:rFonts w:ascii="仿宋_GB2312" w:hAnsi="楷体_GB2312" w:eastAsia="仿宋_GB2312" w:cs="楷体_GB2312"/>
          <w:b/>
          <w:color w:val="000000"/>
          <w:kern w:val="0"/>
          <w:sz w:val="32"/>
          <w:szCs w:val="32"/>
          <w:shd w:val="clear" w:color="auto" w:fill="FFFFFF"/>
        </w:rPr>
      </w:pPr>
      <w:r>
        <w:rPr>
          <w:rFonts w:hint="eastAsia" w:ascii="仿宋_GB2312" w:hAnsi="楷体_GB2312" w:eastAsia="仿宋_GB2312" w:cs="楷体_GB2312"/>
          <w:b/>
          <w:color w:val="000000"/>
          <w:kern w:val="0"/>
          <w:sz w:val="32"/>
          <w:szCs w:val="32"/>
          <w:shd w:val="clear" w:color="auto" w:fill="FFFFFF"/>
        </w:rPr>
        <w:t>1.内部应用。</w:t>
      </w:r>
    </w:p>
    <w:p>
      <w:pPr>
        <w:widowControl/>
        <w:adjustRightInd w:val="0"/>
        <w:snapToGrid w:val="0"/>
        <w:spacing w:line="600" w:lineRule="exact"/>
        <w:ind w:firstLine="660" w:firstLineChars="200"/>
        <w:contextualSpacing/>
        <w:jc w:val="left"/>
        <w:rPr>
          <w:rFonts w:ascii="方正仿宋_GBK" w:hAnsi="方正仿宋_GBK" w:eastAsia="方正仿宋_GBK" w:cs="方正仿宋_GBK"/>
          <w:color w:val="000000" w:themeColor="text1"/>
          <w:sz w:val="33"/>
          <w:szCs w:val="33"/>
          <w14:textFill>
            <w14:solidFill>
              <w14:schemeClr w14:val="tx1"/>
            </w14:solidFill>
          </w14:textFill>
        </w:rPr>
      </w:pPr>
      <w:r>
        <w:rPr>
          <w:rFonts w:hint="eastAsia" w:ascii="方正仿宋_GBK" w:hAnsi="方正仿宋_GBK" w:eastAsia="方正仿宋_GBK" w:cs="方正仿宋_GBK"/>
          <w:color w:val="000000" w:themeColor="text1"/>
          <w:sz w:val="33"/>
          <w:szCs w:val="33"/>
          <w14:textFill>
            <w14:solidFill>
              <w14:schemeClr w14:val="tx1"/>
            </w14:solidFill>
          </w14:textFill>
        </w:rPr>
        <w:t>通过自评工作的开展，将评价结果作为改进预算管理和财务管理及今后年度预算安排的重要依据。我部门资金管理制度健全，款项支付规范，专款专用，最大限度地发挥了财政资金的使用效率，较好地执行了年初预算各项资金计划；账务核算及时规范，保障了机关正常运转，较好的完成了年度工作目标。</w:t>
      </w:r>
    </w:p>
    <w:p>
      <w:pPr>
        <w:adjustRightInd w:val="0"/>
        <w:snapToGrid w:val="0"/>
        <w:spacing w:line="600" w:lineRule="exact"/>
        <w:ind w:firstLine="642" w:firstLineChars="200"/>
        <w:jc w:val="left"/>
        <w:rPr>
          <w:rFonts w:ascii="仿宋_GB2312" w:hAnsi="楷体_GB2312" w:eastAsia="仿宋_GB2312" w:cs="楷体_GB2312"/>
          <w:b/>
          <w:color w:val="000000"/>
          <w:kern w:val="0"/>
          <w:sz w:val="32"/>
          <w:szCs w:val="32"/>
          <w:shd w:val="clear" w:color="auto" w:fill="FFFFFF"/>
        </w:rPr>
      </w:pPr>
      <w:r>
        <w:rPr>
          <w:rFonts w:hint="eastAsia" w:ascii="仿宋_GB2312" w:hAnsi="楷体_GB2312" w:eastAsia="仿宋_GB2312" w:cs="楷体_GB2312"/>
          <w:b/>
          <w:color w:val="000000"/>
          <w:kern w:val="0"/>
          <w:sz w:val="32"/>
          <w:szCs w:val="32"/>
          <w:shd w:val="clear" w:color="auto" w:fill="FFFFFF"/>
        </w:rPr>
        <w:t>2.自评公开。</w:t>
      </w:r>
    </w:p>
    <w:p>
      <w:pPr>
        <w:widowControl/>
        <w:adjustRightInd w:val="0"/>
        <w:snapToGrid w:val="0"/>
        <w:spacing w:line="600" w:lineRule="exact"/>
        <w:ind w:firstLine="660" w:firstLineChars="200"/>
        <w:contextualSpacing/>
        <w:jc w:val="left"/>
        <w:rPr>
          <w:rFonts w:ascii="方正仿宋_GBK" w:hAnsi="方正仿宋_GBK" w:eastAsia="方正仿宋_GBK" w:cs="方正仿宋_GBK"/>
          <w:color w:val="000000" w:themeColor="text1"/>
          <w:sz w:val="33"/>
          <w:szCs w:val="33"/>
          <w14:textFill>
            <w14:solidFill>
              <w14:schemeClr w14:val="tx1"/>
            </w14:solidFill>
          </w14:textFill>
        </w:rPr>
      </w:pPr>
      <w:r>
        <w:rPr>
          <w:rFonts w:hint="eastAsia" w:ascii="方正仿宋_GBK" w:hAnsi="方正仿宋_GBK" w:eastAsia="方正仿宋_GBK" w:cs="方正仿宋_GBK"/>
          <w:color w:val="000000" w:themeColor="text1"/>
          <w:sz w:val="33"/>
          <w:szCs w:val="33"/>
          <w14:textFill>
            <w14:solidFill>
              <w14:schemeClr w14:val="tx1"/>
            </w14:solidFill>
          </w14:textFill>
        </w:rPr>
        <w:t>按照财政部门的规定认真开展绩效评价工作，根据财政信息公开相关规定，将评价结果及时在政府门户网站进行公开。</w:t>
      </w:r>
    </w:p>
    <w:p>
      <w:pPr>
        <w:adjustRightInd w:val="0"/>
        <w:snapToGrid w:val="0"/>
        <w:spacing w:line="600" w:lineRule="exact"/>
        <w:ind w:firstLine="642" w:firstLineChars="200"/>
        <w:jc w:val="left"/>
        <w:rPr>
          <w:rFonts w:ascii="方正仿宋_GBK" w:hAnsi="方正仿宋_GBK" w:eastAsia="方正仿宋_GBK" w:cs="方正仿宋_GBK"/>
          <w:b/>
          <w:bCs/>
          <w:color w:val="000000"/>
          <w:kern w:val="0"/>
          <w:sz w:val="33"/>
          <w:szCs w:val="33"/>
          <w:shd w:val="clear" w:color="auto" w:fill="FFFFFF"/>
        </w:rPr>
      </w:pPr>
      <w:r>
        <w:rPr>
          <w:rFonts w:hint="eastAsia" w:ascii="仿宋_GB2312" w:hAnsi="楷体_GB2312" w:eastAsia="仿宋_GB2312" w:cs="楷体_GB2312"/>
          <w:b/>
          <w:color w:val="000000"/>
          <w:kern w:val="0"/>
          <w:sz w:val="32"/>
          <w:szCs w:val="32"/>
          <w:shd w:val="clear" w:color="auto" w:fill="FFFFFF"/>
        </w:rPr>
        <w:t>3.问题整改和应用反馈。</w:t>
      </w:r>
    </w:p>
    <w:p>
      <w:pPr>
        <w:widowControl/>
        <w:adjustRightInd w:val="0"/>
        <w:snapToGrid w:val="0"/>
        <w:spacing w:line="600" w:lineRule="exact"/>
        <w:ind w:firstLine="660" w:firstLineChars="200"/>
        <w:contextualSpacing/>
        <w:jc w:val="left"/>
        <w:rPr>
          <w:rFonts w:ascii="方正仿宋_GBK" w:hAnsi="方正仿宋_GBK" w:eastAsia="方正仿宋_GBK" w:cs="方正仿宋_GBK"/>
          <w:color w:val="000000" w:themeColor="text1"/>
          <w:sz w:val="33"/>
          <w:szCs w:val="33"/>
          <w:lang w:val="zh-CN"/>
          <w14:textFill>
            <w14:solidFill>
              <w14:schemeClr w14:val="tx1"/>
            </w14:solidFill>
          </w14:textFill>
        </w:rPr>
      </w:pPr>
      <w:r>
        <w:rPr>
          <w:rFonts w:hint="eastAsia" w:eastAsia="方正仿宋_GBK"/>
          <w:color w:val="000000" w:themeColor="text1"/>
          <w:sz w:val="33"/>
          <w:szCs w:val="33"/>
          <w14:textFill>
            <w14:solidFill>
              <w14:schemeClr w14:val="tx1"/>
            </w14:solidFill>
          </w14:textFill>
        </w:rPr>
        <w:t>2023</w:t>
      </w:r>
      <w:r>
        <w:rPr>
          <w:rFonts w:hint="eastAsia" w:ascii="方正仿宋_GBK" w:hAnsi="方正仿宋_GBK" w:eastAsia="方正仿宋_GBK" w:cs="方正仿宋_GBK"/>
          <w:color w:val="000000" w:themeColor="text1"/>
          <w:sz w:val="33"/>
          <w:szCs w:val="33"/>
          <w14:textFill>
            <w14:solidFill>
              <w14:schemeClr w14:val="tx1"/>
            </w14:solidFill>
          </w14:textFill>
        </w:rPr>
        <w:t>年区政协个别项目执行率较低，今后将根据年初预算情况，加强项目执行管理，提高预算资金使用绩效；加强预算编制，做到尽量细化项目资金支出预算范围和科目，在编制项目预算时对项目进行充分论证和可行性分析。区政协严格执行各项政策法规规定，规范财务管理，将预算执行纳入单位整体支出绩效目标和项目绩效目标管理，按期及时向财政部门反馈部门资金使用情况，提高财政资金使用效益。</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四、评价结论及建议</w:t>
      </w:r>
    </w:p>
    <w:p>
      <w:pPr>
        <w:spacing w:line="600" w:lineRule="exact"/>
        <w:ind w:firstLine="707" w:firstLineChars="221"/>
        <w:rPr>
          <w:rFonts w:ascii="楷体_GB2312" w:eastAsia="楷体_GB2312"/>
          <w:sz w:val="32"/>
          <w:szCs w:val="32"/>
        </w:rPr>
      </w:pPr>
      <w:r>
        <w:rPr>
          <w:rFonts w:hint="eastAsia" w:ascii="楷体_GB2312" w:eastAsia="楷体_GB2312"/>
          <w:sz w:val="32"/>
          <w:szCs w:val="32"/>
        </w:rPr>
        <w:t>（一）评价结论。</w:t>
      </w:r>
    </w:p>
    <w:p>
      <w:pPr>
        <w:widowControl/>
        <w:adjustRightInd w:val="0"/>
        <w:snapToGrid w:val="0"/>
        <w:spacing w:line="600" w:lineRule="exact"/>
        <w:ind w:firstLine="660" w:firstLineChars="200"/>
        <w:contextualSpacing/>
        <w:jc w:val="left"/>
        <w:rPr>
          <w:lang w:val="zh-CN"/>
        </w:rPr>
      </w:pPr>
      <w:r>
        <w:rPr>
          <w:rFonts w:hint="eastAsia" w:eastAsia="方正仿宋_GBK"/>
          <w:color w:val="000000" w:themeColor="text1"/>
          <w:sz w:val="33"/>
          <w:szCs w:val="33"/>
          <w14:textFill>
            <w14:solidFill>
              <w14:schemeClr w14:val="tx1"/>
            </w14:solidFill>
          </w14:textFill>
        </w:rPr>
        <w:t>2023</w:t>
      </w:r>
      <w:r>
        <w:rPr>
          <w:rFonts w:hint="eastAsia" w:ascii="方正仿宋_GBK" w:hAnsi="方正仿宋_GBK" w:eastAsia="方正仿宋_GBK" w:cs="方正仿宋_GBK"/>
          <w:color w:val="000000" w:themeColor="text1"/>
          <w:sz w:val="33"/>
          <w:szCs w:val="33"/>
          <w14:textFill>
            <w14:solidFill>
              <w14:schemeClr w14:val="tx1"/>
            </w14:solidFill>
          </w14:textFill>
        </w:rPr>
        <w:t>年区政协在绩效评价工作中，依照《</w:t>
      </w:r>
      <w:r>
        <w:rPr>
          <w:rFonts w:hint="eastAsia" w:eastAsia="方正仿宋_GBK"/>
          <w:color w:val="000000" w:themeColor="text1"/>
          <w:sz w:val="33"/>
          <w:szCs w:val="33"/>
          <w14:textFill>
            <w14:solidFill>
              <w14:schemeClr w14:val="tx1"/>
            </w14:solidFill>
          </w14:textFill>
        </w:rPr>
        <w:t>2023</w:t>
      </w:r>
      <w:r>
        <w:rPr>
          <w:rFonts w:hint="eastAsia" w:ascii="方正仿宋_GBK" w:hAnsi="方正仿宋_GBK" w:eastAsia="方正仿宋_GBK" w:cs="方正仿宋_GBK"/>
          <w:color w:val="000000" w:themeColor="text1"/>
          <w:sz w:val="33"/>
          <w:szCs w:val="33"/>
          <w14:textFill>
            <w14:solidFill>
              <w14:schemeClr w14:val="tx1"/>
            </w14:solidFill>
          </w14:textFill>
        </w:rPr>
        <w:t>年区级部门整体支出绩效评价指标体系（无专项预算项目的部门）》罗列项目，严格对照</w:t>
      </w:r>
      <w:r>
        <w:rPr>
          <w:rFonts w:hint="eastAsia" w:eastAsia="方正仿宋_GBK"/>
          <w:color w:val="000000" w:themeColor="text1"/>
          <w:sz w:val="33"/>
          <w:szCs w:val="33"/>
          <w14:textFill>
            <w14:solidFill>
              <w14:schemeClr w14:val="tx1"/>
            </w14:solidFill>
          </w14:textFill>
        </w:rPr>
        <w:t>2023</w:t>
      </w:r>
      <w:r>
        <w:rPr>
          <w:rFonts w:hint="eastAsia" w:ascii="方正仿宋_GBK" w:hAnsi="方正仿宋_GBK" w:eastAsia="方正仿宋_GBK" w:cs="方正仿宋_GBK"/>
          <w:color w:val="000000" w:themeColor="text1"/>
          <w:sz w:val="33"/>
          <w:szCs w:val="33"/>
          <w14:textFill>
            <w14:solidFill>
              <w14:schemeClr w14:val="tx1"/>
            </w14:solidFill>
          </w14:textFill>
        </w:rPr>
        <w:t>年预决算数据，条理清晰，逐项核对，准确高效地完成自评，部门预算整体绩效评价自评</w:t>
      </w:r>
      <w:r>
        <w:rPr>
          <w:rFonts w:hint="eastAsia" w:eastAsia="方正仿宋_GBK"/>
          <w:color w:val="000000" w:themeColor="text1"/>
          <w:sz w:val="33"/>
          <w:szCs w:val="33"/>
          <w14:textFill>
            <w14:solidFill>
              <w14:schemeClr w14:val="tx1"/>
            </w14:solidFill>
          </w14:textFill>
        </w:rPr>
        <w:t>91</w:t>
      </w:r>
      <w:r>
        <w:rPr>
          <w:rFonts w:hint="eastAsia" w:ascii="方正仿宋_GBK" w:hAnsi="方正仿宋_GBK" w:eastAsia="方正仿宋_GBK" w:cs="方正仿宋_GBK"/>
          <w:color w:val="000000" w:themeColor="text1"/>
          <w:sz w:val="33"/>
          <w:szCs w:val="33"/>
          <w14:textFill>
            <w14:solidFill>
              <w14:schemeClr w14:val="tx1"/>
            </w14:solidFill>
          </w14:textFill>
        </w:rPr>
        <w:t>分。</w:t>
      </w:r>
    </w:p>
    <w:p>
      <w:pPr>
        <w:widowControl/>
        <w:adjustRightInd w:val="0"/>
        <w:snapToGrid w:val="0"/>
        <w:spacing w:line="600" w:lineRule="exact"/>
        <w:ind w:firstLine="660" w:firstLineChars="200"/>
        <w:contextualSpacing/>
        <w:jc w:val="left"/>
        <w:rPr>
          <w:rFonts w:ascii="方正仿宋_GBK" w:hAnsi="方正仿宋_GBK" w:eastAsia="方正仿宋_GBK" w:cs="方正仿宋_GBK"/>
          <w:color w:val="000000" w:themeColor="text1"/>
          <w:sz w:val="33"/>
          <w:szCs w:val="33"/>
          <w14:textFill>
            <w14:solidFill>
              <w14:schemeClr w14:val="tx1"/>
            </w14:solidFill>
          </w14:textFill>
        </w:rPr>
      </w:pPr>
      <w:r>
        <w:rPr>
          <w:rFonts w:hint="eastAsia" w:eastAsia="方正仿宋_GBK"/>
          <w:color w:val="000000" w:themeColor="text1"/>
          <w:sz w:val="33"/>
          <w:szCs w:val="33"/>
          <w14:textFill>
            <w14:solidFill>
              <w14:schemeClr w14:val="tx1"/>
            </w14:solidFill>
          </w14:textFill>
        </w:rPr>
        <w:t>2023</w:t>
      </w:r>
      <w:r>
        <w:rPr>
          <w:rFonts w:hint="eastAsia" w:ascii="方正仿宋_GBK" w:hAnsi="方正仿宋_GBK" w:eastAsia="方正仿宋_GBK" w:cs="方正仿宋_GBK"/>
          <w:color w:val="000000" w:themeColor="text1"/>
          <w:sz w:val="33"/>
          <w:szCs w:val="33"/>
          <w14:textFill>
            <w14:solidFill>
              <w14:schemeClr w14:val="tx1"/>
            </w14:solidFill>
          </w14:textFill>
        </w:rPr>
        <w:t>年部门整体运行情况良好，建立健全相关制度、机制，严格执行了部门预算整体绩效评价机制，达到了预期效果。款项支付规范，专款专用，最大限度地发挥了财政资金的使用效率。从预算到执行和收入、支出都在合理范围内，预、决算及时在政府网站公开。有效保证机构运转，圆满完成了区政协制定的工作目标和上级下达的任务。</w:t>
      </w:r>
    </w:p>
    <w:p>
      <w:pPr>
        <w:spacing w:line="600" w:lineRule="exact"/>
        <w:ind w:firstLine="707" w:firstLineChars="221"/>
        <w:rPr>
          <w:rFonts w:ascii="楷体_GB2312" w:eastAsia="楷体_GB2312"/>
          <w:sz w:val="32"/>
          <w:szCs w:val="32"/>
        </w:rPr>
      </w:pPr>
      <w:r>
        <w:rPr>
          <w:rFonts w:hint="eastAsia" w:ascii="楷体_GB2312" w:eastAsia="楷体_GB2312"/>
          <w:sz w:val="32"/>
          <w:szCs w:val="32"/>
        </w:rPr>
        <w:t>（二）存在问题。</w:t>
      </w:r>
    </w:p>
    <w:p>
      <w:pPr>
        <w:widowControl/>
        <w:adjustRightInd w:val="0"/>
        <w:snapToGrid w:val="0"/>
        <w:spacing w:line="600" w:lineRule="exact"/>
        <w:ind w:firstLine="660" w:firstLineChars="200"/>
        <w:contextualSpacing/>
        <w:jc w:val="left"/>
        <w:rPr>
          <w:rFonts w:ascii="方正仿宋_GBK" w:hAnsi="方正仿宋_GBK" w:eastAsia="方正仿宋_GBK" w:cs="方正仿宋_GBK"/>
          <w:color w:val="000000" w:themeColor="text1"/>
          <w:sz w:val="33"/>
          <w:szCs w:val="33"/>
          <w14:textFill>
            <w14:solidFill>
              <w14:schemeClr w14:val="tx1"/>
            </w14:solidFill>
          </w14:textFill>
        </w:rPr>
      </w:pPr>
      <w:r>
        <w:rPr>
          <w:rFonts w:hint="eastAsia" w:ascii="方正仿宋_GBK" w:hAnsi="方正仿宋_GBK" w:eastAsia="方正仿宋_GBK" w:cs="方正仿宋_GBK"/>
          <w:color w:val="000000" w:themeColor="text1"/>
          <w:sz w:val="33"/>
          <w:szCs w:val="33"/>
          <w14:textFill>
            <w14:solidFill>
              <w14:schemeClr w14:val="tx1"/>
            </w14:solidFill>
          </w14:textFill>
        </w:rPr>
        <w:t>预算编制工作有待提高，预算执行管理需持续强化。</w:t>
      </w:r>
    </w:p>
    <w:p>
      <w:pPr>
        <w:spacing w:line="600" w:lineRule="exact"/>
        <w:ind w:firstLine="707" w:firstLineChars="221"/>
        <w:rPr>
          <w:rFonts w:hint="eastAsia" w:ascii="楷体_GB2312" w:eastAsia="楷体_GB2312"/>
          <w:sz w:val="32"/>
          <w:szCs w:val="32"/>
        </w:rPr>
      </w:pPr>
      <w:r>
        <w:rPr>
          <w:rFonts w:hint="eastAsia" w:ascii="楷体_GB2312" w:eastAsia="楷体_GB2312"/>
          <w:sz w:val="32"/>
          <w:szCs w:val="32"/>
        </w:rPr>
        <w:t>（三）改进建议。</w:t>
      </w:r>
    </w:p>
    <w:p>
      <w:pPr>
        <w:spacing w:line="600" w:lineRule="exact"/>
        <w:ind w:firstLine="680" w:firstLineChars="221"/>
        <w:rPr>
          <w:rFonts w:ascii="仿宋_GB2312" w:eastAsia="仿宋_GB2312"/>
          <w:sz w:val="32"/>
          <w:szCs w:val="32"/>
        </w:rPr>
      </w:pPr>
      <w:r>
        <w:rPr>
          <w:rFonts w:hint="eastAsia" w:ascii="仿宋_GB2312" w:hAnsi="方正仿宋_GBK" w:eastAsia="仿宋_GB2312" w:cs="方正仿宋_GBK"/>
          <w:color w:val="000000" w:themeColor="text1"/>
          <w:spacing w:val="-6"/>
          <w:kern w:val="2"/>
          <w:sz w:val="32"/>
          <w:szCs w:val="32"/>
          <w14:textFill>
            <w14:solidFill>
              <w14:schemeClr w14:val="tx1"/>
            </w14:solidFill>
          </w14:textFill>
        </w:rPr>
        <w:t>1.</w:t>
      </w:r>
      <w:r>
        <w:rPr>
          <w:rFonts w:hint="eastAsia" w:ascii="仿宋_GB2312" w:hAnsi="方正仿宋_GBK" w:eastAsia="仿宋_GB2312"/>
          <w:sz w:val="32"/>
          <w:szCs w:val="32"/>
        </w:rPr>
        <w:t>在预算执行过程中，高度重视绩效监控工作，</w:t>
      </w:r>
      <w:r>
        <w:rPr>
          <w:rFonts w:hint="eastAsia" w:ascii="仿宋_GB2312" w:hAnsi="方正仿宋_GBK" w:eastAsia="仿宋_GB2312" w:cs="Times New Roman"/>
          <w:color w:val="auto"/>
          <w:kern w:val="2"/>
          <w:sz w:val="32"/>
          <w:szCs w:val="32"/>
        </w:rPr>
        <w:t>将绩效目标编制、绩效运行监控、绩效评价与结果应用全流程纳入部门预算管理，推动绩效管理与预算管理的深度融合。</w:t>
      </w:r>
    </w:p>
    <w:p>
      <w:pPr>
        <w:widowControl/>
        <w:adjustRightInd w:val="0"/>
        <w:snapToGrid w:val="0"/>
        <w:spacing w:line="600" w:lineRule="exact"/>
        <w:ind w:firstLine="616" w:firstLineChars="200"/>
        <w:contextualSpacing/>
        <w:jc w:val="left"/>
        <w:rPr>
          <w:rFonts w:ascii="仿宋_GB2312" w:hAnsi="方正仿宋_GBK" w:eastAsia="仿宋_GB2312" w:cs="方正仿宋_GBK"/>
          <w:color w:val="000000" w:themeColor="text1"/>
          <w:spacing w:val="-6"/>
          <w:sz w:val="32"/>
          <w:szCs w:val="32"/>
          <w14:textFill>
            <w14:solidFill>
              <w14:schemeClr w14:val="tx1"/>
            </w14:solidFill>
          </w14:textFill>
        </w:rPr>
      </w:pPr>
      <w:r>
        <w:rPr>
          <w:rFonts w:hint="eastAsia" w:ascii="仿宋_GB2312" w:hAnsi="方正仿宋_GBK" w:eastAsia="仿宋_GB2312" w:cs="方正仿宋_GBK"/>
          <w:color w:val="000000" w:themeColor="text1"/>
          <w:spacing w:val="-6"/>
          <w:sz w:val="32"/>
          <w:szCs w:val="32"/>
          <w14:textFill>
            <w14:solidFill>
              <w14:schemeClr w14:val="tx1"/>
            </w14:solidFill>
          </w14:textFill>
        </w:rPr>
        <w:t>2.提高资金使用效率，保障经费及时到位，加快支付进度。</w:t>
      </w:r>
    </w:p>
    <w:p>
      <w:pPr>
        <w:widowControl/>
        <w:adjustRightInd w:val="0"/>
        <w:snapToGrid w:val="0"/>
        <w:spacing w:line="600" w:lineRule="exact"/>
        <w:ind w:firstLine="616" w:firstLineChars="200"/>
        <w:contextualSpacing/>
        <w:jc w:val="left"/>
        <w:rPr>
          <w:rFonts w:ascii="仿宋_GB2312" w:hAnsi="方正仿宋_GBK" w:eastAsia="仿宋_GB2312" w:cs="方正仿宋_GBK"/>
          <w:color w:val="000000" w:themeColor="text1"/>
          <w:spacing w:val="-6"/>
          <w:sz w:val="32"/>
          <w:szCs w:val="32"/>
          <w:lang w:val="zh-CN"/>
          <w14:textFill>
            <w14:solidFill>
              <w14:schemeClr w14:val="tx1"/>
            </w14:solidFill>
          </w14:textFill>
        </w:rPr>
      </w:pPr>
      <w:r>
        <w:rPr>
          <w:rFonts w:hint="eastAsia" w:ascii="仿宋_GB2312" w:hAnsi="方正仿宋_GBK" w:eastAsia="仿宋_GB2312" w:cs="方正仿宋_GBK"/>
          <w:color w:val="000000" w:themeColor="text1"/>
          <w:spacing w:val="-6"/>
          <w:sz w:val="32"/>
          <w:szCs w:val="32"/>
          <w14:textFill>
            <w14:solidFill>
              <w14:schemeClr w14:val="tx1"/>
            </w14:solidFill>
          </w14:textFill>
        </w:rPr>
        <w:t>3.加强对绩效评价工作的培训和指导，进一步优化项目绩效考核指标体系，做到合理性与可操作性的有机统一。</w:t>
      </w:r>
    </w:p>
    <w:p>
      <w:pPr>
        <w:spacing w:line="600" w:lineRule="exact"/>
        <w:ind w:firstLine="640" w:firstLineChars="200"/>
        <w:rPr>
          <w:rFonts w:ascii="仿宋_GB2312" w:eastAsia="仿宋_GB2312"/>
          <w:sz w:val="32"/>
          <w:szCs w:val="32"/>
          <w:lang w:val="zh-CN"/>
        </w:rPr>
      </w:pPr>
    </w:p>
    <w:p>
      <w:pPr>
        <w:spacing w:line="600" w:lineRule="exact"/>
        <w:ind w:firstLine="640" w:firstLineChars="200"/>
        <w:rPr>
          <w:rFonts w:ascii="仿宋_GB2312" w:eastAsia="仿宋_GB2312" w:hAnsiTheme="minorEastAsia"/>
          <w:sz w:val="32"/>
          <w:szCs w:val="32"/>
          <w:lang w:val="zh-CN"/>
        </w:rPr>
      </w:pPr>
      <w:r>
        <w:rPr>
          <w:rFonts w:hint="eastAsia" w:ascii="仿宋_GB2312" w:eastAsia="仿宋_GB2312" w:hAnsiTheme="minorEastAsia"/>
          <w:sz w:val="32"/>
          <w:szCs w:val="32"/>
          <w:lang w:val="zh-CN"/>
        </w:rPr>
        <w:t>附表：</w:t>
      </w:r>
      <w:r>
        <w:rPr>
          <w:rFonts w:hint="eastAsia" w:ascii="仿宋_GB2312" w:eastAsia="仿宋_GB2312" w:hAnsiTheme="minorEastAsia"/>
          <w:sz w:val="32"/>
          <w:szCs w:val="32"/>
        </w:rPr>
        <w:t>部门</w:t>
      </w:r>
      <w:r>
        <w:rPr>
          <w:rFonts w:hint="eastAsia" w:ascii="仿宋_GB2312" w:eastAsia="仿宋_GB2312" w:hAnsiTheme="minorEastAsia"/>
          <w:sz w:val="32"/>
          <w:szCs w:val="32"/>
          <w:lang w:val="zh-CN"/>
        </w:rPr>
        <w:t>预算项目支出绩效自评表（2023年度）</w:t>
      </w:r>
    </w:p>
    <w:p>
      <w:pPr>
        <w:spacing w:line="600" w:lineRule="exact"/>
      </w:pPr>
    </w:p>
    <w:p>
      <w:pPr>
        <w:pStyle w:val="20"/>
        <w:spacing w:line="600" w:lineRule="exact"/>
      </w:pPr>
    </w:p>
    <w:p>
      <w:pPr>
        <w:pStyle w:val="20"/>
        <w:spacing w:line="600" w:lineRule="exact"/>
      </w:pPr>
    </w:p>
    <w:p>
      <w:pPr>
        <w:pStyle w:val="20"/>
        <w:spacing w:line="600" w:lineRule="exact"/>
      </w:pPr>
    </w:p>
    <w:p>
      <w:pPr>
        <w:pStyle w:val="20"/>
        <w:spacing w:line="600" w:lineRule="exact"/>
      </w:pPr>
    </w:p>
    <w:p>
      <w:pPr>
        <w:pStyle w:val="20"/>
        <w:spacing w:line="600" w:lineRule="exact"/>
      </w:pPr>
    </w:p>
    <w:p>
      <w:pPr>
        <w:pStyle w:val="20"/>
        <w:spacing w:line="600" w:lineRule="exact"/>
      </w:pPr>
    </w:p>
    <w:p>
      <w:pPr>
        <w:pStyle w:val="20"/>
        <w:spacing w:line="600" w:lineRule="exact"/>
      </w:pPr>
    </w:p>
    <w:p>
      <w:pPr>
        <w:pStyle w:val="20"/>
        <w:spacing w:line="600" w:lineRule="exact"/>
      </w:pPr>
    </w:p>
    <w:p>
      <w:pPr>
        <w:pStyle w:val="20"/>
        <w:spacing w:line="600" w:lineRule="exact"/>
      </w:pPr>
    </w:p>
    <w:p>
      <w:pPr>
        <w:pStyle w:val="20"/>
        <w:spacing w:line="600" w:lineRule="exact"/>
      </w:pPr>
    </w:p>
    <w:p>
      <w:pPr>
        <w:pStyle w:val="20"/>
        <w:spacing w:line="600" w:lineRule="exact"/>
      </w:pPr>
    </w:p>
    <w:p>
      <w:pPr>
        <w:pStyle w:val="20"/>
        <w:spacing w:line="600" w:lineRule="exact"/>
      </w:pPr>
    </w:p>
    <w:p>
      <w:pPr>
        <w:pStyle w:val="20"/>
        <w:spacing w:line="600" w:lineRule="exact"/>
      </w:pPr>
    </w:p>
    <w:p>
      <w:pPr>
        <w:pStyle w:val="20"/>
        <w:spacing w:line="600" w:lineRule="exact"/>
      </w:pPr>
    </w:p>
    <w:p>
      <w:pPr>
        <w:pStyle w:val="3"/>
        <w:spacing w:before="0" w:after="0" w:line="600" w:lineRule="exact"/>
        <w:jc w:val="center"/>
        <w:rPr>
          <w:rFonts w:ascii="方正小标宋_GBK" w:hAnsi="黑体" w:eastAsia="方正小标宋_GBK"/>
          <w:b w:val="0"/>
        </w:rPr>
      </w:pPr>
      <w:r>
        <w:rPr>
          <w:rFonts w:hint="eastAsia" w:ascii="方正小标宋_GBK" w:hAnsi="黑体" w:eastAsia="方正小标宋_GBK"/>
          <w:b w:val="0"/>
        </w:rPr>
        <w:t xml:space="preserve">第五部分 </w:t>
      </w:r>
      <w:r>
        <w:rPr>
          <w:rFonts w:hint="eastAsia" w:ascii="方正小标宋_GBK" w:hAnsi="黑体" w:eastAsia="方正小标宋_GBK"/>
          <w:b w:val="0"/>
          <w:lang w:val="en-US" w:eastAsia="zh-CN"/>
        </w:rPr>
        <w:t xml:space="preserve"> </w:t>
      </w:r>
      <w:r>
        <w:rPr>
          <w:rFonts w:hint="eastAsia" w:ascii="方正小标宋_GBK" w:hAnsi="黑体" w:eastAsia="方正小标宋_GBK"/>
          <w:b w:val="0"/>
        </w:rPr>
        <w:t>附表</w:t>
      </w:r>
    </w:p>
    <w:p/>
    <w:p/>
    <w:p>
      <w:pPr>
        <w:spacing w:line="600" w:lineRule="exact"/>
        <w:ind w:firstLine="707" w:firstLineChars="221"/>
        <w:rPr>
          <w:rFonts w:ascii="仿宋_GB2312" w:hAnsi="仿宋" w:eastAsia="仿宋_GB2312"/>
          <w:sz w:val="32"/>
          <w:szCs w:val="32"/>
        </w:rPr>
      </w:pPr>
      <w:r>
        <w:rPr>
          <w:rFonts w:hint="eastAsia" w:ascii="仿宋_GB2312" w:hAnsi="仿宋" w:eastAsia="仿宋_GB2312"/>
          <w:sz w:val="32"/>
          <w:szCs w:val="32"/>
        </w:rPr>
        <w:t>一、收入支出决算总表</w:t>
      </w:r>
    </w:p>
    <w:p>
      <w:pPr>
        <w:spacing w:line="600" w:lineRule="exact"/>
        <w:ind w:firstLine="707" w:firstLineChars="221"/>
        <w:rPr>
          <w:rFonts w:ascii="仿宋_GB2312" w:hAnsi="仿宋" w:eastAsia="仿宋_GB2312"/>
          <w:sz w:val="32"/>
          <w:szCs w:val="32"/>
        </w:rPr>
      </w:pPr>
      <w:r>
        <w:rPr>
          <w:rFonts w:hint="eastAsia" w:ascii="仿宋_GB2312" w:hAnsi="仿宋" w:eastAsia="仿宋_GB2312"/>
          <w:sz w:val="32"/>
          <w:szCs w:val="32"/>
        </w:rPr>
        <w:t>二、收入决算表</w:t>
      </w:r>
    </w:p>
    <w:p>
      <w:pPr>
        <w:spacing w:line="600" w:lineRule="exact"/>
        <w:ind w:firstLine="707" w:firstLineChars="221"/>
        <w:rPr>
          <w:rFonts w:ascii="仿宋_GB2312" w:hAnsi="仿宋" w:eastAsia="仿宋_GB2312"/>
          <w:sz w:val="32"/>
          <w:szCs w:val="32"/>
        </w:rPr>
      </w:pPr>
      <w:r>
        <w:rPr>
          <w:rFonts w:hint="eastAsia" w:ascii="仿宋_GB2312" w:hAnsi="仿宋" w:eastAsia="仿宋_GB2312"/>
          <w:sz w:val="32"/>
          <w:szCs w:val="32"/>
        </w:rPr>
        <w:t>三、支出决算表</w:t>
      </w:r>
    </w:p>
    <w:p>
      <w:pPr>
        <w:spacing w:line="600" w:lineRule="exact"/>
        <w:ind w:firstLine="707" w:firstLineChars="221"/>
        <w:rPr>
          <w:rFonts w:ascii="仿宋_GB2312" w:hAnsi="仿宋" w:eastAsia="仿宋_GB2312"/>
          <w:sz w:val="32"/>
          <w:szCs w:val="32"/>
        </w:rPr>
      </w:pPr>
      <w:r>
        <w:rPr>
          <w:rFonts w:hint="eastAsia" w:ascii="仿宋_GB2312" w:hAnsi="仿宋" w:eastAsia="仿宋_GB2312"/>
          <w:sz w:val="32"/>
          <w:szCs w:val="32"/>
        </w:rPr>
        <w:t>四、财政拨款收入支出决算总表</w:t>
      </w:r>
    </w:p>
    <w:p>
      <w:pPr>
        <w:spacing w:line="600" w:lineRule="exact"/>
        <w:ind w:firstLine="707" w:firstLineChars="221"/>
        <w:rPr>
          <w:rFonts w:ascii="仿宋_GB2312" w:hAnsi="仿宋" w:eastAsia="仿宋_GB2312"/>
          <w:sz w:val="32"/>
          <w:szCs w:val="32"/>
        </w:rPr>
      </w:pPr>
      <w:r>
        <w:rPr>
          <w:rFonts w:hint="eastAsia" w:ascii="仿宋_GB2312" w:hAnsi="仿宋" w:eastAsia="仿宋_GB2312"/>
          <w:sz w:val="32"/>
          <w:szCs w:val="32"/>
        </w:rPr>
        <w:t>五、财政拨款支出决算明细表</w:t>
      </w:r>
    </w:p>
    <w:p>
      <w:pPr>
        <w:spacing w:line="600" w:lineRule="exact"/>
        <w:ind w:firstLine="707" w:firstLineChars="221"/>
        <w:rPr>
          <w:rFonts w:ascii="仿宋_GB2312" w:hAnsi="仿宋" w:eastAsia="仿宋_GB2312"/>
          <w:sz w:val="32"/>
          <w:szCs w:val="32"/>
        </w:rPr>
      </w:pPr>
      <w:r>
        <w:rPr>
          <w:rFonts w:hint="eastAsia" w:ascii="仿宋_GB2312" w:hAnsi="仿宋" w:eastAsia="仿宋_GB2312"/>
          <w:sz w:val="32"/>
          <w:szCs w:val="32"/>
        </w:rPr>
        <w:t>六、一般公共预算财政拨款支出决算表</w:t>
      </w:r>
    </w:p>
    <w:p>
      <w:pPr>
        <w:spacing w:line="600" w:lineRule="exact"/>
        <w:ind w:firstLine="707" w:firstLineChars="221"/>
        <w:rPr>
          <w:rFonts w:ascii="仿宋_GB2312" w:hAnsi="仿宋" w:eastAsia="仿宋_GB2312"/>
          <w:sz w:val="32"/>
          <w:szCs w:val="32"/>
        </w:rPr>
      </w:pPr>
      <w:r>
        <w:rPr>
          <w:rFonts w:hint="eastAsia" w:ascii="仿宋_GB2312" w:hAnsi="仿宋" w:eastAsia="仿宋_GB2312"/>
          <w:sz w:val="32"/>
          <w:szCs w:val="32"/>
        </w:rPr>
        <w:t>七、一般公共预算财政拨款支出决算明细表</w:t>
      </w:r>
    </w:p>
    <w:p>
      <w:pPr>
        <w:spacing w:line="600" w:lineRule="exact"/>
        <w:ind w:firstLine="707" w:firstLineChars="221"/>
        <w:rPr>
          <w:rFonts w:ascii="仿宋_GB2312" w:hAnsi="仿宋" w:eastAsia="仿宋_GB2312"/>
          <w:sz w:val="32"/>
          <w:szCs w:val="32"/>
        </w:rPr>
      </w:pPr>
      <w:r>
        <w:rPr>
          <w:rFonts w:hint="eastAsia" w:ascii="仿宋_GB2312" w:hAnsi="仿宋" w:eastAsia="仿宋_GB2312"/>
          <w:sz w:val="32"/>
          <w:szCs w:val="32"/>
        </w:rPr>
        <w:t>八、一般公共预算财政拨款基本支出决算表</w:t>
      </w:r>
    </w:p>
    <w:p>
      <w:pPr>
        <w:spacing w:line="600" w:lineRule="exact"/>
        <w:ind w:firstLine="707" w:firstLineChars="221"/>
        <w:rPr>
          <w:rFonts w:ascii="仿宋_GB2312" w:hAnsi="仿宋" w:eastAsia="仿宋_GB2312"/>
          <w:sz w:val="32"/>
          <w:szCs w:val="32"/>
        </w:rPr>
      </w:pPr>
      <w:r>
        <w:rPr>
          <w:rFonts w:hint="eastAsia" w:ascii="仿宋_GB2312" w:hAnsi="仿宋" w:eastAsia="仿宋_GB2312"/>
          <w:sz w:val="32"/>
          <w:szCs w:val="32"/>
        </w:rPr>
        <w:t>九、一般公共预算财政拨款项目支出决算表</w:t>
      </w:r>
    </w:p>
    <w:p>
      <w:pPr>
        <w:spacing w:line="600" w:lineRule="exact"/>
        <w:ind w:firstLine="707" w:firstLineChars="221"/>
        <w:rPr>
          <w:rFonts w:ascii="仿宋_GB2312" w:hAnsi="仿宋" w:eastAsia="仿宋_GB2312"/>
          <w:sz w:val="32"/>
          <w:szCs w:val="32"/>
        </w:rPr>
      </w:pPr>
      <w:r>
        <w:rPr>
          <w:rFonts w:hint="eastAsia" w:ascii="仿宋_GB2312" w:hAnsi="仿宋" w:eastAsia="仿宋_GB2312"/>
          <w:sz w:val="32"/>
          <w:szCs w:val="32"/>
        </w:rPr>
        <w:t>十、政府性基金预算财政拨款收入支出决算表</w:t>
      </w:r>
    </w:p>
    <w:p>
      <w:pPr>
        <w:spacing w:line="600" w:lineRule="exact"/>
        <w:ind w:firstLine="707" w:firstLineChars="221"/>
        <w:rPr>
          <w:rFonts w:ascii="仿宋_GB2312" w:hAnsi="仿宋" w:eastAsia="仿宋_GB2312"/>
          <w:sz w:val="32"/>
          <w:szCs w:val="32"/>
        </w:rPr>
      </w:pPr>
      <w:r>
        <w:rPr>
          <w:rFonts w:hint="eastAsia" w:ascii="仿宋_GB2312" w:hAnsi="仿宋" w:eastAsia="仿宋_GB2312"/>
          <w:sz w:val="32"/>
          <w:szCs w:val="32"/>
        </w:rPr>
        <w:t>十一、国有资本经营预算财政拨款收入支出决算表</w:t>
      </w:r>
    </w:p>
    <w:p>
      <w:pPr>
        <w:spacing w:line="600" w:lineRule="exact"/>
        <w:ind w:firstLine="707" w:firstLineChars="221"/>
        <w:rPr>
          <w:rFonts w:ascii="仿宋_GB2312" w:hAnsi="仿宋" w:eastAsia="仿宋_GB2312"/>
          <w:sz w:val="32"/>
          <w:szCs w:val="32"/>
        </w:rPr>
      </w:pPr>
      <w:r>
        <w:rPr>
          <w:rFonts w:hint="eastAsia" w:ascii="仿宋_GB2312" w:hAnsi="仿宋" w:eastAsia="仿宋_GB2312"/>
          <w:sz w:val="32"/>
          <w:szCs w:val="32"/>
        </w:rPr>
        <w:t>十二、国有资本经营预算财政拨款支出决算表</w:t>
      </w:r>
    </w:p>
    <w:p>
      <w:pPr>
        <w:spacing w:line="600" w:lineRule="exact"/>
        <w:ind w:firstLine="707" w:firstLineChars="221"/>
        <w:rPr>
          <w:rFonts w:ascii="仿宋_GB2312" w:hAnsi="仿宋" w:eastAsia="仿宋_GB2312"/>
          <w:sz w:val="32"/>
          <w:szCs w:val="32"/>
        </w:rPr>
      </w:pPr>
      <w:r>
        <w:rPr>
          <w:rFonts w:hint="eastAsia" w:ascii="仿宋_GB2312" w:hAnsi="仿宋" w:eastAsia="仿宋_GB2312"/>
          <w:sz w:val="32"/>
          <w:szCs w:val="32"/>
        </w:rPr>
        <w:t>十三、财政拨款“三公”经费支出决算表</w:t>
      </w:r>
    </w:p>
    <w:sectPr>
      <w:footerReference r:id="rId12" w:type="first"/>
      <w:footerReference r:id="rId10" w:type="default"/>
      <w:footerReference r:id="rId11" w:type="even"/>
      <w:pgSz w:w="11906" w:h="16838"/>
      <w:pgMar w:top="2098" w:right="1474" w:bottom="1985" w:left="1588" w:header="851" w:footer="1418"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Times">
    <w:altName w:val="Times New Roman"/>
    <w:panose1 w:val="02020603050405020304"/>
    <w:charset w:val="00"/>
    <w:family w:val="roman"/>
    <w:pitch w:val="default"/>
    <w:sig w:usb0="00000000" w:usb1="00000000" w:usb2="00000000" w:usb3="00000000" w:csb0="00000093"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994781956"/>
                          </w:sdtPr>
                          <w:sdtContent>
                            <w:p>
                              <w:pPr>
                                <w:pStyle w:val="10"/>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w:t>
                              </w:r>
                              <w:r>
                                <w:rPr>
                                  <w:rFonts w:asciiTheme="minorEastAsia" w:hAnsiTheme="minorEastAsia" w:eastAsiaTheme="minorEastAsia" w:cstheme="minorEastAsia"/>
                                  <w:sz w:val="28"/>
                                  <w:szCs w:val="28"/>
                                </w:rPr>
                                <w:t xml:space="preserve"> 13 -</w:t>
                              </w:r>
                              <w:r>
                                <w:rPr>
                                  <w:rFonts w:hint="eastAsia" w:asciiTheme="minorEastAsia" w:hAnsiTheme="minorEastAsia" w:eastAsiaTheme="minorEastAsia" w:cstheme="minorEastAsia"/>
                                  <w:sz w:val="28"/>
                                  <w:szCs w:val="28"/>
                                  <w:lang w:val="zh-CN"/>
                                </w:rPr>
                                <w:fldChar w:fldCharType="end"/>
                              </w:r>
                            </w:p>
                          </w:sdtContent>
                        </w:sdt>
                        <w:p>
                          <w:pPr>
                            <w:pStyle w:val="2"/>
                          </w:pP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CgAAAAAAh07iQAAAAAAAAAAAAAAA&#10;AAYAAAAAAAAAAAAQAAAAKAMAAF9yZWxzL1BLAQIUAAoAAAAAAIdO4kAAAAAAAAAAAAAAAAAEAAAA&#10;AAAAAAAAEAAAABYAAABkcnMvUEsBAhQAFAAAAAgAh07iQAeNapHIAQAAmgMAAA4AAAAAAAAAAQAg&#10;AAAANAEAAGRycy9lMm9Eb2MueG1sUEsBAhQAFAAAAAgAh07iQM6pebnPAAAABQEAAA8AAAAAAAAA&#10;AQAgAAAAOAAAAGRycy9kb3ducmV2LnhtbFBLBQYAAAAABgAGAFkBAABuBQAAAAA=&#10;">
              <v:fill on="f" focussize="0,0"/>
              <v:stroke on="f"/>
              <v:imagedata o:title=""/>
              <o:lock v:ext="edit" aspectratio="f"/>
              <v:textbox inset="0mm,0mm,0mm,0mm" style="mso-fit-shape-to-text:t;">
                <w:txbxContent>
                  <w:sdt>
                    <w:sdtPr>
                      <w:id w:val="-1994781956"/>
                    </w:sdtPr>
                    <w:sdtContent>
                      <w:p>
                        <w:pPr>
                          <w:pStyle w:val="10"/>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w:t>
                        </w:r>
                        <w:r>
                          <w:rPr>
                            <w:rFonts w:asciiTheme="minorEastAsia" w:hAnsiTheme="minorEastAsia" w:eastAsiaTheme="minorEastAsia" w:cstheme="minorEastAsia"/>
                            <w:sz w:val="28"/>
                            <w:szCs w:val="28"/>
                          </w:rPr>
                          <w:t xml:space="preserve"> 13 -</w:t>
                        </w:r>
                        <w:r>
                          <w:rPr>
                            <w:rFonts w:hint="eastAsia" w:asciiTheme="minorEastAsia" w:hAnsiTheme="minorEastAsia" w:eastAsiaTheme="minorEastAsia" w:cstheme="minorEastAsia"/>
                            <w:sz w:val="28"/>
                            <w:szCs w:val="28"/>
                            <w:lang w:val="zh-CN"/>
                          </w:rPr>
                          <w:fldChar w:fldCharType="end"/>
                        </w:r>
                      </w:p>
                    </w:sdtContent>
                  </w:sdt>
                  <w:p>
                    <w:pPr>
                      <w:pStyle w:val="2"/>
                    </w:pPr>
                  </w:p>
                </w:txbxContent>
              </v:textbox>
            </v:shape>
          </w:pict>
        </mc:Fallback>
      </mc:AlternateContent>
    </w:r>
  </w:p>
  <w:p>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- 12 -</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">
              <v:fill on="f" focussize="0,0"/>
              <v:stroke on="f"/>
              <v:imagedata o:title=""/>
              <o:lock v:ext="edit" aspectratio="f"/>
              <v:textbox inset="0mm,0mm,0mm,0mm" style="mso-fit-shape-to-text:t;">
                <w:txbxContent>
                  <w:p>
                    <w:pPr>
                      <w:pStyle w:val="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">
              <v:fill on="f" focussize="0,0"/>
              <v:stroke on="f"/>
              <v:imagedata o:title=""/>
              <o:lock v:ext="edit" aspectratio="f"/>
              <v:textbox inset="0mm,0mm,0mm,0mm" style="mso-fit-shape-to-text:t;">
                <w:txbxContent>
                  <w:p>
                    <w:pPr>
                      <w:pStyle w:val="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YmQwZWRkM2Y5NDNiNDY1ZTFiYWQxMWYzNjkyYTcifQ=="/>
  </w:docVars>
  <w:rsids>
    <w:rsidRoot w:val="00F1361C"/>
    <w:rsid w:val="00004228"/>
    <w:rsid w:val="00014A1C"/>
    <w:rsid w:val="000222C6"/>
    <w:rsid w:val="0002549F"/>
    <w:rsid w:val="00032181"/>
    <w:rsid w:val="00035392"/>
    <w:rsid w:val="00035FDD"/>
    <w:rsid w:val="00040A61"/>
    <w:rsid w:val="000468DB"/>
    <w:rsid w:val="0006487A"/>
    <w:rsid w:val="00065F8F"/>
    <w:rsid w:val="00070A43"/>
    <w:rsid w:val="0007588A"/>
    <w:rsid w:val="000768F2"/>
    <w:rsid w:val="00082EAC"/>
    <w:rsid w:val="0009184B"/>
    <w:rsid w:val="00094236"/>
    <w:rsid w:val="0009593C"/>
    <w:rsid w:val="00097322"/>
    <w:rsid w:val="00097358"/>
    <w:rsid w:val="000A2AC3"/>
    <w:rsid w:val="000A6A92"/>
    <w:rsid w:val="000B047F"/>
    <w:rsid w:val="000B5923"/>
    <w:rsid w:val="000B5A48"/>
    <w:rsid w:val="000B6FF3"/>
    <w:rsid w:val="000C3467"/>
    <w:rsid w:val="000C3CA6"/>
    <w:rsid w:val="000C4FD6"/>
    <w:rsid w:val="000D1267"/>
    <w:rsid w:val="000D1D50"/>
    <w:rsid w:val="000D5782"/>
    <w:rsid w:val="000E6613"/>
    <w:rsid w:val="000E7119"/>
    <w:rsid w:val="001050A5"/>
    <w:rsid w:val="00114485"/>
    <w:rsid w:val="00114E9B"/>
    <w:rsid w:val="00122045"/>
    <w:rsid w:val="00123BAA"/>
    <w:rsid w:val="00142216"/>
    <w:rsid w:val="00144D6A"/>
    <w:rsid w:val="0014729F"/>
    <w:rsid w:val="00157BAB"/>
    <w:rsid w:val="001654D1"/>
    <w:rsid w:val="001730E5"/>
    <w:rsid w:val="00174518"/>
    <w:rsid w:val="0018106D"/>
    <w:rsid w:val="001877A7"/>
    <w:rsid w:val="00191536"/>
    <w:rsid w:val="00196687"/>
    <w:rsid w:val="001A45A0"/>
    <w:rsid w:val="001B6E97"/>
    <w:rsid w:val="001C0962"/>
    <w:rsid w:val="001C2738"/>
    <w:rsid w:val="001D7531"/>
    <w:rsid w:val="001E737D"/>
    <w:rsid w:val="001F0592"/>
    <w:rsid w:val="001F6419"/>
    <w:rsid w:val="001F7506"/>
    <w:rsid w:val="002006CD"/>
    <w:rsid w:val="00202B36"/>
    <w:rsid w:val="00204B7A"/>
    <w:rsid w:val="00204CDE"/>
    <w:rsid w:val="0021101A"/>
    <w:rsid w:val="00216629"/>
    <w:rsid w:val="00220536"/>
    <w:rsid w:val="00235629"/>
    <w:rsid w:val="00260289"/>
    <w:rsid w:val="00260A73"/>
    <w:rsid w:val="00260C38"/>
    <w:rsid w:val="002616C0"/>
    <w:rsid w:val="00261B7F"/>
    <w:rsid w:val="002643DB"/>
    <w:rsid w:val="00265372"/>
    <w:rsid w:val="002662AA"/>
    <w:rsid w:val="00280496"/>
    <w:rsid w:val="00283D47"/>
    <w:rsid w:val="00294DC9"/>
    <w:rsid w:val="00295495"/>
    <w:rsid w:val="002957D8"/>
    <w:rsid w:val="002A31DE"/>
    <w:rsid w:val="002A4E08"/>
    <w:rsid w:val="002A62F7"/>
    <w:rsid w:val="002B2613"/>
    <w:rsid w:val="002B3263"/>
    <w:rsid w:val="002C1468"/>
    <w:rsid w:val="002D6D05"/>
    <w:rsid w:val="002E7627"/>
    <w:rsid w:val="002F1818"/>
    <w:rsid w:val="002F5109"/>
    <w:rsid w:val="002F567B"/>
    <w:rsid w:val="002F680D"/>
    <w:rsid w:val="00306D89"/>
    <w:rsid w:val="003216A9"/>
    <w:rsid w:val="00335A74"/>
    <w:rsid w:val="00343202"/>
    <w:rsid w:val="0036561B"/>
    <w:rsid w:val="0037013F"/>
    <w:rsid w:val="00380C92"/>
    <w:rsid w:val="003953FF"/>
    <w:rsid w:val="003A484F"/>
    <w:rsid w:val="003A4883"/>
    <w:rsid w:val="003B0BE0"/>
    <w:rsid w:val="003B0C1B"/>
    <w:rsid w:val="003B688C"/>
    <w:rsid w:val="003C0291"/>
    <w:rsid w:val="003C2C66"/>
    <w:rsid w:val="003C39AE"/>
    <w:rsid w:val="003C7B60"/>
    <w:rsid w:val="003D0C0F"/>
    <w:rsid w:val="003D1FB2"/>
    <w:rsid w:val="003D2919"/>
    <w:rsid w:val="003D2B43"/>
    <w:rsid w:val="003D66DA"/>
    <w:rsid w:val="003E1310"/>
    <w:rsid w:val="003E2E6A"/>
    <w:rsid w:val="003E6F55"/>
    <w:rsid w:val="003F0FC5"/>
    <w:rsid w:val="00406254"/>
    <w:rsid w:val="00410559"/>
    <w:rsid w:val="0041585D"/>
    <w:rsid w:val="00420B47"/>
    <w:rsid w:val="0042157D"/>
    <w:rsid w:val="004223DE"/>
    <w:rsid w:val="00434489"/>
    <w:rsid w:val="00434A1D"/>
    <w:rsid w:val="00437085"/>
    <w:rsid w:val="00443880"/>
    <w:rsid w:val="004464F4"/>
    <w:rsid w:val="00447329"/>
    <w:rsid w:val="00452828"/>
    <w:rsid w:val="00454C34"/>
    <w:rsid w:val="004567EA"/>
    <w:rsid w:val="00471401"/>
    <w:rsid w:val="00473F31"/>
    <w:rsid w:val="0048263A"/>
    <w:rsid w:val="004826A2"/>
    <w:rsid w:val="00487E5D"/>
    <w:rsid w:val="00492719"/>
    <w:rsid w:val="004A711F"/>
    <w:rsid w:val="004B199D"/>
    <w:rsid w:val="004B4690"/>
    <w:rsid w:val="004E0A2D"/>
    <w:rsid w:val="004E206B"/>
    <w:rsid w:val="004E3607"/>
    <w:rsid w:val="004E55AD"/>
    <w:rsid w:val="004E6DF7"/>
    <w:rsid w:val="004F0FBD"/>
    <w:rsid w:val="004F21F9"/>
    <w:rsid w:val="00505A47"/>
    <w:rsid w:val="00512FDA"/>
    <w:rsid w:val="00513ABF"/>
    <w:rsid w:val="00520DA0"/>
    <w:rsid w:val="00535839"/>
    <w:rsid w:val="00541570"/>
    <w:rsid w:val="005443F7"/>
    <w:rsid w:val="00555041"/>
    <w:rsid w:val="005664BB"/>
    <w:rsid w:val="00566FFA"/>
    <w:rsid w:val="0057481D"/>
    <w:rsid w:val="0058486E"/>
    <w:rsid w:val="00585B33"/>
    <w:rsid w:val="0059014D"/>
    <w:rsid w:val="00597C99"/>
    <w:rsid w:val="005A09FD"/>
    <w:rsid w:val="005B0198"/>
    <w:rsid w:val="005B321C"/>
    <w:rsid w:val="005B5C64"/>
    <w:rsid w:val="005C5337"/>
    <w:rsid w:val="005C6BD0"/>
    <w:rsid w:val="005D1C8B"/>
    <w:rsid w:val="005D468D"/>
    <w:rsid w:val="005D5CED"/>
    <w:rsid w:val="005E353E"/>
    <w:rsid w:val="005F1A4C"/>
    <w:rsid w:val="00602423"/>
    <w:rsid w:val="00605688"/>
    <w:rsid w:val="006070AF"/>
    <w:rsid w:val="00607E6C"/>
    <w:rsid w:val="006101B1"/>
    <w:rsid w:val="00614E44"/>
    <w:rsid w:val="00620030"/>
    <w:rsid w:val="0062270A"/>
    <w:rsid w:val="00622830"/>
    <w:rsid w:val="00623DA0"/>
    <w:rsid w:val="00630AEF"/>
    <w:rsid w:val="006325F8"/>
    <w:rsid w:val="00632999"/>
    <w:rsid w:val="00633463"/>
    <w:rsid w:val="00634C9A"/>
    <w:rsid w:val="00640417"/>
    <w:rsid w:val="00641F56"/>
    <w:rsid w:val="006440E4"/>
    <w:rsid w:val="006478B6"/>
    <w:rsid w:val="006560B9"/>
    <w:rsid w:val="0066343B"/>
    <w:rsid w:val="00664777"/>
    <w:rsid w:val="006748A4"/>
    <w:rsid w:val="00681A31"/>
    <w:rsid w:val="00683E73"/>
    <w:rsid w:val="006A3141"/>
    <w:rsid w:val="006A5E34"/>
    <w:rsid w:val="006B2422"/>
    <w:rsid w:val="006B2B9A"/>
    <w:rsid w:val="006C1937"/>
    <w:rsid w:val="006F020C"/>
    <w:rsid w:val="006F7E8D"/>
    <w:rsid w:val="007125E0"/>
    <w:rsid w:val="007127B7"/>
    <w:rsid w:val="0071798E"/>
    <w:rsid w:val="007416B6"/>
    <w:rsid w:val="0074516B"/>
    <w:rsid w:val="00746F48"/>
    <w:rsid w:val="0074769F"/>
    <w:rsid w:val="0075404D"/>
    <w:rsid w:val="0076182A"/>
    <w:rsid w:val="00762406"/>
    <w:rsid w:val="0076342B"/>
    <w:rsid w:val="0076493D"/>
    <w:rsid w:val="00767B7E"/>
    <w:rsid w:val="007706D2"/>
    <w:rsid w:val="007770C3"/>
    <w:rsid w:val="00784D24"/>
    <w:rsid w:val="00785FBA"/>
    <w:rsid w:val="00786CBB"/>
    <w:rsid w:val="00786E4A"/>
    <w:rsid w:val="007875EB"/>
    <w:rsid w:val="0079426B"/>
    <w:rsid w:val="007A05BF"/>
    <w:rsid w:val="007B5E34"/>
    <w:rsid w:val="007D1682"/>
    <w:rsid w:val="007D312A"/>
    <w:rsid w:val="007D3F19"/>
    <w:rsid w:val="007D7FBA"/>
    <w:rsid w:val="007E23B0"/>
    <w:rsid w:val="007E23E5"/>
    <w:rsid w:val="007E6A82"/>
    <w:rsid w:val="007F1991"/>
    <w:rsid w:val="007F2C2F"/>
    <w:rsid w:val="007F55FC"/>
    <w:rsid w:val="007F5665"/>
    <w:rsid w:val="007F7385"/>
    <w:rsid w:val="00800112"/>
    <w:rsid w:val="00813348"/>
    <w:rsid w:val="008253BB"/>
    <w:rsid w:val="00827E73"/>
    <w:rsid w:val="0083706E"/>
    <w:rsid w:val="008406CD"/>
    <w:rsid w:val="008408F6"/>
    <w:rsid w:val="008423A5"/>
    <w:rsid w:val="00845AF7"/>
    <w:rsid w:val="00850625"/>
    <w:rsid w:val="00853718"/>
    <w:rsid w:val="00855221"/>
    <w:rsid w:val="00860645"/>
    <w:rsid w:val="00871F71"/>
    <w:rsid w:val="00872FD8"/>
    <w:rsid w:val="00875641"/>
    <w:rsid w:val="00885AF4"/>
    <w:rsid w:val="00887F08"/>
    <w:rsid w:val="008914B9"/>
    <w:rsid w:val="008939CD"/>
    <w:rsid w:val="00896379"/>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0EA1"/>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0BE"/>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863E8"/>
    <w:rsid w:val="00A91760"/>
    <w:rsid w:val="00A93B00"/>
    <w:rsid w:val="00A93C21"/>
    <w:rsid w:val="00AA5152"/>
    <w:rsid w:val="00AB64C9"/>
    <w:rsid w:val="00AC2E50"/>
    <w:rsid w:val="00AC3C6A"/>
    <w:rsid w:val="00AD1546"/>
    <w:rsid w:val="00AD5620"/>
    <w:rsid w:val="00AD656B"/>
    <w:rsid w:val="00AD7C1B"/>
    <w:rsid w:val="00AE16BA"/>
    <w:rsid w:val="00AE1EBE"/>
    <w:rsid w:val="00B0173C"/>
    <w:rsid w:val="00B03C9D"/>
    <w:rsid w:val="00B050D4"/>
    <w:rsid w:val="00B060AE"/>
    <w:rsid w:val="00B10517"/>
    <w:rsid w:val="00B12E8B"/>
    <w:rsid w:val="00B14E76"/>
    <w:rsid w:val="00B161B8"/>
    <w:rsid w:val="00B17BF6"/>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96E25"/>
    <w:rsid w:val="00BA1573"/>
    <w:rsid w:val="00BA325E"/>
    <w:rsid w:val="00BA579E"/>
    <w:rsid w:val="00BB4DF0"/>
    <w:rsid w:val="00BB5F6B"/>
    <w:rsid w:val="00BC187D"/>
    <w:rsid w:val="00BC289F"/>
    <w:rsid w:val="00BC297A"/>
    <w:rsid w:val="00BC2D50"/>
    <w:rsid w:val="00BC5361"/>
    <w:rsid w:val="00BC5460"/>
    <w:rsid w:val="00BC6B50"/>
    <w:rsid w:val="00BD0E25"/>
    <w:rsid w:val="00BE3229"/>
    <w:rsid w:val="00BF5BD6"/>
    <w:rsid w:val="00C03E31"/>
    <w:rsid w:val="00C07E90"/>
    <w:rsid w:val="00C10317"/>
    <w:rsid w:val="00C24D4E"/>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95CBC"/>
    <w:rsid w:val="00CA1830"/>
    <w:rsid w:val="00CB4E70"/>
    <w:rsid w:val="00CC09B6"/>
    <w:rsid w:val="00CC666F"/>
    <w:rsid w:val="00CD1E3F"/>
    <w:rsid w:val="00CE1017"/>
    <w:rsid w:val="00CE44F6"/>
    <w:rsid w:val="00CE49DA"/>
    <w:rsid w:val="00CE5FAA"/>
    <w:rsid w:val="00CE7B61"/>
    <w:rsid w:val="00D00095"/>
    <w:rsid w:val="00D114F0"/>
    <w:rsid w:val="00D20620"/>
    <w:rsid w:val="00D254F7"/>
    <w:rsid w:val="00D26091"/>
    <w:rsid w:val="00D2685C"/>
    <w:rsid w:val="00D34E7C"/>
    <w:rsid w:val="00D35489"/>
    <w:rsid w:val="00D36AFE"/>
    <w:rsid w:val="00D47A2E"/>
    <w:rsid w:val="00D51276"/>
    <w:rsid w:val="00D7035F"/>
    <w:rsid w:val="00D82BF4"/>
    <w:rsid w:val="00D92707"/>
    <w:rsid w:val="00D950A1"/>
    <w:rsid w:val="00DA634F"/>
    <w:rsid w:val="00DA65AC"/>
    <w:rsid w:val="00DB1913"/>
    <w:rsid w:val="00DC324D"/>
    <w:rsid w:val="00DC410D"/>
    <w:rsid w:val="00DC5A81"/>
    <w:rsid w:val="00DC68CA"/>
    <w:rsid w:val="00DC7CBA"/>
    <w:rsid w:val="00DD73B7"/>
    <w:rsid w:val="00DF24DF"/>
    <w:rsid w:val="00DF28BC"/>
    <w:rsid w:val="00DF34B9"/>
    <w:rsid w:val="00DF7137"/>
    <w:rsid w:val="00E01053"/>
    <w:rsid w:val="00E01B70"/>
    <w:rsid w:val="00E02D4E"/>
    <w:rsid w:val="00E07ACF"/>
    <w:rsid w:val="00E11813"/>
    <w:rsid w:val="00E26A88"/>
    <w:rsid w:val="00E331A1"/>
    <w:rsid w:val="00E33202"/>
    <w:rsid w:val="00E336A9"/>
    <w:rsid w:val="00E3653C"/>
    <w:rsid w:val="00E42989"/>
    <w:rsid w:val="00E472B1"/>
    <w:rsid w:val="00E50624"/>
    <w:rsid w:val="00E50ADB"/>
    <w:rsid w:val="00E568DF"/>
    <w:rsid w:val="00E64269"/>
    <w:rsid w:val="00E661F7"/>
    <w:rsid w:val="00E80970"/>
    <w:rsid w:val="00E82267"/>
    <w:rsid w:val="00E83FE7"/>
    <w:rsid w:val="00E853CE"/>
    <w:rsid w:val="00E867B6"/>
    <w:rsid w:val="00EA010F"/>
    <w:rsid w:val="00EA7E6E"/>
    <w:rsid w:val="00EB0FAE"/>
    <w:rsid w:val="00ED1B63"/>
    <w:rsid w:val="00ED3C1F"/>
    <w:rsid w:val="00ED4085"/>
    <w:rsid w:val="00ED420E"/>
    <w:rsid w:val="00ED55AC"/>
    <w:rsid w:val="00ED6A71"/>
    <w:rsid w:val="00ED6FBE"/>
    <w:rsid w:val="00EE2F57"/>
    <w:rsid w:val="00EE6555"/>
    <w:rsid w:val="00EE6F95"/>
    <w:rsid w:val="00EF4962"/>
    <w:rsid w:val="00EF4C34"/>
    <w:rsid w:val="00EF77C6"/>
    <w:rsid w:val="00F03938"/>
    <w:rsid w:val="00F05438"/>
    <w:rsid w:val="00F1361C"/>
    <w:rsid w:val="00F156F0"/>
    <w:rsid w:val="00F160C7"/>
    <w:rsid w:val="00F2408F"/>
    <w:rsid w:val="00F240E9"/>
    <w:rsid w:val="00F3659E"/>
    <w:rsid w:val="00F36D8F"/>
    <w:rsid w:val="00F417B1"/>
    <w:rsid w:val="00F45853"/>
    <w:rsid w:val="00F53D38"/>
    <w:rsid w:val="00F5561B"/>
    <w:rsid w:val="00F602DF"/>
    <w:rsid w:val="00F754A1"/>
    <w:rsid w:val="00F75E36"/>
    <w:rsid w:val="00F81FD9"/>
    <w:rsid w:val="00F83577"/>
    <w:rsid w:val="00F841AA"/>
    <w:rsid w:val="00F84A94"/>
    <w:rsid w:val="00F87E96"/>
    <w:rsid w:val="00F90954"/>
    <w:rsid w:val="00F91EE1"/>
    <w:rsid w:val="00FA23E8"/>
    <w:rsid w:val="00FA789D"/>
    <w:rsid w:val="00FB256A"/>
    <w:rsid w:val="00FB46AB"/>
    <w:rsid w:val="00FC6DCA"/>
    <w:rsid w:val="00FC7DA4"/>
    <w:rsid w:val="00FD3CC1"/>
    <w:rsid w:val="00FD5D94"/>
    <w:rsid w:val="00FF1E02"/>
    <w:rsid w:val="00FF30B4"/>
    <w:rsid w:val="00FF51B7"/>
    <w:rsid w:val="015975B8"/>
    <w:rsid w:val="02FEBE30"/>
    <w:rsid w:val="036F8141"/>
    <w:rsid w:val="066E0107"/>
    <w:rsid w:val="07996F6E"/>
    <w:rsid w:val="07DFD8BA"/>
    <w:rsid w:val="0A2032A3"/>
    <w:rsid w:val="0D35B1ED"/>
    <w:rsid w:val="0E7ED1F5"/>
    <w:rsid w:val="0F98263C"/>
    <w:rsid w:val="101860EC"/>
    <w:rsid w:val="10C055FF"/>
    <w:rsid w:val="118107EC"/>
    <w:rsid w:val="13D50BC4"/>
    <w:rsid w:val="13F5616D"/>
    <w:rsid w:val="16BB723D"/>
    <w:rsid w:val="17F9714D"/>
    <w:rsid w:val="1918F934"/>
    <w:rsid w:val="1BE8440E"/>
    <w:rsid w:val="1D155CEE"/>
    <w:rsid w:val="1DFBC4B3"/>
    <w:rsid w:val="1E740ACF"/>
    <w:rsid w:val="1F19C781"/>
    <w:rsid w:val="1F33FCE5"/>
    <w:rsid w:val="1F7F7398"/>
    <w:rsid w:val="1FD2DB6F"/>
    <w:rsid w:val="1FF35744"/>
    <w:rsid w:val="1FF6BC77"/>
    <w:rsid w:val="1FF9236D"/>
    <w:rsid w:val="23140B52"/>
    <w:rsid w:val="2333840E"/>
    <w:rsid w:val="23860B96"/>
    <w:rsid w:val="240371BF"/>
    <w:rsid w:val="257C638F"/>
    <w:rsid w:val="29FD04D3"/>
    <w:rsid w:val="2AB228E2"/>
    <w:rsid w:val="2BFF7BC6"/>
    <w:rsid w:val="2C8A61B5"/>
    <w:rsid w:val="2CD59C95"/>
    <w:rsid w:val="2DF04E50"/>
    <w:rsid w:val="2EFD05E5"/>
    <w:rsid w:val="2F040D46"/>
    <w:rsid w:val="2F4F95CE"/>
    <w:rsid w:val="2FACAFDD"/>
    <w:rsid w:val="2FAE5751"/>
    <w:rsid w:val="2FB1A395"/>
    <w:rsid w:val="2FCF0B76"/>
    <w:rsid w:val="2FD9A7D8"/>
    <w:rsid w:val="2FF14A0F"/>
    <w:rsid w:val="319F7F4E"/>
    <w:rsid w:val="3304709D"/>
    <w:rsid w:val="36AA5135"/>
    <w:rsid w:val="36BE0DA7"/>
    <w:rsid w:val="376B6AA6"/>
    <w:rsid w:val="376D39B2"/>
    <w:rsid w:val="37E16F03"/>
    <w:rsid w:val="37F53A3B"/>
    <w:rsid w:val="38D469F0"/>
    <w:rsid w:val="38F78389"/>
    <w:rsid w:val="392060F1"/>
    <w:rsid w:val="397BAF1F"/>
    <w:rsid w:val="398417D9"/>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4A22E73"/>
    <w:rsid w:val="44E268DA"/>
    <w:rsid w:val="457F4F6B"/>
    <w:rsid w:val="4737FB58"/>
    <w:rsid w:val="47ECCB02"/>
    <w:rsid w:val="47FA6A3F"/>
    <w:rsid w:val="48C422C2"/>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37E6D0A"/>
    <w:rsid w:val="53AB6B88"/>
    <w:rsid w:val="53F74C96"/>
    <w:rsid w:val="5583522D"/>
    <w:rsid w:val="57BD3DD4"/>
    <w:rsid w:val="57F9CD1E"/>
    <w:rsid w:val="5AF92295"/>
    <w:rsid w:val="5AF9D8E9"/>
    <w:rsid w:val="5BDD38BD"/>
    <w:rsid w:val="5BDD79E6"/>
    <w:rsid w:val="5BEFC772"/>
    <w:rsid w:val="5BFF5DFC"/>
    <w:rsid w:val="5C590380"/>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7E01D4"/>
    <w:rsid w:val="61CA71D5"/>
    <w:rsid w:val="627EE9EA"/>
    <w:rsid w:val="63B23AA5"/>
    <w:rsid w:val="647F5392"/>
    <w:rsid w:val="64E322C4"/>
    <w:rsid w:val="65FB93B9"/>
    <w:rsid w:val="6633C463"/>
    <w:rsid w:val="67D55B77"/>
    <w:rsid w:val="67EE7F84"/>
    <w:rsid w:val="68697F33"/>
    <w:rsid w:val="686F5F53"/>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8BB1A6B"/>
    <w:rsid w:val="790E445A"/>
    <w:rsid w:val="797E3A6C"/>
    <w:rsid w:val="79CF70E2"/>
    <w:rsid w:val="79D7FD79"/>
    <w:rsid w:val="79E75806"/>
    <w:rsid w:val="79EE5BA4"/>
    <w:rsid w:val="79FDD396"/>
    <w:rsid w:val="7A1253A2"/>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221FDC"/>
    <w:rsid w:val="7D3DE31C"/>
    <w:rsid w:val="7D7EC23E"/>
    <w:rsid w:val="7D7F8A13"/>
    <w:rsid w:val="7DA51437"/>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4"/>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0"/>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9"/>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fontstyle01"/>
    <w:basedOn w:val="17"/>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7.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H:\zx\2023&#24180;\&#20915;&#31639;&#20844;&#24320;\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zx\2023&#24180;\&#20915;&#31639;&#20844;&#24320;\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zx\2023&#24180;\&#20915;&#31639;&#20844;&#24320;\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zx\2023&#24180;\&#20915;&#31639;&#20844;&#24320;\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zx\2023&#24180;\&#20915;&#31639;&#20844;&#24320;\Book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zx\2023&#24180;\&#20915;&#31639;&#20844;&#24320;\Book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zx\2023&#24180;\&#20915;&#31639;&#20844;&#24320;\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t>收</a:t>
            </a:r>
            <a:r>
              <a:rPr lang="zh-CN" altLang="en-US" sz="1800" b="1" i="0" u="none" strike="noStrike" baseline="0"/>
              <a:t>入</a:t>
            </a:r>
            <a:r>
              <a:rPr lang="zh-CN" altLang="zh-CN" sz="1800" b="1" i="0" u="none" strike="noStrike" baseline="0"/>
              <a:t>、支</a:t>
            </a:r>
            <a:r>
              <a:rPr lang="zh-CN" altLang="en-US" sz="1800" b="1" i="0" u="none" strike="noStrike" baseline="0"/>
              <a:t>出</a:t>
            </a:r>
            <a:r>
              <a:rPr lang="zh-CN" altLang="zh-CN" sz="1800" b="1" i="0" u="none" strike="noStrike" baseline="0"/>
              <a:t>决算总计变动情况图</a:t>
            </a:r>
            <a:endParaRPr lang="zh-CN" altLang="en-US"/>
          </a:p>
        </c:rich>
      </c:tx>
      <c:layout/>
      <c:overlay val="0"/>
    </c:title>
    <c:autoTitleDeleted val="0"/>
    <c:plotArea>
      <c:layout/>
      <c:barChart>
        <c:barDir val="col"/>
        <c:grouping val="clustered"/>
        <c:varyColors val="0"/>
        <c:ser>
          <c:idx val="0"/>
          <c:order val="0"/>
          <c:tx>
            <c:strRef>
              <c:f>Sheet1!$A$4</c:f>
              <c:strCache>
                <c:ptCount val="1"/>
                <c:pt idx="0">
                  <c:v>2023</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Sheet1!$B$3:$E$3</c:f>
              <c:strCache>
                <c:ptCount val="3"/>
                <c:pt idx="0">
                  <c:v>收入</c:v>
                </c:pt>
                <c:pt idx="2">
                  <c:v>支出</c:v>
                </c:pt>
              </c:strCache>
            </c:strRef>
          </c:cat>
          <c:val>
            <c:numRef>
              <c:f>Sheet1!$B$4:$E$4</c:f>
              <c:numCache>
                <c:formatCode>General</c:formatCode>
                <c:ptCount val="4"/>
                <c:pt idx="0">
                  <c:v>716.9</c:v>
                </c:pt>
                <c:pt idx="2">
                  <c:v>716.9</c:v>
                </c:pt>
              </c:numCache>
            </c:numRef>
          </c:val>
        </c:ser>
        <c:ser>
          <c:idx val="1"/>
          <c:order val="1"/>
          <c:tx>
            <c:strRef>
              <c:f>Sheet1!$A$5</c:f>
              <c:strCache>
                <c:ptCount val="1"/>
                <c:pt idx="0">
                  <c:v>2022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Sheet1!$B$3:$E$3</c:f>
              <c:strCache>
                <c:ptCount val="3"/>
                <c:pt idx="0">
                  <c:v>收入</c:v>
                </c:pt>
                <c:pt idx="2">
                  <c:v>支出</c:v>
                </c:pt>
              </c:strCache>
            </c:strRef>
          </c:cat>
          <c:val>
            <c:numRef>
              <c:f>Sheet1!$B$5:$E$5</c:f>
              <c:numCache>
                <c:formatCode>General</c:formatCode>
                <c:ptCount val="4"/>
                <c:pt idx="0">
                  <c:v>597.7</c:v>
                </c:pt>
                <c:pt idx="2">
                  <c:v>597.7</c:v>
                </c:pt>
              </c:numCache>
            </c:numRef>
          </c:val>
        </c:ser>
        <c:dLbls>
          <c:showLegendKey val="0"/>
          <c:showVal val="1"/>
          <c:showCatName val="0"/>
          <c:showSerName val="0"/>
          <c:showPercent val="0"/>
          <c:showBubbleSize val="0"/>
        </c:dLbls>
        <c:gapWidth val="150"/>
        <c:axId val="104288256"/>
        <c:axId val="104313984"/>
      </c:barChart>
      <c:catAx>
        <c:axId val="10428825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4313984"/>
        <c:crosses val="autoZero"/>
        <c:auto val="1"/>
        <c:lblAlgn val="ctr"/>
        <c:lblOffset val="100"/>
        <c:noMultiLvlLbl val="0"/>
      </c:catAx>
      <c:valAx>
        <c:axId val="10431398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4288256"/>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收入决算结构图</a:t>
            </a:r>
            <a:endParaRPr lang="zh-CN" altLang="en-US"/>
          </a:p>
        </c:rich>
      </c:tx>
      <c:layout/>
      <c:overlay val="0"/>
    </c:title>
    <c:autoTitleDeleted val="0"/>
    <c:plotArea>
      <c:layout/>
      <c:pieChart>
        <c:varyColors val="1"/>
        <c:ser>
          <c:idx val="0"/>
          <c:order val="0"/>
          <c:explosion val="25"/>
          <c:dPt>
            <c:idx val="0"/>
            <c:bubble3D val="0"/>
          </c:dPt>
          <c:dPt>
            <c:idx val="1"/>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682.37</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9.6</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Sheet2!$B$4:$B$5</c:f>
              <c:strCache>
                <c:ptCount val="2"/>
                <c:pt idx="0">
                  <c:v>2023年度一般公共预算财政拨款收入</c:v>
                </c:pt>
                <c:pt idx="1">
                  <c:v>2023年度政府性基金预算财政拨款收入</c:v>
                </c:pt>
              </c:strCache>
            </c:strRef>
          </c:cat>
          <c:val>
            <c:numRef>
              <c:f>Sheet2!$C$4:$C$5</c:f>
              <c:numCache>
                <c:formatCode>General</c:formatCode>
                <c:ptCount val="2"/>
                <c:pt idx="0">
                  <c:v>682.37</c:v>
                </c:pt>
                <c:pt idx="1">
                  <c:v>9.6</c:v>
                </c:pt>
              </c:numCache>
            </c:numRef>
          </c:val>
        </c:ser>
        <c:dLbls>
          <c:showLegendKey val="0"/>
          <c:showVal val="0"/>
          <c:showCatName val="0"/>
          <c:showSerName val="0"/>
          <c:showPercent val="1"/>
          <c:showBubbleSize val="0"/>
          <c:showLeaderLines val="1"/>
        </c:dLbls>
        <c:firstSliceAng val="15"/>
      </c:pieChart>
      <c:spPr>
        <a:noFill/>
        <a:ln>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支出决算结构图</a:t>
            </a:r>
            <a:endParaRPr lang="zh-CN" altLang="en-US"/>
          </a:p>
        </c:rich>
      </c:tx>
      <c:layout/>
      <c:overlay val="0"/>
    </c:title>
    <c:autoTitleDeleted val="0"/>
    <c:plotArea>
      <c:layout/>
      <c:pieChart>
        <c:varyColors val="1"/>
        <c:ser>
          <c:idx val="0"/>
          <c:order val="0"/>
          <c:explosion val="25"/>
          <c:dPt>
            <c:idx val="0"/>
            <c:bubble3D val="0"/>
          </c:dPt>
          <c:dPt>
            <c:idx val="1"/>
            <c:bubble3D val="0"/>
          </c:dPt>
          <c:dPt>
            <c:idx val="2"/>
            <c:bubble3D val="0"/>
          </c:dPt>
          <c:dLbls>
            <c:dLbl>
              <c:idx val="0"/>
              <c:delete val="1"/>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668.27</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46.54</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Sheet7!$C$3:$C$5</c:f>
              <c:strCache>
                <c:ptCount val="3"/>
                <c:pt idx="0">
                  <c:v>2023年支出合计</c:v>
                </c:pt>
                <c:pt idx="1">
                  <c:v>基本支出</c:v>
                </c:pt>
                <c:pt idx="2">
                  <c:v>项目支出</c:v>
                </c:pt>
              </c:strCache>
            </c:strRef>
          </c:cat>
          <c:val>
            <c:numRef>
              <c:f>Sheet7!$D$3:$D$5</c:f>
              <c:numCache>
                <c:formatCode>General</c:formatCode>
                <c:ptCount val="3"/>
                <c:pt idx="1">
                  <c:v>668.270000000001</c:v>
                </c:pt>
                <c:pt idx="2">
                  <c:v>46.54</c:v>
                </c:pt>
              </c:numCache>
            </c:numRef>
          </c:val>
        </c:ser>
        <c:dLbls>
          <c:showLegendKey val="0"/>
          <c:showVal val="0"/>
          <c:showCatName val="0"/>
          <c:showSerName val="0"/>
          <c:showPercent val="1"/>
          <c:showBubbleSize val="0"/>
          <c:showLeaderLines val="1"/>
        </c:dLbls>
        <c:firstSliceAng val="0"/>
      </c:pieChart>
    </c:plotArea>
    <c:legend>
      <c:legendPos val="r"/>
      <c:legendEntry>
        <c:idx val="0"/>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财政拨款收、支总计变动表</a:t>
            </a:r>
            <a:endParaRPr lang="zh-CN" altLang="en-US"/>
          </a:p>
        </c:rich>
      </c:tx>
      <c:layout/>
      <c:overlay val="0"/>
    </c:title>
    <c:autoTitleDeleted val="0"/>
    <c:plotArea>
      <c:layout/>
      <c:barChart>
        <c:barDir val="col"/>
        <c:grouping val="clustered"/>
        <c:varyColors val="0"/>
        <c:ser>
          <c:idx val="0"/>
          <c:order val="0"/>
          <c:tx>
            <c:strRef>
              <c:f>Sheet6!$B$4</c:f>
              <c:strCache>
                <c:ptCount val="1"/>
                <c:pt idx="0">
                  <c:v>2023</c:v>
                </c:pt>
              </c:strCache>
            </c:strRef>
          </c:tx>
          <c:invertIfNegative val="0"/>
          <c:dLbls>
            <c:delete val="1"/>
          </c:dLbls>
          <c:cat>
            <c:strRef>
              <c:f>Sheet6!$C$3:$E$3</c:f>
              <c:strCache>
                <c:ptCount val="3"/>
                <c:pt idx="0">
                  <c:v>收入</c:v>
                </c:pt>
                <c:pt idx="2">
                  <c:v>支出</c:v>
                </c:pt>
              </c:strCache>
            </c:strRef>
          </c:cat>
          <c:val>
            <c:numRef>
              <c:f>Sheet6!$C$4:$E$4</c:f>
              <c:numCache>
                <c:formatCode>General</c:formatCode>
                <c:ptCount val="3"/>
                <c:pt idx="0">
                  <c:v>714.73</c:v>
                </c:pt>
                <c:pt idx="2">
                  <c:v>714.73</c:v>
                </c:pt>
              </c:numCache>
            </c:numRef>
          </c:val>
        </c:ser>
        <c:ser>
          <c:idx val="1"/>
          <c:order val="1"/>
          <c:tx>
            <c:strRef>
              <c:f>Sheet6!$B$5</c:f>
              <c:strCache>
                <c:ptCount val="1"/>
                <c:pt idx="0">
                  <c:v>2022</c:v>
                </c:pt>
              </c:strCache>
            </c:strRef>
          </c:tx>
          <c:invertIfNegative val="0"/>
          <c:dLbls>
            <c:delete val="1"/>
          </c:dLbls>
          <c:cat>
            <c:strRef>
              <c:f>Sheet6!$C$3:$E$3</c:f>
              <c:strCache>
                <c:ptCount val="3"/>
                <c:pt idx="0">
                  <c:v>收入</c:v>
                </c:pt>
                <c:pt idx="2">
                  <c:v>支出</c:v>
                </c:pt>
              </c:strCache>
            </c:strRef>
          </c:cat>
          <c:val>
            <c:numRef>
              <c:f>Sheet6!$C$5:$E$5</c:f>
              <c:numCache>
                <c:formatCode>General</c:formatCode>
                <c:ptCount val="3"/>
                <c:pt idx="0">
                  <c:v>595.53</c:v>
                </c:pt>
                <c:pt idx="2">
                  <c:v>595.53</c:v>
                </c:pt>
              </c:numCache>
            </c:numRef>
          </c:val>
        </c:ser>
        <c:dLbls>
          <c:showLegendKey val="0"/>
          <c:showVal val="0"/>
          <c:showCatName val="0"/>
          <c:showSerName val="0"/>
          <c:showPercent val="0"/>
          <c:showBubbleSize val="0"/>
        </c:dLbls>
        <c:gapWidth val="150"/>
        <c:axId val="140453376"/>
        <c:axId val="140455296"/>
      </c:barChart>
      <c:catAx>
        <c:axId val="14045337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0455296"/>
        <c:crosses val="autoZero"/>
        <c:auto val="1"/>
        <c:lblAlgn val="ctr"/>
        <c:lblOffset val="100"/>
        <c:noMultiLvlLbl val="0"/>
      </c:catAx>
      <c:valAx>
        <c:axId val="140455296"/>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0453376"/>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sz="1600"/>
              <a:t>一般公共预算财政拨款支出变动情况表</a:t>
            </a:r>
            <a:endParaRPr lang="zh-CN" sz="1600"/>
          </a:p>
        </c:rich>
      </c:tx>
      <c:layout>
        <c:manualLayout>
          <c:xMode val="edge"/>
          <c:yMode val="edge"/>
          <c:x val="0.0985415573053368"/>
          <c:y val="0.027777777777778"/>
        </c:manualLayout>
      </c:layout>
      <c:overlay val="0"/>
    </c:title>
    <c:autoTitleDeleted val="0"/>
    <c:plotArea>
      <c:layout/>
      <c:barChart>
        <c:barDir val="col"/>
        <c:grouping val="stacked"/>
        <c:varyColors val="0"/>
        <c:ser>
          <c:idx val="0"/>
          <c:order val="0"/>
          <c:invertIfNegative val="0"/>
          <c:dLbls>
            <c:delete val="1"/>
          </c:dLbls>
          <c:cat>
            <c:strRef>
              <c:f>Sheet5!$D$4:$D$6</c:f>
              <c:strCache>
                <c:ptCount val="3"/>
                <c:pt idx="1">
                  <c:v>2023年度一般公共预算财政拨款支出</c:v>
                </c:pt>
                <c:pt idx="2">
                  <c:v>2022年度一般公共预算财政拨款支出</c:v>
                </c:pt>
              </c:strCache>
            </c:strRef>
          </c:cat>
          <c:val>
            <c:numRef>
              <c:f>Sheet5!$E$4:$E$6</c:f>
              <c:numCache>
                <c:formatCode>General</c:formatCode>
                <c:ptCount val="3"/>
                <c:pt idx="1">
                  <c:v>694.41</c:v>
                </c:pt>
                <c:pt idx="2">
                  <c:v>551.7</c:v>
                </c:pt>
              </c:numCache>
            </c:numRef>
          </c:val>
        </c:ser>
        <c:dLbls>
          <c:showLegendKey val="0"/>
          <c:showVal val="0"/>
          <c:showCatName val="0"/>
          <c:showSerName val="0"/>
          <c:showPercent val="0"/>
          <c:showBubbleSize val="0"/>
        </c:dLbls>
        <c:gapWidth val="95"/>
        <c:overlap val="100"/>
        <c:axId val="114630656"/>
        <c:axId val="114632192"/>
      </c:barChart>
      <c:catAx>
        <c:axId val="11463065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4632192"/>
        <c:crosses val="autoZero"/>
        <c:auto val="1"/>
        <c:lblAlgn val="ctr"/>
        <c:lblOffset val="100"/>
        <c:noMultiLvlLbl val="0"/>
      </c:catAx>
      <c:valAx>
        <c:axId val="11463219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4630656"/>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pieChart>
        <c:varyColors val="1"/>
        <c:ser>
          <c:idx val="0"/>
          <c:order val="0"/>
          <c:explosion val="29"/>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Sheet4!$B$3:$B$9</c:f>
              <c:strCache>
                <c:ptCount val="7"/>
                <c:pt idx="0">
                  <c:v>2023年一般公共服务支出</c:v>
                </c:pt>
                <c:pt idx="2">
                  <c:v>2023年社会保障和就业支出</c:v>
                </c:pt>
                <c:pt idx="4">
                  <c:v>2023年卫生健康支出</c:v>
                </c:pt>
                <c:pt idx="6">
                  <c:v>2023年住房保障支出</c:v>
                </c:pt>
              </c:strCache>
            </c:strRef>
          </c:cat>
          <c:val>
            <c:numRef>
              <c:f>Sheet4!$C$3:$C$9</c:f>
              <c:numCache>
                <c:formatCode>General</c:formatCode>
                <c:ptCount val="7"/>
                <c:pt idx="0">
                  <c:v>508.1</c:v>
                </c:pt>
                <c:pt idx="2">
                  <c:v>80.35</c:v>
                </c:pt>
                <c:pt idx="4">
                  <c:v>58.43</c:v>
                </c:pt>
                <c:pt idx="6">
                  <c:v>47.53</c:v>
                </c:pt>
              </c:numCache>
            </c:numRef>
          </c:val>
        </c:ser>
        <c:dLbls>
          <c:showLegendKey val="0"/>
          <c:showVal val="1"/>
          <c:showCatName val="0"/>
          <c:showSerName val="0"/>
          <c:showPercent val="0"/>
          <c:showBubbleSize val="0"/>
          <c:showLeaderLines val="1"/>
        </c:dLbls>
        <c:firstSliceAng val="6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baseline="0"/>
              <a:t>“三公”经费财政拨款支出结构图</a:t>
            </a:r>
            <a:endParaRPr lang="zh-CN" altLang="zh-CN" sz="1800" b="1" i="0" baseline="0"/>
          </a:p>
        </c:rich>
      </c:tx>
      <c:layout/>
      <c:overlay val="0"/>
    </c:title>
    <c:autoTitleDeleted val="0"/>
    <c:plotArea>
      <c:layout/>
      <c:pieChart>
        <c:varyColors val="1"/>
        <c:ser>
          <c:idx val="0"/>
          <c:order val="0"/>
          <c:explosion val="25"/>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Sheet7!$D$38:$D$40</c:f>
              <c:strCache>
                <c:ptCount val="3"/>
                <c:pt idx="0">
                  <c:v>因公出国（境）费</c:v>
                </c:pt>
                <c:pt idx="1">
                  <c:v>公务用车购置及运行维护费</c:v>
                </c:pt>
                <c:pt idx="2">
                  <c:v>公务接待费</c:v>
                </c:pt>
              </c:strCache>
            </c:strRef>
          </c:cat>
          <c:val>
            <c:numRef>
              <c:f>Sheet7!$E$38:$E$40</c:f>
              <c:numCache>
                <c:formatCode>General</c:formatCode>
                <c:ptCount val="3"/>
                <c:pt idx="0">
                  <c:v>0</c:v>
                </c:pt>
                <c:pt idx="1">
                  <c:v>0</c:v>
                </c:pt>
                <c:pt idx="2">
                  <c:v>0.29</c:v>
                </c:pt>
              </c:numCache>
            </c:numRef>
          </c:val>
        </c:ser>
        <c:dLbls>
          <c:showLegendKey val="0"/>
          <c:showVal val="0"/>
          <c:showCatName val="0"/>
          <c:showSerName val="0"/>
          <c:showPercent val="1"/>
          <c:showBubbleSize val="0"/>
          <c:showLeaderLines val="1"/>
        </c:dLbls>
        <c:firstSliceAng val="15"/>
      </c:pieChart>
      <c:spPr>
        <a:noFill/>
        <a:ln>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1490</Words>
  <Characters>8495</Characters>
  <Lines>70</Lines>
  <Paragraphs>19</Paragraphs>
  <TotalTime>41</TotalTime>
  <ScaleCrop>false</ScaleCrop>
  <LinksUpToDate>false</LinksUpToDate>
  <CharactersWithSpaces>9966</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2024-09-28T14:51:00Z</dcterms:created>
  <dc:creator>曹颖</dc:creator>
  <cp:lastModifiedBy>user</cp:lastModifiedBy>
  <cp:lastPrinted>2023-08-03T18:35:00Z</cp:lastPrinted>
  <dcterms:modified xsi:type="dcterms:W3CDTF">2024-10-28T16:22:09Z</dcterms:modified>
  <dc:title>四川省***</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0074D2FFFE294CDE85C6A451EDD824C1_13</vt:lpwstr>
  </property>
</Properties>
</file>