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52FA1">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96475"/>
      <w:bookmarkStart w:id="3" w:name="_Toc15377425"/>
      <w:bookmarkStart w:id="4" w:name="_Toc15396597"/>
      <w:bookmarkStart w:id="5" w:name="_Toc15306267"/>
    </w:p>
    <w:p w14:paraId="4F56E3A6">
      <w:pPr>
        <w:spacing w:line="600" w:lineRule="exact"/>
        <w:jc w:val="center"/>
        <w:outlineLvl w:val="0"/>
        <w:rPr>
          <w:rFonts w:ascii="方正小标宋简体" w:hAnsi="宋体" w:eastAsia="方正小标宋简体"/>
          <w:sz w:val="72"/>
          <w:szCs w:val="72"/>
        </w:rPr>
      </w:pPr>
    </w:p>
    <w:p w14:paraId="4C01B40A">
      <w:pPr>
        <w:spacing w:line="600" w:lineRule="exact"/>
        <w:jc w:val="center"/>
        <w:outlineLvl w:val="0"/>
        <w:rPr>
          <w:rFonts w:hint="default" w:ascii="Times New Roman" w:hAnsi="Times New Roman" w:eastAsia="方正小标宋简体" w:cs="Times New Roman"/>
          <w:color w:val="auto"/>
          <w:sz w:val="72"/>
          <w:szCs w:val="72"/>
        </w:rPr>
      </w:pPr>
    </w:p>
    <w:p w14:paraId="479B9083">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bookmarkStart w:id="6" w:name="_Toc149398044"/>
      <w:r>
        <w:rPr>
          <w:rFonts w:hint="default" w:ascii="Times New Roman" w:hAnsi="Times New Roman" w:eastAsia="方正小标宋简体" w:cs="Times New Roman"/>
          <w:color w:val="auto"/>
          <w:sz w:val="72"/>
          <w:szCs w:val="72"/>
        </w:rPr>
        <w:t>202</w:t>
      </w:r>
      <w:r>
        <w:rPr>
          <w:rFonts w:hint="default" w:ascii="Times New Roman" w:hAnsi="Times New Roman" w:eastAsia="方正小标宋简体" w:cs="Times New Roman"/>
          <w:color w:val="auto"/>
          <w:sz w:val="72"/>
          <w:szCs w:val="72"/>
          <w:lang w:val="en-US" w:eastAsia="zh-CN"/>
        </w:rPr>
        <w:t>3</w:t>
      </w:r>
      <w:r>
        <w:rPr>
          <w:rFonts w:hint="default" w:ascii="Times New Roman" w:hAnsi="Times New Roman" w:eastAsia="方正小标宋简体" w:cs="Times New Roman"/>
          <w:color w:val="auto"/>
          <w:sz w:val="72"/>
          <w:szCs w:val="72"/>
        </w:rPr>
        <w:t>年度</w:t>
      </w:r>
      <w:bookmarkEnd w:id="0"/>
      <w:bookmarkEnd w:id="1"/>
      <w:bookmarkEnd w:id="2"/>
      <w:bookmarkEnd w:id="3"/>
      <w:bookmarkEnd w:id="4"/>
      <w:bookmarkEnd w:id="6"/>
    </w:p>
    <w:p w14:paraId="17B632A4">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bookmarkStart w:id="7" w:name="_Toc149398045"/>
      <w:bookmarkStart w:id="8" w:name="_Toc15377194"/>
      <w:bookmarkStart w:id="9" w:name="_Toc15378442"/>
      <w:bookmarkStart w:id="10" w:name="_Toc15377426"/>
      <w:bookmarkStart w:id="11" w:name="_Toc15396476"/>
      <w:bookmarkStart w:id="12" w:name="_Toc15396598"/>
      <w:r>
        <w:rPr>
          <w:rFonts w:hint="default" w:ascii="Times New Roman" w:hAnsi="Times New Roman" w:eastAsia="方正小标宋简体" w:cs="Times New Roman"/>
          <w:color w:val="auto"/>
          <w:sz w:val="72"/>
          <w:szCs w:val="72"/>
        </w:rPr>
        <w:t>攀枝花市西区</w:t>
      </w:r>
      <w:bookmarkEnd w:id="5"/>
      <w:bookmarkStart w:id="13" w:name="_Toc15306268"/>
      <w:r>
        <w:rPr>
          <w:rFonts w:hint="default" w:ascii="Times New Roman" w:hAnsi="Times New Roman" w:eastAsia="方正小标宋简体" w:cs="Times New Roman"/>
          <w:color w:val="auto"/>
          <w:sz w:val="72"/>
          <w:szCs w:val="72"/>
        </w:rPr>
        <w:t>医疗保障局</w:t>
      </w:r>
      <w:r>
        <w:rPr>
          <w:rFonts w:hint="default" w:ascii="Times New Roman" w:hAnsi="Times New Roman" w:eastAsia="方正小标宋简体" w:cs="Times New Roman"/>
          <w:color w:val="auto"/>
          <w:sz w:val="72"/>
          <w:szCs w:val="72"/>
          <w:lang w:eastAsia="zh-CN"/>
        </w:rPr>
        <w:t>单位</w:t>
      </w:r>
      <w:r>
        <w:rPr>
          <w:rFonts w:hint="default" w:ascii="Times New Roman" w:hAnsi="Times New Roman" w:eastAsia="方正小标宋简体" w:cs="Times New Roman"/>
          <w:color w:val="auto"/>
          <w:sz w:val="72"/>
          <w:szCs w:val="72"/>
        </w:rPr>
        <w:t>决算</w:t>
      </w:r>
      <w:bookmarkEnd w:id="7"/>
      <w:bookmarkEnd w:id="8"/>
      <w:bookmarkEnd w:id="9"/>
      <w:bookmarkEnd w:id="10"/>
      <w:bookmarkEnd w:id="11"/>
      <w:bookmarkEnd w:id="12"/>
      <w:bookmarkEnd w:id="13"/>
    </w:p>
    <w:p w14:paraId="07564230">
      <w:pPr>
        <w:widowControl/>
        <w:jc w:val="center"/>
        <w:rPr>
          <w:rFonts w:hint="default" w:ascii="Times New Roman" w:hAnsi="Times New Roman" w:eastAsia="黑体" w:cs="Times New Roman"/>
          <w:color w:val="auto"/>
          <w:sz w:val="48"/>
          <w:szCs w:val="48"/>
        </w:rPr>
      </w:pPr>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48"/>
          <w:szCs w:val="48"/>
        </w:rPr>
        <w:t>目录</w:t>
      </w:r>
    </w:p>
    <w:p w14:paraId="3209132C">
      <w:pPr>
        <w:pStyle w:val="12"/>
        <w:rPr>
          <w:rFonts w:hint="default" w:ascii="Times New Roman" w:hAnsi="Times New Roman" w:cs="Times New Roman"/>
          <w:color w:val="auto"/>
        </w:rPr>
      </w:pPr>
    </w:p>
    <w:p w14:paraId="0949209A">
      <w:pPr>
        <w:rPr>
          <w:rFonts w:hint="default" w:ascii="Times New Roman" w:hAnsi="Times New Roman" w:cs="Times New Roman"/>
          <w:color w:val="auto"/>
        </w:rPr>
      </w:pPr>
    </w:p>
    <w:p w14:paraId="686C62A5">
      <w:pPr>
        <w:pStyle w:val="12"/>
        <w:adjustRightInd w:val="0"/>
        <w:snapToGrid w:val="0"/>
        <w:spacing w:before="0"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rPr>
        <w:t xml:space="preserve">第一部分 </w:t>
      </w:r>
      <w:r>
        <w:rPr>
          <w:rFonts w:hint="default" w:ascii="Times New Roman" w:hAnsi="Times New Roman" w:cs="Times New Roman"/>
          <w:color w:val="auto"/>
          <w:sz w:val="24"/>
          <w:lang w:eastAsia="zh-CN"/>
        </w:rPr>
        <w:t>单位</w:t>
      </w:r>
      <w:r>
        <w:rPr>
          <w:rFonts w:hint="default" w:ascii="Times New Roman" w:hAnsi="Times New Roman" w:cs="Times New Roman"/>
          <w:color w:val="auto"/>
          <w:sz w:val="24"/>
        </w:rPr>
        <w:t>概况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4</w:t>
      </w:r>
    </w:p>
    <w:p w14:paraId="79527CA7">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一、</w:t>
      </w:r>
      <w:r>
        <w:rPr>
          <w:rFonts w:hint="default" w:ascii="Times New Roman" w:hAnsi="Times New Roman" w:cs="Times New Roman"/>
          <w:color w:val="auto"/>
          <w:sz w:val="24"/>
          <w:lang w:eastAsia="zh-CN"/>
        </w:rPr>
        <w:t>主要</w:t>
      </w:r>
      <w:r>
        <w:rPr>
          <w:rFonts w:hint="default" w:ascii="Times New Roman" w:hAnsi="Times New Roman" w:cs="Times New Roman"/>
          <w:color w:val="auto"/>
          <w:sz w:val="24"/>
        </w:rPr>
        <w:t>职责</w:t>
      </w:r>
      <w:r>
        <w:rPr>
          <w:rFonts w:hint="default" w:ascii="Times New Roman" w:hAnsi="Times New Roman" w:cs="Times New Roman"/>
          <w:color w:val="auto"/>
          <w:sz w:val="24"/>
        </w:rPr>
        <w:tab/>
      </w:r>
      <w:r>
        <w:rPr>
          <w:rFonts w:hint="default" w:ascii="Times New Roman" w:hAnsi="Times New Roman" w:cs="Times New Roman"/>
          <w:color w:val="auto"/>
          <w:sz w:val="24"/>
        </w:rPr>
        <w:t>4</w:t>
      </w:r>
    </w:p>
    <w:p w14:paraId="5D9F8759">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二、机构设置</w:t>
      </w:r>
      <w:r>
        <w:rPr>
          <w:rFonts w:hint="default" w:ascii="Times New Roman" w:hAnsi="Times New Roman" w:cs="Times New Roman"/>
          <w:color w:val="auto"/>
          <w:sz w:val="24"/>
        </w:rPr>
        <w:tab/>
      </w:r>
      <w:r>
        <w:rPr>
          <w:rFonts w:hint="default" w:ascii="Times New Roman" w:hAnsi="Times New Roman" w:cs="Times New Roman"/>
          <w:color w:val="auto"/>
          <w:sz w:val="24"/>
        </w:rPr>
        <w:t>4</w:t>
      </w:r>
    </w:p>
    <w:p w14:paraId="40FADC74">
      <w:pPr>
        <w:pStyle w:val="12"/>
        <w:adjustRightInd w:val="0"/>
        <w:snapToGrid w:val="0"/>
        <w:spacing w:before="0"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rPr>
        <w:t>第二部分 202</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年度</w:t>
      </w:r>
      <w:r>
        <w:rPr>
          <w:rFonts w:hint="default" w:ascii="Times New Roman" w:hAnsi="Times New Roman" w:cs="Times New Roman"/>
          <w:color w:val="auto"/>
          <w:sz w:val="24"/>
          <w:lang w:eastAsia="zh-CN"/>
        </w:rPr>
        <w:t>单位</w:t>
      </w:r>
      <w:r>
        <w:rPr>
          <w:rFonts w:hint="default" w:ascii="Times New Roman" w:hAnsi="Times New Roman" w:cs="Times New Roman"/>
          <w:color w:val="auto"/>
          <w:sz w:val="24"/>
        </w:rPr>
        <w:t>决算情况说明</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5</w:t>
      </w:r>
    </w:p>
    <w:p w14:paraId="6E936CB0">
      <w:pPr>
        <w:pStyle w:val="13"/>
        <w:adjustRightInd w:val="0"/>
        <w:snapToGrid w:val="0"/>
        <w:spacing w:line="440" w:lineRule="exact"/>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一、收入支出决算总体情况说明</w:t>
      </w:r>
      <w:r>
        <w:rPr>
          <w:rFonts w:hint="default" w:ascii="Times New Roman" w:hAnsi="Times New Roman" w:cs="Times New Roman" w:eastAsiaTheme="minorEastAsia"/>
          <w:color w:val="auto"/>
          <w:sz w:val="24"/>
          <w:szCs w:val="24"/>
        </w:rPr>
        <w:tab/>
      </w:r>
      <w:r>
        <w:rPr>
          <w:rFonts w:hint="default" w:ascii="Times New Roman" w:hAnsi="Times New Roman" w:cs="Times New Roman" w:eastAsiaTheme="minorEastAsia"/>
          <w:color w:val="auto"/>
          <w:sz w:val="24"/>
          <w:szCs w:val="24"/>
        </w:rPr>
        <w:t>5</w:t>
      </w:r>
    </w:p>
    <w:p w14:paraId="18768B5B">
      <w:pPr>
        <w:pStyle w:val="13"/>
        <w:adjustRightInd w:val="0"/>
        <w:snapToGrid w:val="0"/>
        <w:spacing w:line="440" w:lineRule="exact"/>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二、收入决算情况说明</w:t>
      </w:r>
      <w:r>
        <w:rPr>
          <w:rFonts w:hint="default" w:ascii="Times New Roman" w:hAnsi="Times New Roman" w:cs="Times New Roman" w:eastAsiaTheme="minorEastAsia"/>
          <w:color w:val="auto"/>
          <w:sz w:val="24"/>
          <w:szCs w:val="24"/>
        </w:rPr>
        <w:tab/>
      </w:r>
      <w:r>
        <w:rPr>
          <w:rFonts w:hint="default" w:ascii="Times New Roman" w:hAnsi="Times New Roman" w:cs="Times New Roman" w:eastAsiaTheme="minorEastAsia"/>
          <w:color w:val="auto"/>
          <w:sz w:val="24"/>
          <w:szCs w:val="24"/>
        </w:rPr>
        <w:t>5</w:t>
      </w:r>
    </w:p>
    <w:p w14:paraId="6F071478">
      <w:pPr>
        <w:pStyle w:val="13"/>
        <w:adjustRightInd w:val="0"/>
        <w:snapToGrid w:val="0"/>
        <w:spacing w:line="440" w:lineRule="exact"/>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三、支出决算情况说明</w:t>
      </w:r>
      <w:r>
        <w:rPr>
          <w:rFonts w:hint="default" w:ascii="Times New Roman" w:hAnsi="Times New Roman" w:cs="Times New Roman" w:eastAsiaTheme="minorEastAsia"/>
          <w:color w:val="auto"/>
          <w:sz w:val="24"/>
          <w:szCs w:val="24"/>
        </w:rPr>
        <w:tab/>
      </w:r>
      <w:r>
        <w:rPr>
          <w:rFonts w:hint="default" w:ascii="Times New Roman" w:hAnsi="Times New Roman" w:cs="Times New Roman" w:eastAsiaTheme="minorEastAsia"/>
          <w:color w:val="auto"/>
          <w:sz w:val="24"/>
          <w:szCs w:val="24"/>
        </w:rPr>
        <w:t>6</w:t>
      </w:r>
    </w:p>
    <w:p w14:paraId="4A19C571">
      <w:pPr>
        <w:pStyle w:val="13"/>
        <w:adjustRightInd w:val="0"/>
        <w:snapToGrid w:val="0"/>
        <w:spacing w:line="440" w:lineRule="exact"/>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四、财政拨款收入支出决算总体情况说明</w:t>
      </w:r>
      <w:r>
        <w:rPr>
          <w:rFonts w:hint="default" w:ascii="Times New Roman" w:hAnsi="Times New Roman" w:cs="Times New Roman" w:eastAsiaTheme="minorEastAsia"/>
          <w:color w:val="auto"/>
          <w:sz w:val="24"/>
          <w:szCs w:val="24"/>
        </w:rPr>
        <w:tab/>
      </w:r>
      <w:r>
        <w:rPr>
          <w:rFonts w:hint="default" w:ascii="Times New Roman" w:hAnsi="Times New Roman" w:cs="Times New Roman" w:eastAsiaTheme="minorEastAsia"/>
          <w:color w:val="auto"/>
          <w:sz w:val="24"/>
          <w:szCs w:val="24"/>
        </w:rPr>
        <w:t>7</w:t>
      </w:r>
    </w:p>
    <w:p w14:paraId="1B192ED5">
      <w:pPr>
        <w:pStyle w:val="13"/>
        <w:adjustRightInd w:val="0"/>
        <w:snapToGrid w:val="0"/>
        <w:spacing w:line="440" w:lineRule="exact"/>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五、一般公共预算财政拨款支出决算情况说明</w:t>
      </w:r>
      <w:r>
        <w:rPr>
          <w:rFonts w:hint="default" w:ascii="Times New Roman" w:hAnsi="Times New Roman" w:cs="Times New Roman" w:eastAsiaTheme="minorEastAsia"/>
          <w:color w:val="auto"/>
          <w:sz w:val="24"/>
          <w:szCs w:val="24"/>
        </w:rPr>
        <w:tab/>
      </w:r>
      <w:r>
        <w:rPr>
          <w:rFonts w:hint="default" w:ascii="Times New Roman" w:hAnsi="Times New Roman" w:cs="Times New Roman" w:eastAsiaTheme="minorEastAsia"/>
          <w:color w:val="auto"/>
          <w:sz w:val="24"/>
          <w:szCs w:val="24"/>
        </w:rPr>
        <w:t>7</w:t>
      </w:r>
    </w:p>
    <w:p w14:paraId="2AF6E5C3">
      <w:pPr>
        <w:pStyle w:val="13"/>
        <w:adjustRightInd w:val="0"/>
        <w:snapToGrid w:val="0"/>
        <w:spacing w:line="440" w:lineRule="exact"/>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六、一般公共预算财政拨款基本支出决算情况说明</w:t>
      </w:r>
      <w:r>
        <w:rPr>
          <w:rFonts w:hint="default" w:ascii="Times New Roman" w:hAnsi="Times New Roman" w:cs="Times New Roman" w:eastAsiaTheme="minorEastAsia"/>
          <w:color w:val="auto"/>
          <w:sz w:val="24"/>
          <w:szCs w:val="24"/>
        </w:rPr>
        <w:tab/>
      </w:r>
      <w:r>
        <w:rPr>
          <w:rFonts w:hint="default" w:ascii="Times New Roman" w:hAnsi="Times New Roman" w:cs="Times New Roman" w:eastAsiaTheme="minorEastAsia"/>
          <w:color w:val="auto"/>
          <w:sz w:val="24"/>
          <w:szCs w:val="24"/>
        </w:rPr>
        <w:t>10</w:t>
      </w:r>
    </w:p>
    <w:p w14:paraId="2CA240FD">
      <w:pPr>
        <w:pStyle w:val="13"/>
        <w:adjustRightInd w:val="0"/>
        <w:snapToGrid w:val="0"/>
        <w:spacing w:line="440" w:lineRule="exact"/>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七、财政拨款“三公”经费支出决算情况说明</w:t>
      </w:r>
      <w:r>
        <w:rPr>
          <w:rFonts w:hint="default" w:ascii="Times New Roman" w:hAnsi="Times New Roman" w:cs="Times New Roman" w:eastAsiaTheme="minorEastAsia"/>
          <w:color w:val="auto"/>
          <w:sz w:val="24"/>
          <w:szCs w:val="24"/>
        </w:rPr>
        <w:tab/>
      </w:r>
      <w:r>
        <w:rPr>
          <w:rFonts w:hint="default" w:ascii="Times New Roman" w:hAnsi="Times New Roman" w:cs="Times New Roman" w:eastAsiaTheme="minorEastAsia"/>
          <w:color w:val="auto"/>
          <w:sz w:val="24"/>
          <w:szCs w:val="24"/>
        </w:rPr>
        <w:t>11</w:t>
      </w:r>
    </w:p>
    <w:p w14:paraId="33D01120">
      <w:pPr>
        <w:pStyle w:val="13"/>
        <w:adjustRightInd w:val="0"/>
        <w:snapToGrid w:val="0"/>
        <w:spacing w:before="93" w:line="440" w:lineRule="exact"/>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八、政府性基金预算支出决算情况说明</w:t>
      </w:r>
      <w:r>
        <w:rPr>
          <w:rFonts w:hint="default" w:ascii="Times New Roman" w:hAnsi="Times New Roman" w:cs="Times New Roman" w:eastAsiaTheme="minorEastAsia"/>
          <w:color w:val="auto"/>
          <w:sz w:val="24"/>
          <w:szCs w:val="24"/>
        </w:rPr>
        <w:tab/>
      </w:r>
      <w:r>
        <w:rPr>
          <w:rFonts w:hint="default" w:ascii="Times New Roman" w:hAnsi="Times New Roman" w:cs="Times New Roman" w:eastAsiaTheme="minorEastAsia"/>
          <w:color w:val="auto"/>
          <w:sz w:val="24"/>
          <w:szCs w:val="24"/>
        </w:rPr>
        <w:t>12</w:t>
      </w:r>
    </w:p>
    <w:p w14:paraId="714A9D4B">
      <w:pPr>
        <w:pStyle w:val="13"/>
        <w:adjustRightInd w:val="0"/>
        <w:snapToGrid w:val="0"/>
        <w:spacing w:before="93" w:line="440" w:lineRule="exact"/>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九、国有资本经营预算支出决算情况说明</w:t>
      </w:r>
      <w:r>
        <w:rPr>
          <w:rFonts w:hint="default" w:ascii="Times New Roman" w:hAnsi="Times New Roman" w:cs="Times New Roman" w:eastAsiaTheme="minorEastAsia"/>
          <w:color w:val="auto"/>
          <w:sz w:val="24"/>
          <w:szCs w:val="24"/>
        </w:rPr>
        <w:tab/>
      </w:r>
      <w:r>
        <w:rPr>
          <w:rFonts w:hint="default" w:ascii="Times New Roman" w:hAnsi="Times New Roman" w:cs="Times New Roman" w:eastAsiaTheme="minorEastAsia"/>
          <w:color w:val="auto"/>
          <w:sz w:val="24"/>
          <w:szCs w:val="24"/>
        </w:rPr>
        <w:t>13</w:t>
      </w:r>
    </w:p>
    <w:p w14:paraId="79D48AC2">
      <w:pPr>
        <w:pStyle w:val="13"/>
        <w:adjustRightInd w:val="0"/>
        <w:snapToGrid w:val="0"/>
        <w:spacing w:line="440" w:lineRule="exact"/>
        <w:ind w:leftChars="0"/>
        <w:jc w:val="left"/>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rPr>
        <w:t>十、其他重要事项的情况说明</w:t>
      </w:r>
      <w:r>
        <w:rPr>
          <w:rFonts w:hint="default" w:ascii="Times New Roman" w:hAnsi="Times New Roman" w:cs="Times New Roman"/>
          <w:color w:val="auto"/>
          <w:sz w:val="24"/>
        </w:rPr>
        <w:tab/>
      </w:r>
      <w:r>
        <w:rPr>
          <w:rFonts w:hint="default" w:ascii="Times New Roman" w:hAnsi="Times New Roman" w:cs="Times New Roman"/>
          <w:color w:val="auto"/>
          <w:sz w:val="24"/>
        </w:rPr>
        <w:t>13</w:t>
      </w:r>
    </w:p>
    <w:p w14:paraId="6665093C">
      <w:pPr>
        <w:pStyle w:val="12"/>
        <w:adjustRightInd w:val="0"/>
        <w:snapToGrid w:val="0"/>
        <w:spacing w:before="0"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rPr>
        <w:t>第三部分 名词解释</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16</w:t>
      </w:r>
    </w:p>
    <w:p w14:paraId="38FD2C39">
      <w:pPr>
        <w:pStyle w:val="12"/>
        <w:adjustRightInd w:val="0"/>
        <w:snapToGrid w:val="0"/>
        <w:spacing w:before="0"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rPr>
        <w:t>第四部分 附件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19</w:t>
      </w:r>
    </w:p>
    <w:p w14:paraId="03D16CC8">
      <w:pPr>
        <w:pStyle w:val="12"/>
        <w:adjustRightInd w:val="0"/>
        <w:snapToGrid w:val="0"/>
        <w:spacing w:before="0" w:line="44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cs="Times New Roman"/>
          <w:color w:val="auto"/>
          <w:sz w:val="24"/>
        </w:rPr>
        <w:t>第五部分 附表</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20</w:t>
      </w:r>
    </w:p>
    <w:p w14:paraId="0B96247E">
      <w:pPr>
        <w:pStyle w:val="13"/>
        <w:adjustRightInd w:val="0"/>
        <w:snapToGrid w:val="0"/>
        <w:spacing w:line="440" w:lineRule="exact"/>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rPr>
        <w:t>一、收入支出决算总表</w:t>
      </w:r>
      <w:r>
        <w:rPr>
          <w:rFonts w:hint="default" w:ascii="Times New Roman" w:hAnsi="Times New Roman" w:cs="Times New Roman"/>
          <w:color w:val="auto"/>
          <w:sz w:val="24"/>
        </w:rPr>
        <w:tab/>
      </w:r>
      <w:r>
        <w:rPr>
          <w:rFonts w:hint="default" w:ascii="Times New Roman" w:hAnsi="Times New Roman" w:cs="Times New Roman"/>
          <w:color w:val="auto"/>
          <w:sz w:val="24"/>
          <w:szCs w:val="24"/>
          <w:lang w:val="en-US" w:eastAsia="zh-CN"/>
        </w:rPr>
        <w:t>20</w:t>
      </w:r>
    </w:p>
    <w:p w14:paraId="51B16C28">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二、收入决算表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0F64D3B0">
      <w:pPr>
        <w:pStyle w:val="13"/>
        <w:adjustRightInd w:val="0"/>
        <w:snapToGrid w:val="0"/>
        <w:spacing w:line="440" w:lineRule="exact"/>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三、支出决算表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7ED468C6">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四、财政拨款收入支出决算总表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2E87D751">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五、财政拨款支出决算明细表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1EDBCE67">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六、一般公共预算财政拨款支出决算表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04019475">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七、一般公共预算财政拨款支出决算明细表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00DBC9AA">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八、一般公共预算财政拨款基本支出决算明细表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73FAC7EE">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九、一般公共预算财政拨款项目支出决算表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5B8D80D3">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十、政府性基金预算财政拨款收入支出决算表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246B4F40">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十一、国有资本经营预算财政拨款收入支出决算表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454C2839">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十二、国有资本经营预算财政拨款支出决算表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003BCD15">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十三、财政拨款“三公”经费支出决算表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20</w:t>
      </w:r>
    </w:p>
    <w:p w14:paraId="36155257">
      <w:pPr>
        <w:widowControl/>
        <w:adjustRightInd w:val="0"/>
        <w:snapToGrid w:val="0"/>
        <w:spacing w:line="440" w:lineRule="exact"/>
        <w:ind w:firstLine="1320" w:firstLineChars="550"/>
        <w:jc w:val="left"/>
        <w:rPr>
          <w:rFonts w:hint="default" w:ascii="Times New Roman" w:hAnsi="Times New Roman" w:eastAsia="仿宋" w:cs="Times New Roman"/>
          <w:color w:val="auto"/>
          <w:sz w:val="24"/>
        </w:rPr>
      </w:pPr>
    </w:p>
    <w:p w14:paraId="2F16CDC2">
      <w:pPr>
        <w:widowControl/>
        <w:adjustRightInd w:val="0"/>
        <w:snapToGrid w:val="0"/>
        <w:spacing w:line="440" w:lineRule="exact"/>
        <w:ind w:firstLine="1320" w:firstLineChars="550"/>
        <w:jc w:val="left"/>
        <w:rPr>
          <w:rFonts w:hint="default" w:ascii="Times New Roman" w:hAnsi="Times New Roman" w:eastAsia="仿宋" w:cs="Times New Roman"/>
          <w:color w:val="auto"/>
          <w:sz w:val="24"/>
        </w:rPr>
      </w:pPr>
    </w:p>
    <w:p w14:paraId="7E131ABF">
      <w:pPr>
        <w:widowControl/>
        <w:spacing w:line="440" w:lineRule="exact"/>
        <w:jc w:val="left"/>
        <w:rPr>
          <w:rFonts w:hint="default" w:ascii="Times New Roman" w:hAnsi="Times New Roman" w:eastAsia="仿宋" w:cs="Times New Roman"/>
          <w:bCs/>
          <w:color w:val="auto"/>
          <w:kern w:val="44"/>
          <w:sz w:val="24"/>
        </w:rPr>
      </w:pPr>
      <w:bookmarkStart w:id="14" w:name="_Toc15396599"/>
      <w:bookmarkStart w:id="15" w:name="_Toc15377196"/>
      <w:r>
        <w:rPr>
          <w:rFonts w:hint="default" w:ascii="Times New Roman" w:hAnsi="Times New Roman" w:eastAsia="仿宋" w:cs="Times New Roman"/>
          <w:b/>
          <w:color w:val="auto"/>
          <w:sz w:val="24"/>
        </w:rPr>
        <w:br w:type="page"/>
      </w:r>
    </w:p>
    <w:p w14:paraId="523B2762">
      <w:pPr>
        <w:pStyle w:val="2"/>
        <w:keepNext/>
        <w:keepLines/>
        <w:pageBreakBefore w:val="0"/>
        <w:widowControl w:val="0"/>
        <w:kinsoku/>
        <w:wordWrap/>
        <w:overflowPunct/>
        <w:topLinePunct w:val="0"/>
        <w:autoSpaceDE/>
        <w:autoSpaceDN/>
        <w:bidi w:val="0"/>
        <w:adjustRightInd/>
        <w:snapToGrid/>
        <w:spacing w:before="0" w:after="0" w:line="300" w:lineRule="auto"/>
        <w:jc w:val="center"/>
        <w:textAlignment w:val="auto"/>
        <w:rPr>
          <w:rFonts w:hint="default" w:ascii="Times New Roman" w:hAnsi="Times New Roman" w:eastAsia="黑体" w:cs="Times New Roman"/>
          <w:bCs w:val="0"/>
          <w:color w:val="auto"/>
        </w:rPr>
      </w:pPr>
      <w:bookmarkStart w:id="16" w:name="_Toc149398046"/>
      <w:r>
        <w:rPr>
          <w:rFonts w:hint="default" w:ascii="Times New Roman" w:hAnsi="Times New Roman" w:eastAsia="黑体" w:cs="Times New Roman"/>
          <w:b w:val="0"/>
          <w:color w:val="auto"/>
        </w:rPr>
        <w:t xml:space="preserve">第一部分 </w:t>
      </w:r>
      <w:r>
        <w:rPr>
          <w:rStyle w:val="29"/>
          <w:rFonts w:hint="default" w:ascii="Times New Roman" w:hAnsi="Times New Roman" w:eastAsia="黑体" w:cs="Times New Roman"/>
          <w:b w:val="0"/>
          <w:bCs w:val="0"/>
          <w:color w:val="auto"/>
          <w:lang w:eastAsia="zh-CN"/>
        </w:rPr>
        <w:t>单位</w:t>
      </w:r>
      <w:r>
        <w:rPr>
          <w:rStyle w:val="29"/>
          <w:rFonts w:hint="default" w:ascii="Times New Roman" w:hAnsi="Times New Roman" w:eastAsia="黑体" w:cs="Times New Roman"/>
          <w:b w:val="0"/>
          <w:bCs w:val="0"/>
          <w:color w:val="auto"/>
        </w:rPr>
        <w:t>概况</w:t>
      </w:r>
      <w:bookmarkEnd w:id="14"/>
      <w:bookmarkEnd w:id="15"/>
      <w:bookmarkEnd w:id="16"/>
    </w:p>
    <w:p w14:paraId="737FC964">
      <w:pPr>
        <w:pStyle w:val="3"/>
        <w:numPr>
          <w:ilvl w:val="0"/>
          <w:numId w:val="0"/>
        </w:numPr>
        <w:ind w:left="629" w:leftChars="0"/>
        <w:rPr>
          <w:rFonts w:hint="default" w:ascii="Times New Roman" w:hAnsi="Times New Roman" w:eastAsia="黑体" w:cs="Times New Roman"/>
          <w:b w:val="0"/>
          <w:color w:val="auto"/>
        </w:rPr>
      </w:pPr>
      <w:bookmarkStart w:id="17" w:name="_Toc149398047"/>
      <w:r>
        <w:rPr>
          <w:rFonts w:hint="default" w:ascii="Times New Roman" w:hAnsi="Times New Roman" w:eastAsia="黑体" w:cs="Times New Roman"/>
          <w:b w:val="0"/>
          <w:color w:val="auto"/>
          <w:lang w:eastAsia="zh-CN"/>
        </w:rPr>
        <w:t>一、主要</w:t>
      </w:r>
      <w:r>
        <w:rPr>
          <w:rFonts w:hint="default" w:ascii="Times New Roman" w:hAnsi="Times New Roman" w:eastAsia="黑体" w:cs="Times New Roman"/>
          <w:b w:val="0"/>
          <w:color w:val="auto"/>
        </w:rPr>
        <w:t>职责</w:t>
      </w:r>
      <w:bookmarkEnd w:id="17"/>
    </w:p>
    <w:p w14:paraId="2ECCD080">
      <w:pPr>
        <w:ind w:firstLine="640" w:firstLineChars="200"/>
        <w:rPr>
          <w:rFonts w:hint="default" w:ascii="Times New Roman" w:hAnsi="Times New Roman" w:cs="Times New Roman"/>
          <w:color w:val="auto"/>
        </w:rPr>
      </w:pPr>
      <w:r>
        <w:rPr>
          <w:rFonts w:hint="default" w:ascii="Times New Roman" w:hAnsi="Times New Roman" w:eastAsia="仿宋" w:cs="Times New Roman"/>
          <w:color w:val="auto"/>
          <w:sz w:val="32"/>
          <w:szCs w:val="32"/>
          <w:lang w:val="en-US" w:eastAsia="zh-CN"/>
        </w:rPr>
        <w:t>攀枝花市</w:t>
      </w:r>
      <w:r>
        <w:rPr>
          <w:rFonts w:hint="default" w:ascii="Times New Roman" w:hAnsi="Times New Roman" w:eastAsia="仿宋" w:cs="Times New Roman"/>
          <w:color w:val="auto"/>
          <w:sz w:val="32"/>
          <w:szCs w:val="32"/>
        </w:rPr>
        <w:t>西区医疗保障局主要负责城镇职工基本医疗保险、城乡居民基本医疗保险、生育保险、医疗救助以及药品、医用耗材招采具体经办业务，制定、完善业务经办管理规程。负责对定点医药机构执行政策规定和为参保人员提供医疗服务进行指导和检查。承担全区疾病应急救助基金支付审核。承担离休干部、六级以上革命伤残军人（警察）建国初期参加工作退休干部及其他医疗照顾人员医药费用审核报销的具体业务工作。参与医疗保障业务经办信息系统建设。</w:t>
      </w:r>
    </w:p>
    <w:p w14:paraId="7D0AD24C">
      <w:pPr>
        <w:pStyle w:val="3"/>
        <w:numPr>
          <w:ilvl w:val="0"/>
          <w:numId w:val="0"/>
        </w:numPr>
        <w:ind w:left="629" w:leftChars="0"/>
        <w:rPr>
          <w:rFonts w:hint="default" w:ascii="Times New Roman" w:hAnsi="Times New Roman" w:eastAsia="仿宋" w:cs="Times New Roman"/>
          <w:color w:val="auto"/>
          <w:sz w:val="32"/>
          <w:szCs w:val="32"/>
        </w:rPr>
      </w:pPr>
      <w:bookmarkStart w:id="18" w:name="_Toc15396601"/>
      <w:bookmarkStart w:id="19" w:name="_Toc15377200"/>
      <w:bookmarkStart w:id="20" w:name="_Toc149398048"/>
      <w:r>
        <w:rPr>
          <w:rFonts w:hint="default" w:ascii="Times New Roman" w:hAnsi="Times New Roman" w:eastAsia="黑体" w:cs="Times New Roman"/>
          <w:b w:val="0"/>
          <w:color w:val="auto"/>
          <w:lang w:eastAsia="zh-CN"/>
        </w:rPr>
        <w:t>二、</w:t>
      </w:r>
      <w:r>
        <w:rPr>
          <w:rFonts w:hint="default" w:ascii="Times New Roman" w:hAnsi="Times New Roman" w:eastAsia="黑体" w:cs="Times New Roman"/>
          <w:b w:val="0"/>
          <w:color w:val="auto"/>
        </w:rPr>
        <w:t>机构设置</w:t>
      </w:r>
      <w:bookmarkEnd w:id="18"/>
      <w:bookmarkEnd w:id="19"/>
      <w:bookmarkEnd w:id="20"/>
    </w:p>
    <w:p w14:paraId="59DAD038">
      <w:pPr>
        <w:pStyle w:val="5"/>
        <w:adjustRightInd w:val="0"/>
        <w:snapToGrid w:val="0"/>
        <w:spacing w:before="93" w:line="600" w:lineRule="exact"/>
        <w:ind w:firstLine="672" w:firstLineChars="21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攀枝花市西区医疗保障中心不单独进行部门决算编制。</w:t>
      </w:r>
    </w:p>
    <w:p w14:paraId="001A5ECA">
      <w:pPr>
        <w:widowControl/>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rPr>
        <w:br w:type="page"/>
      </w:r>
    </w:p>
    <w:p w14:paraId="5FE85669">
      <w:pPr>
        <w:pStyle w:val="2"/>
        <w:keepNext/>
        <w:keepLines/>
        <w:pageBreakBefore w:val="0"/>
        <w:widowControl w:val="0"/>
        <w:kinsoku/>
        <w:wordWrap/>
        <w:overflowPunct/>
        <w:topLinePunct w:val="0"/>
        <w:autoSpaceDE/>
        <w:autoSpaceDN/>
        <w:bidi w:val="0"/>
        <w:adjustRightInd/>
        <w:snapToGrid/>
        <w:spacing w:after="0" w:line="300" w:lineRule="auto"/>
        <w:ind w:right="0"/>
        <w:jc w:val="center"/>
        <w:textAlignment w:val="auto"/>
        <w:rPr>
          <w:rStyle w:val="29"/>
          <w:rFonts w:hint="default" w:ascii="Times New Roman" w:hAnsi="Times New Roman" w:eastAsia="黑体" w:cs="Times New Roman"/>
          <w:b w:val="0"/>
          <w:bCs/>
          <w:color w:val="auto"/>
        </w:rPr>
      </w:pPr>
      <w:bookmarkStart w:id="21" w:name="_Toc15396602"/>
      <w:bookmarkStart w:id="22" w:name="_Toc149398049"/>
      <w:bookmarkStart w:id="23" w:name="_Toc15377204"/>
      <w:r>
        <w:rPr>
          <w:rFonts w:hint="default" w:ascii="Times New Roman" w:hAnsi="Times New Roman" w:eastAsia="黑体" w:cs="Times New Roman"/>
          <w:b w:val="0"/>
          <w:color w:val="auto"/>
        </w:rPr>
        <w:t>第二部分 202</w:t>
      </w:r>
      <w:r>
        <w:rPr>
          <w:rFonts w:hint="default" w:ascii="Times New Roman" w:hAnsi="Times New Roman" w:eastAsia="黑体" w:cs="Times New Roman"/>
          <w:b w:val="0"/>
          <w:color w:val="auto"/>
          <w:lang w:val="en-US" w:eastAsia="zh-CN"/>
        </w:rPr>
        <w:t>3</w:t>
      </w:r>
      <w:r>
        <w:rPr>
          <w:rFonts w:hint="default" w:ascii="Times New Roman" w:hAnsi="Times New Roman" w:eastAsia="黑体" w:cs="Times New Roman"/>
          <w:b w:val="0"/>
          <w:color w:val="auto"/>
        </w:rPr>
        <w:t>年度</w:t>
      </w:r>
      <w:r>
        <w:rPr>
          <w:rStyle w:val="29"/>
          <w:rFonts w:hint="default" w:ascii="Times New Roman" w:hAnsi="Times New Roman" w:eastAsia="黑体" w:cs="Times New Roman"/>
          <w:b w:val="0"/>
          <w:bCs/>
          <w:color w:val="auto"/>
          <w:lang w:eastAsia="zh-CN"/>
        </w:rPr>
        <w:t>单位</w:t>
      </w:r>
      <w:r>
        <w:rPr>
          <w:rStyle w:val="29"/>
          <w:rFonts w:hint="default" w:ascii="Times New Roman" w:hAnsi="Times New Roman" w:eastAsia="黑体" w:cs="Times New Roman"/>
          <w:b w:val="0"/>
          <w:bCs/>
          <w:color w:val="auto"/>
        </w:rPr>
        <w:t>决算情况说明</w:t>
      </w:r>
      <w:bookmarkEnd w:id="21"/>
      <w:bookmarkEnd w:id="22"/>
      <w:bookmarkEnd w:id="23"/>
    </w:p>
    <w:p w14:paraId="2DA5C00C">
      <w:pPr>
        <w:rPr>
          <w:rFonts w:hint="default" w:ascii="Times New Roman" w:hAnsi="Times New Roman" w:cs="Times New Roman"/>
          <w:color w:val="auto"/>
        </w:rPr>
      </w:pPr>
    </w:p>
    <w:p w14:paraId="07273755">
      <w:pPr>
        <w:pStyle w:val="28"/>
        <w:numPr>
          <w:ilvl w:val="0"/>
          <w:numId w:val="1"/>
        </w:numPr>
        <w:spacing w:line="600" w:lineRule="exact"/>
        <w:ind w:firstLineChars="0"/>
        <w:outlineLvl w:val="1"/>
        <w:rPr>
          <w:rStyle w:val="30"/>
          <w:rFonts w:hint="default" w:ascii="Times New Roman" w:hAnsi="Times New Roman" w:eastAsia="黑体" w:cs="Times New Roman"/>
          <w:b w:val="0"/>
          <w:color w:val="auto"/>
        </w:rPr>
      </w:pPr>
      <w:bookmarkStart w:id="24" w:name="_Toc15377205"/>
      <w:bookmarkStart w:id="25" w:name="_Toc149398050"/>
      <w:bookmarkStart w:id="26" w:name="_Toc15396603"/>
      <w:r>
        <w:rPr>
          <w:rFonts w:hint="default" w:ascii="Times New Roman" w:hAnsi="Times New Roman" w:eastAsia="黑体" w:cs="Times New Roman"/>
          <w:color w:val="auto"/>
          <w:sz w:val="32"/>
          <w:szCs w:val="32"/>
        </w:rPr>
        <w:t>收</w:t>
      </w:r>
      <w:r>
        <w:rPr>
          <w:rStyle w:val="30"/>
          <w:rFonts w:hint="default" w:ascii="Times New Roman" w:hAnsi="Times New Roman" w:eastAsia="黑体" w:cs="Times New Roman"/>
          <w:b w:val="0"/>
          <w:color w:val="auto"/>
        </w:rPr>
        <w:t>入支出决算总体情况说明</w:t>
      </w:r>
      <w:bookmarkEnd w:id="24"/>
      <w:bookmarkEnd w:id="25"/>
      <w:bookmarkEnd w:id="26"/>
    </w:p>
    <w:p w14:paraId="335CB51E">
      <w:pPr>
        <w:spacing w:line="60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年度收、支总计</w:t>
      </w:r>
      <w:r>
        <w:rPr>
          <w:rFonts w:hint="default" w:ascii="Times New Roman" w:hAnsi="Times New Roman" w:eastAsia="仿宋" w:cs="Times New Roman"/>
          <w:color w:val="auto"/>
          <w:sz w:val="32"/>
          <w:szCs w:val="32"/>
          <w:lang w:val="en-US" w:eastAsia="zh-CN"/>
        </w:rPr>
        <w:t>889.93</w:t>
      </w:r>
      <w:r>
        <w:rPr>
          <w:rFonts w:hint="default" w:ascii="Times New Roman" w:hAnsi="Times New Roman" w:eastAsia="仿宋" w:cs="Times New Roman"/>
          <w:color w:val="auto"/>
          <w:sz w:val="32"/>
          <w:szCs w:val="32"/>
        </w:rPr>
        <w:t>万元。与202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年相比，收、支总计各减少</w:t>
      </w:r>
      <w:r>
        <w:rPr>
          <w:rFonts w:hint="default" w:ascii="Times New Roman" w:hAnsi="Times New Roman" w:eastAsia="仿宋" w:cs="Times New Roman"/>
          <w:color w:val="auto"/>
          <w:sz w:val="32"/>
          <w:szCs w:val="32"/>
          <w:lang w:val="en-US" w:eastAsia="zh-CN"/>
        </w:rPr>
        <w:t>284.58</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41.01</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val="en-US" w:eastAsia="zh-CN"/>
        </w:rPr>
        <w:t>2023年将2022年未上解的180.00万元</w:t>
      </w:r>
      <w:r>
        <w:rPr>
          <w:rFonts w:hint="default" w:ascii="Times New Roman" w:hAnsi="Times New Roman" w:eastAsia="仿宋" w:cs="Times New Roman"/>
          <w:color w:val="auto"/>
          <w:sz w:val="32"/>
          <w:szCs w:val="32"/>
        </w:rPr>
        <w:t>医疗救助上解</w:t>
      </w:r>
      <w:r>
        <w:rPr>
          <w:rFonts w:hint="default" w:ascii="Times New Roman" w:hAnsi="Times New Roman" w:eastAsia="仿宋" w:cs="Times New Roman"/>
          <w:color w:val="auto"/>
          <w:sz w:val="32"/>
          <w:szCs w:val="32"/>
          <w:lang w:eastAsia="zh-CN"/>
        </w:rPr>
        <w:t>至市医保</w:t>
      </w:r>
      <w:r>
        <w:rPr>
          <w:rFonts w:hint="default" w:ascii="Times New Roman" w:hAnsi="Times New Roman" w:eastAsia="仿宋" w:cs="Times New Roman"/>
          <w:color w:val="auto"/>
          <w:sz w:val="32"/>
          <w:szCs w:val="32"/>
        </w:rPr>
        <w:t>，导致实际支出较上年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rPr>
        <w:t>较大。</w:t>
      </w:r>
    </w:p>
    <w:p w14:paraId="43C472D4">
      <w:pPr>
        <w:spacing w:line="600" w:lineRule="exact"/>
        <w:ind w:firstLine="420" w:firstLineChars="200"/>
        <w:rPr>
          <w:rStyle w:val="30"/>
          <w:rFonts w:hint="default" w:ascii="Times New Roman" w:hAnsi="Times New Roman" w:eastAsia="黑体" w:cs="Times New Roman"/>
          <w:b w:val="0"/>
          <w:color w:val="auto"/>
        </w:rPr>
      </w:pPr>
      <w:r>
        <w:rPr>
          <w:rFonts w:hint="default" w:ascii="Times New Roman" w:hAnsi="Times New Roman" w:cs="Times New Roman"/>
          <w:color w:val="auto"/>
        </w:rPr>
        <w:drawing>
          <wp:anchor distT="0" distB="0" distL="114300" distR="114300" simplePos="0" relativeHeight="251660288" behindDoc="0" locked="0" layoutInCell="1" allowOverlap="1">
            <wp:simplePos x="0" y="0"/>
            <wp:positionH relativeFrom="column">
              <wp:posOffset>233045</wp:posOffset>
            </wp:positionH>
            <wp:positionV relativeFrom="paragraph">
              <wp:posOffset>280670</wp:posOffset>
            </wp:positionV>
            <wp:extent cx="4826000" cy="2743200"/>
            <wp:effectExtent l="4445" t="4445" r="825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27" w:name="_Toc15377206"/>
      <w:bookmarkStart w:id="28" w:name="_Toc15396604"/>
      <w:bookmarkStart w:id="29" w:name="_Toc149398051"/>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收</w:t>
      </w:r>
      <w:r>
        <w:rPr>
          <w:rStyle w:val="30"/>
          <w:rFonts w:hint="default" w:ascii="Times New Roman" w:hAnsi="Times New Roman" w:eastAsia="黑体" w:cs="Times New Roman"/>
          <w:b w:val="0"/>
          <w:color w:val="auto"/>
        </w:rPr>
        <w:t>入决算情况说明</w:t>
      </w:r>
      <w:bookmarkEnd w:id="27"/>
      <w:bookmarkEnd w:id="28"/>
      <w:bookmarkEnd w:id="29"/>
    </w:p>
    <w:p w14:paraId="0F823DF3">
      <w:pPr>
        <w:spacing w:line="600" w:lineRule="exact"/>
        <w:ind w:firstLine="640" w:firstLineChars="200"/>
        <w:outlineLvl w:val="1"/>
        <w:rPr>
          <w:rFonts w:hint="default" w:ascii="Times New Roman" w:hAnsi="Times New Roman" w:eastAsia="仿宋" w:cs="Times New Roman"/>
          <w:color w:val="auto"/>
          <w:sz w:val="32"/>
          <w:szCs w:val="32"/>
        </w:rPr>
      </w:pPr>
      <w:bookmarkStart w:id="30" w:name="_Toc149398052"/>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年本年收入合计</w:t>
      </w:r>
      <w:r>
        <w:rPr>
          <w:rFonts w:hint="default" w:ascii="Times New Roman" w:hAnsi="Times New Roman" w:eastAsia="仿宋" w:cs="Times New Roman"/>
          <w:color w:val="auto"/>
          <w:sz w:val="32"/>
          <w:szCs w:val="32"/>
          <w:lang w:val="en-US" w:eastAsia="zh-CN"/>
        </w:rPr>
        <w:t>889.93</w:t>
      </w:r>
      <w:r>
        <w:rPr>
          <w:rFonts w:hint="default" w:ascii="Times New Roman" w:hAnsi="Times New Roman" w:eastAsia="仿宋" w:cs="Times New Roman"/>
          <w:color w:val="auto"/>
          <w:sz w:val="32"/>
          <w:szCs w:val="32"/>
        </w:rPr>
        <w:t>万元，其中：一般公共预算财政拨款收入</w:t>
      </w:r>
      <w:r>
        <w:rPr>
          <w:rFonts w:hint="default" w:ascii="Times New Roman" w:hAnsi="Times New Roman" w:eastAsia="仿宋" w:cs="Times New Roman"/>
          <w:color w:val="auto"/>
          <w:sz w:val="32"/>
          <w:szCs w:val="32"/>
          <w:lang w:val="en-US" w:eastAsia="zh-CN"/>
        </w:rPr>
        <w:t>857.13</w:t>
      </w:r>
      <w:r>
        <w:rPr>
          <w:rFonts w:hint="default" w:ascii="Times New Roman" w:hAnsi="Times New Roman" w:eastAsia="仿宋" w:cs="Times New Roman"/>
          <w:color w:val="auto"/>
          <w:sz w:val="32"/>
          <w:szCs w:val="32"/>
        </w:rPr>
        <w:t>万元，占9</w:t>
      </w:r>
      <w:r>
        <w:rPr>
          <w:rFonts w:hint="default" w:ascii="Times New Roman" w:hAnsi="Times New Roman" w:eastAsia="仿宋" w:cs="Times New Roman"/>
          <w:color w:val="auto"/>
          <w:sz w:val="32"/>
          <w:szCs w:val="32"/>
          <w:lang w:val="en-US" w:eastAsia="zh-CN"/>
        </w:rPr>
        <w:t>6.31</w:t>
      </w:r>
      <w:r>
        <w:rPr>
          <w:rFonts w:hint="default" w:ascii="Times New Roman" w:hAnsi="Times New Roman" w:eastAsia="仿宋" w:cs="Times New Roman"/>
          <w:color w:val="auto"/>
          <w:sz w:val="32"/>
          <w:szCs w:val="32"/>
        </w:rPr>
        <w:t>%；政府性基金预算财政拨款收入</w:t>
      </w:r>
      <w:r>
        <w:rPr>
          <w:rFonts w:hint="default" w:ascii="Times New Roman" w:hAnsi="Times New Roman" w:eastAsia="仿宋" w:cs="Times New Roman"/>
          <w:color w:val="auto"/>
          <w:sz w:val="32"/>
          <w:szCs w:val="32"/>
          <w:lang w:val="en-US" w:eastAsia="zh-CN"/>
        </w:rPr>
        <w:t>28.96</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3.25</w:t>
      </w:r>
      <w:r>
        <w:rPr>
          <w:rFonts w:hint="default" w:ascii="Times New Roman" w:hAnsi="Times New Roman" w:eastAsia="仿宋" w:cs="Times New Roman"/>
          <w:color w:val="auto"/>
          <w:sz w:val="32"/>
          <w:szCs w:val="32"/>
        </w:rPr>
        <w:t>%；国有资本经营预算财政拨款收入0万元，占0%；上级补助收入0万元，占0%；事业收入0万元，占0%；经营收入0万元，占0%；附属单位上缴收入0万元，占0%；其他收入0万元，占0%</w:t>
      </w:r>
      <w:r>
        <w:rPr>
          <w:rFonts w:hint="default" w:ascii="Times New Roman" w:hAnsi="Times New Roman" w:eastAsia="仿宋" w:cs="Times New Roman"/>
          <w:color w:val="auto"/>
          <w:sz w:val="32"/>
          <w:szCs w:val="32"/>
          <w:lang w:eastAsia="zh-CN"/>
        </w:rPr>
        <w:t>，年初结转和结余</w:t>
      </w:r>
      <w:r>
        <w:rPr>
          <w:rFonts w:hint="default" w:ascii="Times New Roman" w:hAnsi="Times New Roman" w:eastAsia="仿宋" w:cs="Times New Roman"/>
          <w:color w:val="auto"/>
          <w:sz w:val="32"/>
          <w:szCs w:val="32"/>
          <w:lang w:val="en-US" w:eastAsia="zh-CN"/>
        </w:rPr>
        <w:t>3.84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0.44</w:t>
      </w:r>
      <w:r>
        <w:rPr>
          <w:rFonts w:hint="default" w:ascii="Times New Roman" w:hAnsi="Times New Roman" w:eastAsia="仿宋" w:cs="Times New Roman"/>
          <w:color w:val="auto"/>
          <w:sz w:val="32"/>
          <w:szCs w:val="32"/>
        </w:rPr>
        <w:t>%。</w:t>
      </w:r>
      <w:bookmarkEnd w:id="30"/>
    </w:p>
    <w:p w14:paraId="30910758">
      <w:pPr>
        <w:spacing w:line="600" w:lineRule="exact"/>
        <w:ind w:firstLine="420" w:firstLineChars="200"/>
        <w:rPr>
          <w:rStyle w:val="30"/>
          <w:rFonts w:hint="default" w:ascii="Times New Roman" w:hAnsi="Times New Roman" w:eastAsia="黑体" w:cs="Times New Roman"/>
          <w:b w:val="0"/>
          <w:color w:val="auto"/>
        </w:rPr>
      </w:pPr>
      <w:r>
        <w:rPr>
          <w:rFonts w:hint="default" w:ascii="Times New Roman" w:hAnsi="Times New Roman" w:cs="Times New Roman"/>
          <w:color w:val="auto"/>
        </w:rPr>
        <w:drawing>
          <wp:anchor distT="0" distB="0" distL="114300" distR="114300" simplePos="0" relativeHeight="251661312" behindDoc="0" locked="0" layoutInCell="1" allowOverlap="1">
            <wp:simplePos x="0" y="0"/>
            <wp:positionH relativeFrom="column">
              <wp:posOffset>223520</wp:posOffset>
            </wp:positionH>
            <wp:positionV relativeFrom="paragraph">
              <wp:posOffset>80645</wp:posOffset>
            </wp:positionV>
            <wp:extent cx="4826000" cy="2743200"/>
            <wp:effectExtent l="4445" t="4445" r="8255" b="1460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1" w:name="_Toc15396605"/>
      <w:bookmarkStart w:id="32" w:name="_Toc15377207"/>
      <w:bookmarkStart w:id="33" w:name="_Toc149398054"/>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支</w:t>
      </w:r>
      <w:r>
        <w:rPr>
          <w:rStyle w:val="30"/>
          <w:rFonts w:hint="default" w:ascii="Times New Roman" w:hAnsi="Times New Roman" w:eastAsia="黑体" w:cs="Times New Roman"/>
          <w:b w:val="0"/>
          <w:color w:val="auto"/>
        </w:rPr>
        <w:t>出决算情况说明</w:t>
      </w:r>
      <w:bookmarkEnd w:id="31"/>
      <w:bookmarkEnd w:id="32"/>
      <w:bookmarkEnd w:id="33"/>
    </w:p>
    <w:p w14:paraId="467A80B8">
      <w:pPr>
        <w:spacing w:line="600" w:lineRule="exact"/>
        <w:ind w:firstLine="640" w:firstLineChars="200"/>
        <w:outlineLvl w:val="1"/>
        <w:rPr>
          <w:rFonts w:hint="default" w:ascii="Times New Roman" w:hAnsi="Times New Roman" w:eastAsia="仿宋" w:cs="Times New Roman"/>
          <w:color w:val="auto"/>
          <w:sz w:val="32"/>
          <w:szCs w:val="32"/>
        </w:rPr>
      </w:pPr>
      <w:bookmarkStart w:id="34" w:name="_Toc149398055"/>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年本年支出合计</w:t>
      </w:r>
      <w:r>
        <w:rPr>
          <w:rFonts w:hint="default" w:ascii="Times New Roman" w:hAnsi="Times New Roman" w:eastAsia="仿宋" w:cs="Times New Roman"/>
          <w:color w:val="auto"/>
          <w:sz w:val="32"/>
          <w:szCs w:val="32"/>
          <w:lang w:val="en-US" w:eastAsia="zh-CN"/>
        </w:rPr>
        <w:t>889.93</w:t>
      </w:r>
      <w:r>
        <w:rPr>
          <w:rFonts w:hint="default" w:ascii="Times New Roman" w:hAnsi="Times New Roman" w:eastAsia="仿宋" w:cs="Times New Roman"/>
          <w:color w:val="auto"/>
          <w:sz w:val="32"/>
          <w:szCs w:val="32"/>
        </w:rPr>
        <w:t>万元，其中：基本支出</w:t>
      </w:r>
      <w:r>
        <w:rPr>
          <w:rFonts w:hint="default" w:ascii="Times New Roman" w:hAnsi="Times New Roman" w:eastAsia="仿宋" w:cs="Times New Roman"/>
          <w:color w:val="auto"/>
          <w:sz w:val="32"/>
          <w:szCs w:val="32"/>
          <w:lang w:val="en-US" w:eastAsia="zh-CN"/>
        </w:rPr>
        <w:t>401.41</w:t>
      </w:r>
      <w:r>
        <w:rPr>
          <w:rFonts w:hint="default" w:ascii="Times New Roman" w:hAnsi="Times New Roman" w:eastAsia="仿宋" w:cs="Times New Roman"/>
          <w:color w:val="auto"/>
          <w:sz w:val="32"/>
          <w:szCs w:val="32"/>
        </w:rPr>
        <w:t>万元，占45.</w:t>
      </w:r>
      <w:r>
        <w:rPr>
          <w:rFonts w:hint="default"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rPr>
        <w:t>%；项目支出</w:t>
      </w:r>
      <w:r>
        <w:rPr>
          <w:rFonts w:hint="default" w:ascii="Times New Roman" w:hAnsi="Times New Roman" w:eastAsia="仿宋" w:cs="Times New Roman"/>
          <w:color w:val="auto"/>
          <w:sz w:val="32"/>
          <w:szCs w:val="32"/>
          <w:lang w:val="en-US" w:eastAsia="zh-CN"/>
        </w:rPr>
        <w:t>488.52</w:t>
      </w:r>
      <w:r>
        <w:rPr>
          <w:rFonts w:hint="default" w:ascii="Times New Roman" w:hAnsi="Times New Roman" w:eastAsia="仿宋" w:cs="Times New Roman"/>
          <w:color w:val="auto"/>
          <w:sz w:val="32"/>
          <w:szCs w:val="32"/>
        </w:rPr>
        <w:t>万元，占54.</w:t>
      </w:r>
      <w:r>
        <w:rPr>
          <w:rFonts w:hint="default" w:ascii="Times New Roman" w:hAnsi="Times New Roman" w:eastAsia="仿宋" w:cs="Times New Roman"/>
          <w:color w:val="auto"/>
          <w:sz w:val="32"/>
          <w:szCs w:val="32"/>
          <w:lang w:val="en-US" w:eastAsia="zh-CN"/>
        </w:rPr>
        <w:t>89</w:t>
      </w:r>
      <w:r>
        <w:rPr>
          <w:rFonts w:hint="default" w:ascii="Times New Roman" w:hAnsi="Times New Roman" w:eastAsia="仿宋" w:cs="Times New Roman"/>
          <w:color w:val="auto"/>
          <w:sz w:val="32"/>
          <w:szCs w:val="32"/>
        </w:rPr>
        <w:t>%；上缴上级支出0万元，占0%；经营支出0万元，占0%；对附属单位补助支出0万元，占0%。</w:t>
      </w:r>
      <w:bookmarkEnd w:id="34"/>
    </w:p>
    <w:p w14:paraId="790F5911">
      <w:pPr>
        <w:spacing w:line="600" w:lineRule="exact"/>
        <w:ind w:firstLine="640"/>
        <w:rPr>
          <w:rFonts w:hint="default" w:ascii="Times New Roman" w:hAnsi="Times New Roman" w:eastAsia="仿宋" w:cs="Times New Roman"/>
          <w:color w:val="auto"/>
          <w:sz w:val="32"/>
          <w:szCs w:val="32"/>
          <w:shd w:val="pct10" w:color="auto" w:fill="FFFFFF"/>
        </w:rPr>
      </w:pPr>
      <w:r>
        <w:rPr>
          <w:rFonts w:hint="default" w:ascii="Times New Roman" w:hAnsi="Times New Roman" w:cs="Times New Roman"/>
          <w:color w:val="auto"/>
        </w:rPr>
        <w:drawing>
          <wp:anchor distT="0" distB="0" distL="114300" distR="114300" simplePos="0" relativeHeight="251662336" behindDoc="0" locked="0" layoutInCell="1" allowOverlap="1">
            <wp:simplePos x="0" y="0"/>
            <wp:positionH relativeFrom="column">
              <wp:posOffset>448945</wp:posOffset>
            </wp:positionH>
            <wp:positionV relativeFrom="paragraph">
              <wp:posOffset>113665</wp:posOffset>
            </wp:positionV>
            <wp:extent cx="4350385" cy="2086610"/>
            <wp:effectExtent l="5080" t="4445" r="6985" b="2349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D811A80">
      <w:pPr>
        <w:spacing w:line="600" w:lineRule="exact"/>
        <w:ind w:firstLine="640" w:firstLineChars="200"/>
        <w:rPr>
          <w:rFonts w:hint="default" w:ascii="Times New Roman" w:hAnsi="Times New Roman" w:eastAsia="仿宋_GB2312" w:cs="Times New Roman"/>
          <w:color w:val="auto"/>
          <w:sz w:val="32"/>
          <w:szCs w:val="32"/>
        </w:rPr>
      </w:pPr>
    </w:p>
    <w:p w14:paraId="64721D77">
      <w:pPr>
        <w:spacing w:line="600" w:lineRule="exact"/>
        <w:ind w:firstLine="640" w:firstLineChars="200"/>
        <w:outlineLvl w:val="1"/>
        <w:rPr>
          <w:rStyle w:val="30"/>
          <w:rFonts w:hint="default" w:ascii="Times New Roman" w:hAnsi="Times New Roman" w:eastAsia="黑体" w:cs="Times New Roman"/>
          <w:b w:val="0"/>
          <w:color w:val="auto"/>
        </w:rPr>
      </w:pPr>
      <w:bookmarkStart w:id="35" w:name="_Toc149398057"/>
      <w:bookmarkStart w:id="36" w:name="_Toc15396606"/>
      <w:bookmarkStart w:id="37" w:name="_Toc15377208"/>
      <w:r>
        <w:rPr>
          <w:rFonts w:hint="default" w:ascii="Times New Roman" w:hAnsi="Times New Roman" w:eastAsia="黑体" w:cs="Times New Roman"/>
          <w:color w:val="auto"/>
          <w:sz w:val="32"/>
          <w:szCs w:val="32"/>
        </w:rPr>
        <w:t>四、财</w:t>
      </w:r>
      <w:r>
        <w:rPr>
          <w:rStyle w:val="30"/>
          <w:rFonts w:hint="default" w:ascii="Times New Roman" w:hAnsi="Times New Roman" w:eastAsia="黑体" w:cs="Times New Roman"/>
          <w:b w:val="0"/>
          <w:color w:val="auto"/>
        </w:rPr>
        <w:t>政拨款收入支出决算总体情况说明</w:t>
      </w:r>
      <w:bookmarkEnd w:id="35"/>
      <w:bookmarkEnd w:id="36"/>
      <w:bookmarkEnd w:id="37"/>
    </w:p>
    <w:p w14:paraId="0BCD2F71">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年财政拨款收、支总计</w:t>
      </w:r>
      <w:r>
        <w:rPr>
          <w:rFonts w:hint="default" w:ascii="Times New Roman" w:hAnsi="Times New Roman" w:eastAsia="仿宋" w:cs="Times New Roman"/>
          <w:color w:val="auto"/>
          <w:sz w:val="32"/>
          <w:szCs w:val="32"/>
          <w:lang w:val="en-US" w:eastAsia="zh-CN"/>
        </w:rPr>
        <w:t>889.93</w:t>
      </w:r>
      <w:r>
        <w:rPr>
          <w:rFonts w:hint="default" w:ascii="Times New Roman" w:hAnsi="Times New Roman" w:eastAsia="仿宋" w:cs="Times New Roman"/>
          <w:color w:val="auto"/>
          <w:sz w:val="32"/>
          <w:szCs w:val="32"/>
        </w:rPr>
        <w:t>万元。与202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年相比，财政拨款收、支总计各</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284.58</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41.01</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val="en-US" w:eastAsia="zh-CN"/>
        </w:rPr>
        <w:t>2023年将2022年未上解的180.00万元</w:t>
      </w:r>
      <w:r>
        <w:rPr>
          <w:rFonts w:hint="default" w:ascii="Times New Roman" w:hAnsi="Times New Roman" w:eastAsia="仿宋" w:cs="Times New Roman"/>
          <w:color w:val="auto"/>
          <w:sz w:val="32"/>
          <w:szCs w:val="32"/>
        </w:rPr>
        <w:t>医疗救助上解</w:t>
      </w:r>
      <w:r>
        <w:rPr>
          <w:rFonts w:hint="default" w:ascii="Times New Roman" w:hAnsi="Times New Roman" w:eastAsia="仿宋" w:cs="Times New Roman"/>
          <w:color w:val="auto"/>
          <w:sz w:val="32"/>
          <w:szCs w:val="32"/>
          <w:lang w:eastAsia="zh-CN"/>
        </w:rPr>
        <w:t>至市医保</w:t>
      </w:r>
      <w:r>
        <w:rPr>
          <w:rFonts w:hint="default" w:ascii="Times New Roman" w:hAnsi="Times New Roman" w:eastAsia="仿宋" w:cs="Times New Roman"/>
          <w:color w:val="auto"/>
          <w:sz w:val="32"/>
          <w:szCs w:val="32"/>
        </w:rPr>
        <w:t>，导致实际支出较上年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rPr>
        <w:t>较大。</w:t>
      </w:r>
    </w:p>
    <w:p w14:paraId="03F0F2F5">
      <w:pPr>
        <w:spacing w:line="600" w:lineRule="exact"/>
        <w:ind w:firstLine="420" w:firstLineChars="200"/>
        <w:rPr>
          <w:rStyle w:val="30"/>
          <w:rFonts w:hint="default" w:ascii="Times New Roman" w:hAnsi="Times New Roman" w:eastAsia="黑体" w:cs="Times New Roman"/>
          <w:b w:val="0"/>
          <w:color w:val="auto"/>
        </w:rPr>
      </w:pPr>
      <w:r>
        <w:rPr>
          <w:rFonts w:hint="default" w:ascii="Times New Roman" w:hAnsi="Times New Roman" w:cs="Times New Roman"/>
          <w:color w:val="auto"/>
        </w:rPr>
        <w:drawing>
          <wp:anchor distT="0" distB="0" distL="114300" distR="114300" simplePos="0" relativeHeight="251663360" behindDoc="0" locked="0" layoutInCell="1" allowOverlap="1">
            <wp:simplePos x="0" y="0"/>
            <wp:positionH relativeFrom="column">
              <wp:posOffset>204470</wp:posOffset>
            </wp:positionH>
            <wp:positionV relativeFrom="paragraph">
              <wp:posOffset>150495</wp:posOffset>
            </wp:positionV>
            <wp:extent cx="4826000" cy="2743200"/>
            <wp:effectExtent l="4445" t="4445" r="8255" b="14605"/>
            <wp:wrapSquare wrapText="bothSides"/>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8" w:name="_Toc15377209"/>
      <w:bookmarkStart w:id="39" w:name="_Toc15396607"/>
      <w:bookmarkStart w:id="40" w:name="_Toc149398058"/>
      <w:r>
        <w:rPr>
          <w:rFonts w:hint="default" w:ascii="Times New Roman" w:hAnsi="Times New Roman" w:eastAsia="黑体" w:cs="Times New Roman"/>
          <w:color w:val="auto"/>
          <w:sz w:val="32"/>
          <w:szCs w:val="32"/>
        </w:rPr>
        <w:t>五、</w:t>
      </w:r>
      <w:r>
        <w:rPr>
          <w:rFonts w:hint="default" w:ascii="Times New Roman" w:hAnsi="Times New Roman" w:eastAsia="黑体" w:cs="Times New Roman"/>
          <w:b/>
          <w:color w:val="auto"/>
          <w:sz w:val="32"/>
          <w:szCs w:val="32"/>
        </w:rPr>
        <w:t>一</w:t>
      </w:r>
      <w:r>
        <w:rPr>
          <w:rStyle w:val="30"/>
          <w:rFonts w:hint="default" w:ascii="Times New Roman" w:hAnsi="Times New Roman" w:eastAsia="黑体" w:cs="Times New Roman"/>
          <w:b w:val="0"/>
          <w:color w:val="auto"/>
        </w:rPr>
        <w:t>般公共预算财政拨款支出决算情况说明</w:t>
      </w:r>
      <w:bookmarkEnd w:id="38"/>
      <w:bookmarkEnd w:id="39"/>
      <w:bookmarkEnd w:id="40"/>
    </w:p>
    <w:p w14:paraId="7545B5E8">
      <w:pPr>
        <w:spacing w:line="600" w:lineRule="exact"/>
        <w:ind w:firstLine="640" w:firstLineChars="200"/>
        <w:outlineLvl w:val="2"/>
        <w:rPr>
          <w:rFonts w:hint="default" w:ascii="Times New Roman" w:hAnsi="Times New Roman" w:eastAsia="楷体_GB2312" w:cs="Times New Roman"/>
          <w:b w:val="0"/>
          <w:bCs/>
          <w:color w:val="auto"/>
          <w:sz w:val="32"/>
          <w:szCs w:val="32"/>
          <w:lang w:eastAsia="zh-CN"/>
        </w:rPr>
      </w:pPr>
      <w:bookmarkStart w:id="41" w:name="_Toc149398059"/>
      <w:bookmarkStart w:id="42" w:name="_Toc15377210"/>
      <w:r>
        <w:rPr>
          <w:rFonts w:hint="default" w:ascii="Times New Roman" w:hAnsi="Times New Roman" w:eastAsia="楷体_GB2312" w:cs="Times New Roman"/>
          <w:b w:val="0"/>
          <w:bCs/>
          <w:color w:val="auto"/>
          <w:sz w:val="32"/>
          <w:szCs w:val="32"/>
        </w:rPr>
        <w:t>（一）一般公共预算财政拨款支出决算总体情况</w:t>
      </w:r>
      <w:bookmarkEnd w:id="41"/>
      <w:bookmarkEnd w:id="42"/>
      <w:r>
        <w:rPr>
          <w:rFonts w:hint="default" w:ascii="Times New Roman" w:hAnsi="Times New Roman" w:eastAsia="楷体_GB2312" w:cs="Times New Roman"/>
          <w:b w:val="0"/>
          <w:bCs/>
          <w:color w:val="auto"/>
          <w:sz w:val="32"/>
          <w:szCs w:val="32"/>
          <w:lang w:eastAsia="zh-CN"/>
        </w:rPr>
        <w:t>。</w:t>
      </w:r>
    </w:p>
    <w:p w14:paraId="49BE5722">
      <w:pPr>
        <w:spacing w:line="60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年一般公共预算财政拨款支出</w:t>
      </w:r>
      <w:r>
        <w:rPr>
          <w:rFonts w:hint="default" w:ascii="Times New Roman" w:hAnsi="Times New Roman" w:eastAsia="仿宋" w:cs="Times New Roman"/>
          <w:color w:val="auto"/>
          <w:sz w:val="32"/>
          <w:szCs w:val="32"/>
          <w:lang w:val="en-US" w:eastAsia="zh-CN"/>
        </w:rPr>
        <w:t>857.13</w:t>
      </w:r>
      <w:r>
        <w:rPr>
          <w:rFonts w:hint="default" w:ascii="Times New Roman" w:hAnsi="Times New Roman" w:eastAsia="仿宋" w:cs="Times New Roman"/>
          <w:color w:val="auto"/>
          <w:sz w:val="32"/>
          <w:szCs w:val="32"/>
        </w:rPr>
        <w:t>万元，占本年支出合计的9</w:t>
      </w:r>
      <w:r>
        <w:rPr>
          <w:rFonts w:hint="default" w:ascii="Times New Roman" w:hAnsi="Times New Roman" w:eastAsia="仿宋" w:cs="Times New Roman"/>
          <w:color w:val="auto"/>
          <w:sz w:val="32"/>
          <w:szCs w:val="32"/>
          <w:lang w:val="en-US" w:eastAsia="zh-CN"/>
        </w:rPr>
        <w:t>6.31</w:t>
      </w:r>
      <w:r>
        <w:rPr>
          <w:rFonts w:hint="default" w:ascii="Times New Roman" w:hAnsi="Times New Roman" w:eastAsia="仿宋" w:cs="Times New Roman"/>
          <w:color w:val="auto"/>
          <w:sz w:val="32"/>
          <w:szCs w:val="32"/>
        </w:rPr>
        <w:t>%。与202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年相比，一般公共预算财政拨款支出</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297.01</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53.03</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val="en-US" w:eastAsia="zh-CN"/>
        </w:rPr>
        <w:t>2023年将2022年未上解的180.00万元</w:t>
      </w:r>
      <w:r>
        <w:rPr>
          <w:rFonts w:hint="default" w:ascii="Times New Roman" w:hAnsi="Times New Roman" w:eastAsia="仿宋" w:cs="Times New Roman"/>
          <w:color w:val="auto"/>
          <w:sz w:val="32"/>
          <w:szCs w:val="32"/>
        </w:rPr>
        <w:t>医疗救助上解</w:t>
      </w:r>
      <w:r>
        <w:rPr>
          <w:rFonts w:hint="default" w:ascii="Times New Roman" w:hAnsi="Times New Roman" w:eastAsia="仿宋" w:cs="Times New Roman"/>
          <w:color w:val="auto"/>
          <w:sz w:val="32"/>
          <w:szCs w:val="32"/>
          <w:lang w:eastAsia="zh-CN"/>
        </w:rPr>
        <w:t>至市医保</w:t>
      </w:r>
      <w:r>
        <w:rPr>
          <w:rFonts w:hint="default" w:ascii="Times New Roman" w:hAnsi="Times New Roman" w:eastAsia="仿宋" w:cs="Times New Roman"/>
          <w:color w:val="auto"/>
          <w:sz w:val="32"/>
          <w:szCs w:val="32"/>
        </w:rPr>
        <w:t>，导致实际支出较上年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rPr>
        <w:t>较大。</w:t>
      </w:r>
    </w:p>
    <w:p w14:paraId="0C7248FF">
      <w:pPr>
        <w:spacing w:line="600" w:lineRule="exact"/>
        <w:ind w:firstLine="420" w:firstLineChars="200"/>
        <w:rPr>
          <w:rFonts w:hint="default" w:ascii="Times New Roman" w:hAnsi="Times New Roman" w:eastAsia="仿宋" w:cs="Times New Roman"/>
          <w:color w:val="auto"/>
          <w:sz w:val="32"/>
          <w:szCs w:val="32"/>
        </w:rPr>
      </w:pPr>
      <w:r>
        <w:rPr>
          <w:rFonts w:hint="default" w:ascii="Times New Roman" w:hAnsi="Times New Roman" w:cs="Times New Roman"/>
          <w:color w:val="auto"/>
        </w:rPr>
        <w:drawing>
          <wp:anchor distT="0" distB="0" distL="114300" distR="114300" simplePos="0" relativeHeight="251664384" behindDoc="1" locked="0" layoutInCell="1" allowOverlap="1">
            <wp:simplePos x="0" y="0"/>
            <wp:positionH relativeFrom="column">
              <wp:posOffset>461645</wp:posOffset>
            </wp:positionH>
            <wp:positionV relativeFrom="paragraph">
              <wp:posOffset>123825</wp:posOffset>
            </wp:positionV>
            <wp:extent cx="4398010" cy="2239010"/>
            <wp:effectExtent l="4445" t="4445" r="17145" b="23495"/>
            <wp:wrapTight wrapText="bothSides">
              <wp:wrapPolygon>
                <wp:start x="-22" y="-43"/>
                <wp:lineTo x="-22" y="21459"/>
                <wp:lineTo x="21497" y="21459"/>
                <wp:lineTo x="21497" y="-43"/>
                <wp:lineTo x="-22" y="-43"/>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5C6807B">
      <w:pPr>
        <w:spacing w:line="600" w:lineRule="exact"/>
        <w:ind w:firstLine="640" w:firstLineChars="200"/>
        <w:outlineLvl w:val="2"/>
        <w:rPr>
          <w:rFonts w:hint="default" w:ascii="Times New Roman" w:hAnsi="Times New Roman" w:eastAsia="楷体_GB2312" w:cs="Times New Roman"/>
          <w:b w:val="0"/>
          <w:bCs/>
          <w:color w:val="auto"/>
          <w:sz w:val="32"/>
          <w:szCs w:val="32"/>
          <w:lang w:eastAsia="zh-CN"/>
        </w:rPr>
      </w:pPr>
      <w:bookmarkStart w:id="43" w:name="_Toc149398060"/>
      <w:bookmarkStart w:id="44" w:name="_Toc15377211"/>
      <w:r>
        <w:rPr>
          <w:rFonts w:hint="default" w:ascii="Times New Roman" w:hAnsi="Times New Roman" w:eastAsia="楷体_GB2312" w:cs="Times New Roman"/>
          <w:b w:val="0"/>
          <w:bCs/>
          <w:color w:val="auto"/>
          <w:sz w:val="32"/>
          <w:szCs w:val="32"/>
        </w:rPr>
        <w:t>（二）一般公共预算财政拨款支出决算结构情况</w:t>
      </w:r>
      <w:bookmarkEnd w:id="43"/>
      <w:bookmarkEnd w:id="44"/>
      <w:r>
        <w:rPr>
          <w:rFonts w:hint="default" w:ascii="Times New Roman" w:hAnsi="Times New Roman" w:eastAsia="楷体_GB2312" w:cs="Times New Roman"/>
          <w:b w:val="0"/>
          <w:bCs/>
          <w:color w:val="auto"/>
          <w:sz w:val="32"/>
          <w:szCs w:val="32"/>
          <w:lang w:eastAsia="zh-CN"/>
        </w:rPr>
        <w:t>。</w:t>
      </w:r>
    </w:p>
    <w:p w14:paraId="2B848008">
      <w:pPr>
        <w:spacing w:line="60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年一般公共预算财政拨款支出</w:t>
      </w:r>
      <w:r>
        <w:rPr>
          <w:rFonts w:hint="default" w:ascii="Times New Roman" w:hAnsi="Times New Roman" w:eastAsia="仿宋" w:cs="Times New Roman"/>
          <w:color w:val="auto"/>
          <w:sz w:val="32"/>
          <w:szCs w:val="32"/>
          <w:lang w:val="en-US" w:eastAsia="zh-CN"/>
        </w:rPr>
        <w:t>857.13</w:t>
      </w:r>
      <w:r>
        <w:rPr>
          <w:rFonts w:hint="default" w:ascii="Times New Roman" w:hAnsi="Times New Roman" w:eastAsia="仿宋" w:cs="Times New Roman"/>
          <w:color w:val="auto"/>
          <w:sz w:val="32"/>
          <w:szCs w:val="32"/>
        </w:rPr>
        <w:t>万元，主要用于以下方面:</w:t>
      </w:r>
      <w:r>
        <w:rPr>
          <w:rFonts w:hint="default" w:ascii="Times New Roman" w:hAnsi="Times New Roman" w:eastAsia="仿宋" w:cs="Times New Roman"/>
          <w:b/>
          <w:color w:val="auto"/>
          <w:sz w:val="32"/>
          <w:szCs w:val="32"/>
        </w:rPr>
        <w:t>一般公共服务</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rPr>
        <w:t>0万元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占0%；</w:t>
      </w:r>
      <w:r>
        <w:rPr>
          <w:rFonts w:hint="default" w:ascii="Times New Roman" w:hAnsi="Times New Roman" w:eastAsia="仿宋" w:cs="Times New Roman"/>
          <w:b/>
          <w:color w:val="auto"/>
          <w:sz w:val="32"/>
          <w:szCs w:val="32"/>
        </w:rPr>
        <w:t>教育支出</w:t>
      </w:r>
      <w:r>
        <w:rPr>
          <w:rFonts w:hint="default" w:ascii="Times New Roman" w:hAnsi="Times New Roman" w:eastAsia="仿宋" w:cs="Times New Roman"/>
          <w:color w:val="auto"/>
          <w:sz w:val="32"/>
          <w:szCs w:val="32"/>
        </w:rPr>
        <w:t>0万元，占0%；</w:t>
      </w:r>
      <w:r>
        <w:rPr>
          <w:rFonts w:hint="default" w:ascii="Times New Roman" w:hAnsi="Times New Roman" w:eastAsia="仿宋" w:cs="Times New Roman"/>
          <w:b/>
          <w:color w:val="auto"/>
          <w:sz w:val="32"/>
          <w:szCs w:val="32"/>
        </w:rPr>
        <w:t>科学技术</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rPr>
        <w:t>0万元，占0%；</w:t>
      </w:r>
      <w:r>
        <w:rPr>
          <w:rFonts w:hint="default" w:ascii="Times New Roman" w:hAnsi="Times New Roman" w:eastAsia="仿宋" w:cs="Times New Roman"/>
          <w:b/>
          <w:bCs/>
          <w:color w:val="auto"/>
          <w:sz w:val="32"/>
          <w:szCs w:val="32"/>
        </w:rPr>
        <w:t>文化旅游体育与传媒支出0</w:t>
      </w:r>
      <w:r>
        <w:rPr>
          <w:rFonts w:hint="default" w:ascii="Times New Roman" w:hAnsi="Times New Roman" w:eastAsia="仿宋" w:cs="Times New Roman"/>
          <w:color w:val="auto"/>
          <w:sz w:val="32"/>
          <w:szCs w:val="32"/>
        </w:rPr>
        <w:t>万元，占0%；</w:t>
      </w:r>
      <w:r>
        <w:rPr>
          <w:rFonts w:hint="default" w:ascii="Times New Roman" w:hAnsi="Times New Roman" w:eastAsia="仿宋" w:cs="Times New Roman"/>
          <w:b/>
          <w:color w:val="auto"/>
          <w:sz w:val="32"/>
          <w:szCs w:val="32"/>
        </w:rPr>
        <w:t>社会保障和就业</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lang w:val="en-US" w:eastAsia="zh-CN"/>
        </w:rPr>
        <w:t>71.75</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.37%；</w:t>
      </w:r>
      <w:r>
        <w:rPr>
          <w:rFonts w:hint="default" w:ascii="Times New Roman" w:hAnsi="Times New Roman" w:eastAsia="仿宋" w:cs="Times New Roman"/>
          <w:b/>
          <w:bCs/>
          <w:color w:val="auto"/>
          <w:sz w:val="32"/>
          <w:szCs w:val="32"/>
        </w:rPr>
        <w:t>卫生健康支出</w:t>
      </w:r>
      <w:r>
        <w:rPr>
          <w:rFonts w:hint="default" w:ascii="Times New Roman" w:hAnsi="Times New Roman" w:eastAsia="仿宋" w:cs="Times New Roman"/>
          <w:color w:val="auto"/>
          <w:sz w:val="32"/>
          <w:szCs w:val="32"/>
          <w:lang w:val="en-US" w:eastAsia="zh-CN"/>
        </w:rPr>
        <w:t>763.31</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89.05</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rPr>
        <w:t>住房保障支出</w:t>
      </w:r>
      <w:r>
        <w:rPr>
          <w:rFonts w:hint="default" w:ascii="Times New Roman" w:hAnsi="Times New Roman" w:eastAsia="仿宋" w:cs="Times New Roman"/>
          <w:color w:val="auto"/>
          <w:sz w:val="32"/>
          <w:szCs w:val="32"/>
          <w:lang w:val="en-US" w:eastAsia="zh-CN"/>
        </w:rPr>
        <w:t>25.91</w:t>
      </w:r>
      <w:r>
        <w:rPr>
          <w:rFonts w:hint="default" w:ascii="Times New Roman" w:hAnsi="Times New Roman" w:eastAsia="仿宋" w:cs="Times New Roman"/>
          <w:color w:val="auto"/>
          <w:sz w:val="32"/>
          <w:szCs w:val="32"/>
        </w:rPr>
        <w:t>万元，占3.</w:t>
      </w:r>
      <w:r>
        <w:rPr>
          <w:rFonts w:hint="default" w:ascii="Times New Roman" w:hAnsi="Times New Roman" w:eastAsia="仿宋" w:cs="Times New Roman"/>
          <w:color w:val="auto"/>
          <w:sz w:val="32"/>
          <w:szCs w:val="32"/>
          <w:lang w:val="en-US" w:eastAsia="zh-CN"/>
        </w:rPr>
        <w:t>02</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lang w:eastAsia="zh-CN"/>
        </w:rPr>
        <w:t>其他</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lang w:val="en-US" w:eastAsia="zh-CN"/>
        </w:rPr>
        <w:t>28.96</w:t>
      </w:r>
      <w:r>
        <w:rPr>
          <w:rFonts w:hint="default" w:ascii="Times New Roman" w:hAnsi="Times New Roman" w:eastAsia="仿宋" w:cs="Times New Roman"/>
          <w:color w:val="auto"/>
          <w:sz w:val="32"/>
          <w:szCs w:val="32"/>
        </w:rPr>
        <w:t>万元，占3.</w:t>
      </w:r>
      <w:r>
        <w:rPr>
          <w:rFonts w:hint="default" w:ascii="Times New Roman" w:hAnsi="Times New Roman" w:eastAsia="仿宋" w:cs="Times New Roman"/>
          <w:color w:val="auto"/>
          <w:sz w:val="32"/>
          <w:szCs w:val="32"/>
          <w:lang w:val="en-US" w:eastAsia="zh-CN"/>
        </w:rPr>
        <w:t>38</w:t>
      </w:r>
      <w:r>
        <w:rPr>
          <w:rFonts w:hint="default" w:ascii="Times New Roman" w:hAnsi="Times New Roman" w:eastAsia="仿宋" w:cs="Times New Roman"/>
          <w:color w:val="auto"/>
          <w:sz w:val="32"/>
          <w:szCs w:val="32"/>
        </w:rPr>
        <w:t>%。</w:t>
      </w:r>
    </w:p>
    <w:p w14:paraId="30EEC550">
      <w:pPr>
        <w:spacing w:line="600" w:lineRule="exact"/>
        <w:ind w:firstLine="640" w:firstLineChars="200"/>
        <w:outlineLvl w:val="2"/>
        <w:rPr>
          <w:rFonts w:hint="default" w:ascii="Times New Roman" w:hAnsi="Times New Roman" w:eastAsia="楷体_GB2312" w:cs="Times New Roman"/>
          <w:b w:val="0"/>
          <w:bCs/>
          <w:color w:val="auto"/>
          <w:sz w:val="32"/>
          <w:szCs w:val="32"/>
          <w:lang w:eastAsia="zh-CN"/>
        </w:rPr>
      </w:pPr>
      <w:r>
        <w:rPr>
          <w:rFonts w:hint="default" w:ascii="Times New Roman" w:hAnsi="Times New Roman" w:eastAsia="楷体_GB2312" w:cs="Times New Roman"/>
          <w:b w:val="0"/>
          <w:bCs/>
          <w:color w:val="auto"/>
          <w:sz w:val="32"/>
          <w:szCs w:val="32"/>
        </w:rPr>
        <w:drawing>
          <wp:anchor distT="0" distB="0" distL="114300" distR="114300" simplePos="0" relativeHeight="251665408" behindDoc="0" locked="0" layoutInCell="1" allowOverlap="1">
            <wp:simplePos x="0" y="0"/>
            <wp:positionH relativeFrom="column">
              <wp:posOffset>325120</wp:posOffset>
            </wp:positionH>
            <wp:positionV relativeFrom="paragraph">
              <wp:posOffset>213995</wp:posOffset>
            </wp:positionV>
            <wp:extent cx="4826000" cy="2743200"/>
            <wp:effectExtent l="4445" t="4445" r="825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45" w:name="_Toc15377212"/>
      <w:bookmarkStart w:id="46" w:name="_Toc149398061"/>
      <w:r>
        <w:rPr>
          <w:rFonts w:hint="default" w:ascii="Times New Roman" w:hAnsi="Times New Roman" w:eastAsia="楷体_GB2312" w:cs="Times New Roman"/>
          <w:b w:val="0"/>
          <w:bCs/>
          <w:color w:val="auto"/>
          <w:sz w:val="32"/>
          <w:szCs w:val="32"/>
        </w:rPr>
        <w:t>（三）一般公共预算财政拨款支出决算具体情况</w:t>
      </w:r>
      <w:bookmarkEnd w:id="45"/>
      <w:bookmarkEnd w:id="46"/>
      <w:r>
        <w:rPr>
          <w:rFonts w:hint="default" w:ascii="Times New Roman" w:hAnsi="Times New Roman" w:eastAsia="楷体_GB2312" w:cs="Times New Roman"/>
          <w:b w:val="0"/>
          <w:bCs/>
          <w:color w:val="auto"/>
          <w:sz w:val="32"/>
          <w:szCs w:val="32"/>
          <w:lang w:eastAsia="zh-CN"/>
        </w:rPr>
        <w:t>。</w:t>
      </w:r>
    </w:p>
    <w:p w14:paraId="1CD56AFB">
      <w:pPr>
        <w:spacing w:line="600" w:lineRule="exact"/>
        <w:ind w:firstLine="643" w:firstLineChars="200"/>
        <w:outlineLvl w:val="2"/>
        <w:rPr>
          <w:rFonts w:hint="default" w:ascii="Times New Roman" w:hAnsi="Times New Roman" w:eastAsia="仿宋" w:cs="Times New Roman"/>
          <w:color w:val="auto"/>
          <w:sz w:val="32"/>
          <w:szCs w:val="32"/>
        </w:rPr>
      </w:pPr>
      <w:bookmarkStart w:id="47" w:name="_Toc15377213"/>
      <w:bookmarkStart w:id="48" w:name="_Toc15378460"/>
      <w:bookmarkStart w:id="49" w:name="_Toc15377444"/>
      <w:bookmarkStart w:id="50" w:name="_Toc149398062"/>
      <w:r>
        <w:rPr>
          <w:rFonts w:hint="default" w:ascii="Times New Roman" w:hAnsi="Times New Roman" w:eastAsia="仿宋" w:cs="Times New Roman"/>
          <w:b/>
          <w:color w:val="auto"/>
          <w:sz w:val="32"/>
          <w:szCs w:val="32"/>
        </w:rPr>
        <w:t>202</w:t>
      </w:r>
      <w:r>
        <w:rPr>
          <w:rFonts w:hint="default" w:ascii="Times New Roman" w:hAnsi="Times New Roman" w:eastAsia="仿宋" w:cs="Times New Roman"/>
          <w:b/>
          <w:color w:val="auto"/>
          <w:sz w:val="32"/>
          <w:szCs w:val="32"/>
          <w:lang w:val="en-US" w:eastAsia="zh-CN"/>
        </w:rPr>
        <w:t>3</w:t>
      </w:r>
      <w:r>
        <w:rPr>
          <w:rFonts w:hint="default" w:ascii="Times New Roman" w:hAnsi="Times New Roman" w:eastAsia="仿宋" w:cs="Times New Roman"/>
          <w:b/>
          <w:color w:val="auto"/>
          <w:sz w:val="32"/>
          <w:szCs w:val="32"/>
        </w:rPr>
        <w:t>年一般公共预算支出决算数为</w:t>
      </w:r>
      <w:r>
        <w:rPr>
          <w:rFonts w:hint="default" w:ascii="Times New Roman" w:hAnsi="Times New Roman" w:eastAsia="仿宋" w:cs="Times New Roman"/>
          <w:b/>
          <w:color w:val="auto"/>
          <w:sz w:val="32"/>
          <w:szCs w:val="32"/>
          <w:lang w:val="en-US" w:eastAsia="zh-CN"/>
        </w:rPr>
        <w:t>860.97万元</w:t>
      </w:r>
      <w:r>
        <w:rPr>
          <w:rFonts w:hint="default" w:ascii="Times New Roman" w:hAnsi="Times New Roman" w:eastAsia="仿宋" w:cs="Times New Roman"/>
          <w:color w:val="auto"/>
          <w:sz w:val="32"/>
          <w:szCs w:val="32"/>
        </w:rPr>
        <w:t>，</w:t>
      </w:r>
      <w:r>
        <w:rPr>
          <w:rStyle w:val="17"/>
          <w:rFonts w:hint="default" w:ascii="Times New Roman" w:hAnsi="Times New Roman" w:eastAsia="仿宋" w:cs="Times New Roman"/>
          <w:bCs/>
          <w:color w:val="auto"/>
          <w:sz w:val="32"/>
          <w:szCs w:val="32"/>
        </w:rPr>
        <w:t>完成预算100%。其中：</w:t>
      </w:r>
      <w:bookmarkEnd w:id="47"/>
      <w:bookmarkEnd w:id="48"/>
      <w:bookmarkEnd w:id="49"/>
      <w:bookmarkEnd w:id="50"/>
    </w:p>
    <w:p w14:paraId="3DA21CA2">
      <w:pPr>
        <w:spacing w:line="600" w:lineRule="exact"/>
        <w:ind w:firstLine="643" w:firstLineChars="200"/>
        <w:rPr>
          <w:rFonts w:hint="default" w:ascii="Times New Roman" w:hAnsi="Times New Roman" w:eastAsia="仿宋" w:cs="Times New Roman"/>
          <w:b/>
          <w:color w:val="auto"/>
          <w:sz w:val="32"/>
          <w:szCs w:val="32"/>
        </w:rPr>
      </w:pPr>
      <w:r>
        <w:rPr>
          <w:rStyle w:val="17"/>
          <w:rFonts w:hint="default" w:ascii="Times New Roman" w:hAnsi="Times New Roman" w:eastAsia="仿宋" w:cs="Times New Roman"/>
          <w:bCs/>
          <w:color w:val="auto"/>
          <w:sz w:val="32"/>
          <w:szCs w:val="32"/>
        </w:rPr>
        <w:t>1.社会保障和就业（类）行政事业单位养老支出（款）行政单位离退休（项）: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1.02</w:t>
      </w:r>
      <w:r>
        <w:rPr>
          <w:rStyle w:val="17"/>
          <w:rFonts w:hint="default" w:ascii="Times New Roman" w:hAnsi="Times New Roman" w:eastAsia="仿宋" w:cs="Times New Roman"/>
          <w:b w:val="0"/>
          <w:bCs/>
          <w:color w:val="auto"/>
          <w:sz w:val="32"/>
          <w:szCs w:val="32"/>
        </w:rPr>
        <w:t>万元，完成预算100%。</w:t>
      </w:r>
    </w:p>
    <w:p w14:paraId="268B00A6">
      <w:pPr>
        <w:tabs>
          <w:tab w:val="left" w:pos="709"/>
        </w:tabs>
        <w:spacing w:line="600" w:lineRule="exact"/>
        <w:ind w:firstLine="643" w:firstLineChars="200"/>
        <w:rPr>
          <w:rStyle w:val="17"/>
          <w:rFonts w:hint="default" w:ascii="Times New Roman" w:hAnsi="Times New Roman" w:eastAsia="仿宋" w:cs="Times New Roman"/>
          <w:bCs/>
          <w:color w:val="auto"/>
          <w:sz w:val="32"/>
          <w:szCs w:val="32"/>
        </w:rPr>
      </w:pPr>
      <w:r>
        <w:rPr>
          <w:rStyle w:val="17"/>
          <w:rFonts w:hint="default" w:ascii="Times New Roman" w:hAnsi="Times New Roman" w:eastAsia="仿宋" w:cs="Times New Roman"/>
          <w:bCs/>
          <w:color w:val="auto"/>
          <w:sz w:val="32"/>
          <w:szCs w:val="32"/>
        </w:rPr>
        <w:t>2.社会保障和就业（类）行政事业单位养老支出（款）机关事业单位基本养老保险缴费支出（项）: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36.95</w:t>
      </w:r>
      <w:r>
        <w:rPr>
          <w:rStyle w:val="17"/>
          <w:rFonts w:hint="default" w:ascii="Times New Roman" w:hAnsi="Times New Roman" w:eastAsia="仿宋" w:cs="Times New Roman"/>
          <w:b w:val="0"/>
          <w:bCs/>
          <w:color w:val="auto"/>
          <w:sz w:val="32"/>
          <w:szCs w:val="32"/>
        </w:rPr>
        <w:t>万元，完成预算100%。</w:t>
      </w:r>
    </w:p>
    <w:p w14:paraId="462A9620">
      <w:pPr>
        <w:tabs>
          <w:tab w:val="left" w:pos="709"/>
        </w:tabs>
        <w:spacing w:line="600" w:lineRule="exact"/>
        <w:ind w:firstLine="643" w:firstLineChars="200"/>
        <w:rPr>
          <w:rStyle w:val="17"/>
          <w:rFonts w:hint="default" w:ascii="Times New Roman" w:hAnsi="Times New Roman" w:eastAsia="仿宋" w:cs="Times New Roman"/>
          <w:b w:val="0"/>
          <w:bCs/>
          <w:color w:val="auto"/>
          <w:sz w:val="32"/>
          <w:szCs w:val="32"/>
        </w:rPr>
      </w:pPr>
      <w:r>
        <w:rPr>
          <w:rStyle w:val="17"/>
          <w:rFonts w:hint="default" w:ascii="Times New Roman" w:hAnsi="Times New Roman" w:eastAsia="仿宋" w:cs="Times New Roman"/>
          <w:bCs/>
          <w:color w:val="auto"/>
          <w:sz w:val="32"/>
          <w:szCs w:val="32"/>
        </w:rPr>
        <w:t>3.</w:t>
      </w:r>
      <w:r>
        <w:rPr>
          <w:rFonts w:hint="default" w:ascii="Times New Roman" w:hAnsi="Times New Roman" w:eastAsia="仿宋" w:cs="Times New Roman"/>
          <w:b/>
          <w:bCs/>
          <w:color w:val="auto"/>
          <w:sz w:val="32"/>
          <w:szCs w:val="32"/>
        </w:rPr>
        <w:t>卫生健康</w:t>
      </w:r>
      <w:r>
        <w:rPr>
          <w:rStyle w:val="17"/>
          <w:rFonts w:hint="default" w:ascii="Times New Roman" w:hAnsi="Times New Roman" w:eastAsia="仿宋" w:cs="Times New Roman"/>
          <w:bCs/>
          <w:color w:val="auto"/>
          <w:sz w:val="32"/>
          <w:szCs w:val="32"/>
        </w:rPr>
        <w:t>（类）行政事业单位医疗（款）行政单位医疗（项）:</w:t>
      </w:r>
      <w:r>
        <w:rPr>
          <w:rStyle w:val="17"/>
          <w:rFonts w:hint="default" w:ascii="Times New Roman" w:hAnsi="Times New Roman" w:eastAsia="仿宋" w:cs="Times New Roman"/>
          <w:b w:val="0"/>
          <w:bCs/>
          <w:color w:val="auto"/>
          <w:sz w:val="32"/>
          <w:szCs w:val="32"/>
        </w:rPr>
        <w:t>支出决算为1</w:t>
      </w:r>
      <w:r>
        <w:rPr>
          <w:rStyle w:val="17"/>
          <w:rFonts w:hint="default" w:ascii="Times New Roman" w:hAnsi="Times New Roman" w:eastAsia="仿宋" w:cs="Times New Roman"/>
          <w:b w:val="0"/>
          <w:bCs/>
          <w:color w:val="auto"/>
          <w:sz w:val="32"/>
          <w:szCs w:val="32"/>
          <w:lang w:val="en-US" w:eastAsia="zh-CN"/>
        </w:rPr>
        <w:t>5.59</w:t>
      </w:r>
      <w:r>
        <w:rPr>
          <w:rStyle w:val="17"/>
          <w:rFonts w:hint="default" w:ascii="Times New Roman" w:hAnsi="Times New Roman" w:eastAsia="仿宋" w:cs="Times New Roman"/>
          <w:b w:val="0"/>
          <w:bCs/>
          <w:color w:val="auto"/>
          <w:sz w:val="32"/>
          <w:szCs w:val="32"/>
        </w:rPr>
        <w:t>万元，完成预算100%。</w:t>
      </w:r>
    </w:p>
    <w:p w14:paraId="53AA9869">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4.卫生健康</w:t>
      </w:r>
      <w:r>
        <w:rPr>
          <w:rStyle w:val="17"/>
          <w:rFonts w:hint="default" w:ascii="Times New Roman" w:hAnsi="Times New Roman" w:eastAsia="仿宋" w:cs="Times New Roman"/>
          <w:bCs/>
          <w:color w:val="auto"/>
          <w:sz w:val="32"/>
          <w:szCs w:val="32"/>
        </w:rPr>
        <w:t>（类）行政事业单位医疗（款）事业单位医疗（项）: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2.31</w:t>
      </w:r>
      <w:r>
        <w:rPr>
          <w:rStyle w:val="17"/>
          <w:rFonts w:hint="default" w:ascii="Times New Roman" w:hAnsi="Times New Roman" w:eastAsia="仿宋" w:cs="Times New Roman"/>
          <w:b w:val="0"/>
          <w:bCs/>
          <w:color w:val="auto"/>
          <w:sz w:val="32"/>
          <w:szCs w:val="32"/>
        </w:rPr>
        <w:t>万元，完成预算100%。</w:t>
      </w:r>
    </w:p>
    <w:p w14:paraId="1B91989C">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5.卫生健康</w:t>
      </w:r>
      <w:r>
        <w:rPr>
          <w:rStyle w:val="17"/>
          <w:rFonts w:hint="default" w:ascii="Times New Roman" w:hAnsi="Times New Roman" w:eastAsia="仿宋" w:cs="Times New Roman"/>
          <w:bCs/>
          <w:color w:val="auto"/>
          <w:sz w:val="32"/>
          <w:szCs w:val="32"/>
        </w:rPr>
        <w:t>（类）行政事业单位医疗（款）公务员医疗补助（项）: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9.82</w:t>
      </w:r>
      <w:r>
        <w:rPr>
          <w:rStyle w:val="17"/>
          <w:rFonts w:hint="default" w:ascii="Times New Roman" w:hAnsi="Times New Roman" w:eastAsia="仿宋" w:cs="Times New Roman"/>
          <w:b w:val="0"/>
          <w:bCs/>
          <w:color w:val="auto"/>
          <w:sz w:val="32"/>
          <w:szCs w:val="32"/>
        </w:rPr>
        <w:t>万元，完成预算100%。</w:t>
      </w:r>
    </w:p>
    <w:p w14:paraId="01743A4E">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6.卫生健康</w:t>
      </w:r>
      <w:r>
        <w:rPr>
          <w:rStyle w:val="17"/>
          <w:rFonts w:hint="default" w:ascii="Times New Roman" w:hAnsi="Times New Roman" w:eastAsia="仿宋" w:cs="Times New Roman"/>
          <w:bCs/>
          <w:color w:val="auto"/>
          <w:sz w:val="32"/>
          <w:szCs w:val="32"/>
        </w:rPr>
        <w:t>（类）行政事业单位医疗（款）其他行政事业单位医疗支出（项）: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1.48</w:t>
      </w:r>
      <w:r>
        <w:rPr>
          <w:rStyle w:val="17"/>
          <w:rFonts w:hint="default" w:ascii="Times New Roman" w:hAnsi="Times New Roman" w:eastAsia="仿宋" w:cs="Times New Roman"/>
          <w:b w:val="0"/>
          <w:bCs/>
          <w:color w:val="auto"/>
          <w:sz w:val="32"/>
          <w:szCs w:val="32"/>
        </w:rPr>
        <w:t>万元，完成预算100%。</w:t>
      </w:r>
    </w:p>
    <w:p w14:paraId="1E2EC747">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7.卫生健康</w:t>
      </w:r>
      <w:r>
        <w:rPr>
          <w:rStyle w:val="17"/>
          <w:rFonts w:hint="default" w:ascii="Times New Roman" w:hAnsi="Times New Roman" w:eastAsia="仿宋" w:cs="Times New Roman"/>
          <w:bCs/>
          <w:color w:val="auto"/>
          <w:sz w:val="32"/>
          <w:szCs w:val="32"/>
        </w:rPr>
        <w:t>（类）医疗救助（款）城乡医疗救助（项）: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238.3</w:t>
      </w:r>
      <w:r>
        <w:rPr>
          <w:rStyle w:val="17"/>
          <w:rFonts w:hint="default" w:ascii="Times New Roman" w:hAnsi="Times New Roman" w:eastAsia="仿宋" w:cs="Times New Roman"/>
          <w:b w:val="0"/>
          <w:bCs/>
          <w:color w:val="auto"/>
          <w:sz w:val="32"/>
          <w:szCs w:val="32"/>
        </w:rPr>
        <w:t>万元，完成预算100%。</w:t>
      </w:r>
    </w:p>
    <w:p w14:paraId="1CC38425">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8.卫生健康</w:t>
      </w:r>
      <w:r>
        <w:rPr>
          <w:rStyle w:val="17"/>
          <w:rFonts w:hint="default" w:ascii="Times New Roman" w:hAnsi="Times New Roman" w:eastAsia="仿宋" w:cs="Times New Roman"/>
          <w:bCs/>
          <w:color w:val="auto"/>
          <w:sz w:val="32"/>
          <w:szCs w:val="32"/>
        </w:rPr>
        <w:t>（类）医疗保障管理事务（款）行政运行（项）: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231.58</w:t>
      </w:r>
      <w:r>
        <w:rPr>
          <w:rStyle w:val="17"/>
          <w:rFonts w:hint="default" w:ascii="Times New Roman" w:hAnsi="Times New Roman" w:eastAsia="仿宋" w:cs="Times New Roman"/>
          <w:b w:val="0"/>
          <w:bCs/>
          <w:color w:val="auto"/>
          <w:sz w:val="32"/>
          <w:szCs w:val="32"/>
        </w:rPr>
        <w:t>万元，完成预算100%。</w:t>
      </w:r>
    </w:p>
    <w:p w14:paraId="1403CD8D">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lang w:val="en-US" w:eastAsia="zh-CN"/>
        </w:rPr>
        <w:t>9</w:t>
      </w:r>
      <w:r>
        <w:rPr>
          <w:rFonts w:hint="default" w:ascii="Times New Roman" w:hAnsi="Times New Roman" w:eastAsia="仿宋" w:cs="Times New Roman"/>
          <w:b/>
          <w:bCs/>
          <w:color w:val="auto"/>
          <w:sz w:val="32"/>
          <w:szCs w:val="32"/>
        </w:rPr>
        <w:t>.卫生健康</w:t>
      </w:r>
      <w:r>
        <w:rPr>
          <w:rStyle w:val="17"/>
          <w:rFonts w:hint="default" w:ascii="Times New Roman" w:hAnsi="Times New Roman" w:eastAsia="仿宋" w:cs="Times New Roman"/>
          <w:bCs/>
          <w:color w:val="auto"/>
          <w:sz w:val="32"/>
          <w:szCs w:val="32"/>
        </w:rPr>
        <w:t>（类）医疗保障管理事务（款）</w:t>
      </w:r>
      <w:r>
        <w:rPr>
          <w:rStyle w:val="17"/>
          <w:rFonts w:hint="default" w:ascii="Times New Roman" w:hAnsi="Times New Roman" w:eastAsia="仿宋" w:cs="Times New Roman"/>
          <w:bCs/>
          <w:color w:val="auto"/>
          <w:sz w:val="32"/>
          <w:szCs w:val="32"/>
          <w:lang w:eastAsia="zh-CN"/>
        </w:rPr>
        <w:t>事业</w:t>
      </w:r>
      <w:r>
        <w:rPr>
          <w:rStyle w:val="17"/>
          <w:rFonts w:hint="default" w:ascii="Times New Roman" w:hAnsi="Times New Roman" w:eastAsia="仿宋" w:cs="Times New Roman"/>
          <w:bCs/>
          <w:color w:val="auto"/>
          <w:sz w:val="32"/>
          <w:szCs w:val="32"/>
        </w:rPr>
        <w:t>运行（项）: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41.46</w:t>
      </w:r>
      <w:r>
        <w:rPr>
          <w:rStyle w:val="17"/>
          <w:rFonts w:hint="default" w:ascii="Times New Roman" w:hAnsi="Times New Roman" w:eastAsia="仿宋" w:cs="Times New Roman"/>
          <w:b w:val="0"/>
          <w:bCs/>
          <w:color w:val="auto"/>
          <w:sz w:val="32"/>
          <w:szCs w:val="32"/>
        </w:rPr>
        <w:t>万元，完成预算100%。</w:t>
      </w:r>
    </w:p>
    <w:p w14:paraId="0B3785F7">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lang w:val="en-US" w:eastAsia="zh-CN"/>
        </w:rPr>
        <w:t>10</w:t>
      </w:r>
      <w:r>
        <w:rPr>
          <w:rFonts w:hint="default" w:ascii="Times New Roman" w:hAnsi="Times New Roman" w:eastAsia="仿宋" w:cs="Times New Roman"/>
          <w:b/>
          <w:bCs/>
          <w:color w:val="auto"/>
          <w:sz w:val="32"/>
          <w:szCs w:val="32"/>
        </w:rPr>
        <w:t>.卫生健康</w:t>
      </w:r>
      <w:r>
        <w:rPr>
          <w:rStyle w:val="17"/>
          <w:rFonts w:hint="default" w:ascii="Times New Roman" w:hAnsi="Times New Roman" w:eastAsia="仿宋" w:cs="Times New Roman"/>
          <w:bCs/>
          <w:color w:val="auto"/>
          <w:sz w:val="32"/>
          <w:szCs w:val="32"/>
        </w:rPr>
        <w:t>（类）医疗保障管理事务（款）</w:t>
      </w:r>
      <w:r>
        <w:rPr>
          <w:rStyle w:val="17"/>
          <w:rFonts w:hint="default" w:ascii="Times New Roman" w:hAnsi="Times New Roman" w:eastAsia="仿宋" w:cs="Times New Roman"/>
          <w:bCs/>
          <w:color w:val="auto"/>
          <w:sz w:val="32"/>
          <w:szCs w:val="32"/>
          <w:lang w:eastAsia="zh-CN"/>
        </w:rPr>
        <w:t>其他</w:t>
      </w:r>
      <w:r>
        <w:rPr>
          <w:rStyle w:val="17"/>
          <w:rFonts w:hint="default" w:ascii="Times New Roman" w:hAnsi="Times New Roman" w:eastAsia="仿宋" w:cs="Times New Roman"/>
          <w:bCs/>
          <w:color w:val="auto"/>
          <w:sz w:val="32"/>
          <w:szCs w:val="32"/>
        </w:rPr>
        <w:t>医疗保障经办事务（项）: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222.76</w:t>
      </w:r>
      <w:r>
        <w:rPr>
          <w:rStyle w:val="17"/>
          <w:rFonts w:hint="default" w:ascii="Times New Roman" w:hAnsi="Times New Roman" w:eastAsia="仿宋" w:cs="Times New Roman"/>
          <w:b w:val="0"/>
          <w:bCs/>
          <w:color w:val="auto"/>
          <w:sz w:val="32"/>
          <w:szCs w:val="32"/>
        </w:rPr>
        <w:t>万元，完成预算100%。</w:t>
      </w:r>
    </w:p>
    <w:p w14:paraId="5DF07979">
      <w:pPr>
        <w:pStyle w:val="5"/>
        <w:spacing w:before="93"/>
        <w:ind w:firstLine="643" w:firstLineChars="200"/>
        <w:rPr>
          <w:rStyle w:val="17"/>
          <w:rFonts w:hint="default" w:ascii="Times New Roman" w:hAnsi="Times New Roman" w:eastAsia="仿宋" w:cs="Times New Roman"/>
          <w:b w:val="0"/>
          <w:bCs/>
          <w:color w:val="auto"/>
          <w:sz w:val="32"/>
          <w:szCs w:val="32"/>
        </w:rPr>
      </w:pPr>
      <w:r>
        <w:rPr>
          <w:rStyle w:val="17"/>
          <w:rFonts w:hint="default" w:ascii="Times New Roman" w:hAnsi="Times New Roman" w:eastAsia="仿宋" w:cs="Times New Roman"/>
          <w:bCs/>
          <w:color w:val="auto"/>
          <w:sz w:val="32"/>
          <w:szCs w:val="32"/>
        </w:rPr>
        <w:t>1</w:t>
      </w:r>
      <w:r>
        <w:rPr>
          <w:rStyle w:val="17"/>
          <w:rFonts w:hint="default" w:ascii="Times New Roman" w:hAnsi="Times New Roman" w:eastAsia="仿宋" w:cs="Times New Roman"/>
          <w:bCs/>
          <w:color w:val="auto"/>
          <w:sz w:val="32"/>
          <w:szCs w:val="32"/>
          <w:lang w:val="en-US" w:eastAsia="zh-CN"/>
        </w:rPr>
        <w:t>1</w:t>
      </w:r>
      <w:r>
        <w:rPr>
          <w:rStyle w:val="17"/>
          <w:rFonts w:hint="default" w:ascii="Times New Roman" w:hAnsi="Times New Roman" w:eastAsia="仿宋" w:cs="Times New Roman"/>
          <w:bCs/>
          <w:color w:val="auto"/>
          <w:sz w:val="32"/>
          <w:szCs w:val="32"/>
        </w:rPr>
        <w:t>.住房保障支出（类）住房改革支出（款）住房公积金（项）:</w:t>
      </w:r>
      <w:r>
        <w:rPr>
          <w:rStyle w:val="17"/>
          <w:rFonts w:hint="default" w:ascii="Times New Roman" w:hAnsi="Times New Roman" w:eastAsia="仿宋" w:cs="Times New Roman"/>
          <w:b w:val="0"/>
          <w:bCs/>
          <w:color w:val="auto"/>
          <w:sz w:val="32"/>
          <w:szCs w:val="32"/>
        </w:rPr>
        <w:t>支出决算为2</w:t>
      </w:r>
      <w:r>
        <w:rPr>
          <w:rStyle w:val="17"/>
          <w:rFonts w:hint="default" w:ascii="Times New Roman" w:hAnsi="Times New Roman" w:eastAsia="仿宋" w:cs="Times New Roman"/>
          <w:b w:val="0"/>
          <w:bCs/>
          <w:color w:val="auto"/>
          <w:sz w:val="32"/>
          <w:szCs w:val="32"/>
          <w:lang w:val="en-US" w:eastAsia="zh-CN"/>
        </w:rPr>
        <w:t>5.91</w:t>
      </w:r>
      <w:r>
        <w:rPr>
          <w:rStyle w:val="17"/>
          <w:rFonts w:hint="default" w:ascii="Times New Roman" w:hAnsi="Times New Roman" w:eastAsia="仿宋" w:cs="Times New Roman"/>
          <w:b w:val="0"/>
          <w:bCs/>
          <w:color w:val="auto"/>
          <w:sz w:val="32"/>
          <w:szCs w:val="32"/>
        </w:rPr>
        <w:t>万元，完成预算100%。</w:t>
      </w:r>
    </w:p>
    <w:p w14:paraId="219738CC">
      <w:pPr>
        <w:tabs>
          <w:tab w:val="left" w:pos="709"/>
        </w:tabs>
        <w:spacing w:line="600" w:lineRule="exact"/>
        <w:ind w:firstLine="643" w:firstLineChars="200"/>
        <w:rPr>
          <w:rStyle w:val="17"/>
          <w:rFonts w:hint="default" w:ascii="Times New Roman" w:hAnsi="Times New Roman" w:eastAsia="仿宋" w:cs="Times New Roman"/>
          <w:bCs/>
          <w:color w:val="auto"/>
          <w:sz w:val="32"/>
          <w:szCs w:val="32"/>
        </w:rPr>
      </w:pPr>
      <w:r>
        <w:rPr>
          <w:rStyle w:val="17"/>
          <w:rFonts w:hint="default" w:ascii="Times New Roman" w:hAnsi="Times New Roman" w:eastAsia="仿宋" w:cs="Times New Roman"/>
          <w:bCs/>
          <w:color w:val="auto"/>
          <w:sz w:val="32"/>
          <w:szCs w:val="32"/>
          <w:lang w:val="en-US" w:eastAsia="zh-CN"/>
        </w:rPr>
        <w:t>1</w:t>
      </w:r>
      <w:r>
        <w:rPr>
          <w:rStyle w:val="17"/>
          <w:rFonts w:hint="default" w:ascii="Times New Roman" w:hAnsi="Times New Roman" w:eastAsia="仿宋" w:cs="Times New Roman"/>
          <w:bCs/>
          <w:color w:val="auto"/>
          <w:sz w:val="32"/>
          <w:szCs w:val="32"/>
        </w:rPr>
        <w:t>2.社会保障和就业（类）行政事业单位养老支出（款）机关事业单位职业年金缴费支出（项）: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8.07</w:t>
      </w:r>
      <w:r>
        <w:rPr>
          <w:rStyle w:val="17"/>
          <w:rFonts w:hint="default" w:ascii="Times New Roman" w:hAnsi="Times New Roman" w:eastAsia="仿宋" w:cs="Times New Roman"/>
          <w:b w:val="0"/>
          <w:bCs/>
          <w:color w:val="auto"/>
          <w:sz w:val="32"/>
          <w:szCs w:val="32"/>
        </w:rPr>
        <w:t>万元，完成预算100%。</w:t>
      </w:r>
    </w:p>
    <w:p w14:paraId="45F6DA6B">
      <w:pPr>
        <w:tabs>
          <w:tab w:val="right" w:pos="8306"/>
        </w:tabs>
        <w:spacing w:line="600" w:lineRule="exact"/>
        <w:ind w:firstLine="640" w:firstLineChars="200"/>
        <w:outlineLvl w:val="1"/>
        <w:rPr>
          <w:rStyle w:val="30"/>
          <w:rFonts w:hint="default" w:ascii="Times New Roman" w:hAnsi="Times New Roman" w:cs="Times New Roman"/>
          <w:color w:val="auto"/>
        </w:rPr>
      </w:pPr>
      <w:bookmarkStart w:id="51" w:name="_Toc15377214"/>
      <w:bookmarkStart w:id="52" w:name="_Toc15396608"/>
      <w:bookmarkStart w:id="53" w:name="_Toc149398063"/>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30"/>
          <w:rFonts w:hint="default" w:ascii="Times New Roman" w:hAnsi="Times New Roman" w:eastAsia="黑体" w:cs="Times New Roman"/>
          <w:b w:val="0"/>
          <w:color w:val="auto"/>
        </w:rPr>
        <w:t>般公共预算财政拨款基本支出决算情况说明</w:t>
      </w:r>
      <w:bookmarkEnd w:id="51"/>
      <w:bookmarkEnd w:id="52"/>
      <w:bookmarkEnd w:id="53"/>
      <w:r>
        <w:rPr>
          <w:rStyle w:val="30"/>
          <w:rFonts w:hint="default" w:ascii="Times New Roman" w:hAnsi="Times New Roman" w:eastAsia="黑体" w:cs="Times New Roman"/>
          <w:b w:val="0"/>
          <w:color w:val="auto"/>
        </w:rPr>
        <w:tab/>
      </w:r>
    </w:p>
    <w:p w14:paraId="117833DB">
      <w:pPr>
        <w:spacing w:line="600" w:lineRule="exact"/>
        <w:ind w:firstLine="645"/>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年一般公共预算财政拨款基本支出</w:t>
      </w:r>
      <w:r>
        <w:rPr>
          <w:rFonts w:hint="default" w:ascii="Times New Roman" w:hAnsi="Times New Roman" w:eastAsia="仿宋" w:cs="Times New Roman"/>
          <w:color w:val="auto"/>
          <w:sz w:val="32"/>
          <w:szCs w:val="32"/>
          <w:lang w:val="en-US" w:eastAsia="zh-CN"/>
        </w:rPr>
        <w:t>347.32</w:t>
      </w:r>
      <w:r>
        <w:rPr>
          <w:rFonts w:hint="default" w:ascii="Times New Roman" w:hAnsi="Times New Roman" w:eastAsia="仿宋" w:cs="Times New Roman"/>
          <w:color w:val="auto"/>
          <w:sz w:val="32"/>
          <w:szCs w:val="32"/>
        </w:rPr>
        <w:t>万元，其中：</w:t>
      </w:r>
    </w:p>
    <w:p w14:paraId="2B07E1B2">
      <w:pPr>
        <w:spacing w:line="60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人员经费2</w:t>
      </w:r>
      <w:r>
        <w:rPr>
          <w:rFonts w:hint="default" w:ascii="Times New Roman" w:hAnsi="Times New Roman" w:eastAsia="仿宋" w:cs="Times New Roman"/>
          <w:color w:val="auto"/>
          <w:sz w:val="32"/>
          <w:szCs w:val="32"/>
          <w:lang w:val="en-US" w:eastAsia="zh-CN"/>
        </w:rPr>
        <w:t>75.64</w:t>
      </w:r>
      <w:r>
        <w:rPr>
          <w:rFonts w:hint="default" w:ascii="Times New Roman" w:hAnsi="Times New Roman" w:eastAsia="仿宋" w:cs="Times New Roman"/>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2EECC2CD">
      <w:pPr>
        <w:spacing w:line="60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公用经费2</w:t>
      </w:r>
      <w:r>
        <w:rPr>
          <w:rFonts w:hint="default" w:ascii="Times New Roman" w:hAnsi="Times New Roman" w:eastAsia="仿宋" w:cs="Times New Roman"/>
          <w:color w:val="auto"/>
          <w:sz w:val="32"/>
          <w:szCs w:val="32"/>
          <w:lang w:val="en-US" w:eastAsia="zh-CN"/>
        </w:rPr>
        <w:t>5.76</w:t>
      </w:r>
      <w:r>
        <w:rPr>
          <w:rFonts w:hint="default" w:ascii="Times New Roman" w:hAnsi="Times New Roman" w:eastAsia="仿宋" w:cs="Times New Roman"/>
          <w:color w:val="auto"/>
          <w:sz w:val="32"/>
          <w:szCs w:val="32"/>
        </w:rPr>
        <w:t>万元，主要包括：办公费、印刷费、邮电费、物业管理费、差旅费、维修（护）费、租赁费、会议费、培训费、公务接待费、劳务费、委托业务费、工会经费、福利费、其他交通费、其他商品和服务支出、办公设备购置、信息网络及软件购置更新、其他资本性支出等。</w:t>
      </w:r>
    </w:p>
    <w:p w14:paraId="58B5208C">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cs="Times New Roman"/>
          <w:color w:val="auto"/>
        </w:rPr>
        <w:drawing>
          <wp:anchor distT="0" distB="0" distL="114300" distR="114300" simplePos="0" relativeHeight="251666432" behindDoc="0" locked="0" layoutInCell="1" allowOverlap="1">
            <wp:simplePos x="0" y="0"/>
            <wp:positionH relativeFrom="column">
              <wp:posOffset>643255</wp:posOffset>
            </wp:positionH>
            <wp:positionV relativeFrom="paragraph">
              <wp:posOffset>156210</wp:posOffset>
            </wp:positionV>
            <wp:extent cx="3950970" cy="2524125"/>
            <wp:effectExtent l="4445" t="4445" r="6985" b="508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4BD94DC">
      <w:pPr>
        <w:spacing w:line="600" w:lineRule="exact"/>
        <w:ind w:firstLine="645"/>
        <w:rPr>
          <w:rFonts w:hint="default" w:ascii="Times New Roman" w:hAnsi="Times New Roman" w:eastAsia="仿宋" w:cs="Times New Roman"/>
          <w:color w:val="auto"/>
          <w:sz w:val="32"/>
          <w:szCs w:val="32"/>
        </w:rPr>
      </w:pPr>
    </w:p>
    <w:p w14:paraId="3F0A72C8">
      <w:pPr>
        <w:spacing w:line="600" w:lineRule="exact"/>
        <w:ind w:firstLine="640" w:firstLineChars="200"/>
        <w:outlineLvl w:val="1"/>
        <w:rPr>
          <w:rFonts w:hint="default" w:ascii="Times New Roman" w:hAnsi="Times New Roman" w:eastAsia="黑体" w:cs="Times New Roman"/>
          <w:color w:val="auto"/>
          <w:sz w:val="32"/>
          <w:szCs w:val="32"/>
        </w:rPr>
      </w:pPr>
      <w:bookmarkStart w:id="54" w:name="_Toc15377215"/>
      <w:bookmarkStart w:id="55" w:name="_Toc149398064"/>
      <w:bookmarkStart w:id="56" w:name="_Toc15396609"/>
    </w:p>
    <w:p w14:paraId="5A477477">
      <w:pPr>
        <w:spacing w:line="600" w:lineRule="exact"/>
        <w:ind w:firstLine="640" w:firstLineChars="200"/>
        <w:outlineLvl w:val="1"/>
        <w:rPr>
          <w:rFonts w:hint="default" w:ascii="Times New Roman" w:hAnsi="Times New Roman" w:eastAsia="黑体" w:cs="Times New Roman"/>
          <w:color w:val="auto"/>
          <w:sz w:val="32"/>
          <w:szCs w:val="32"/>
        </w:rPr>
      </w:pPr>
    </w:p>
    <w:p w14:paraId="329E0F5C">
      <w:pPr>
        <w:spacing w:line="600" w:lineRule="exact"/>
        <w:ind w:firstLine="640" w:firstLineChars="200"/>
        <w:outlineLvl w:val="1"/>
        <w:rPr>
          <w:rFonts w:hint="default" w:ascii="Times New Roman" w:hAnsi="Times New Roman" w:eastAsia="黑体" w:cs="Times New Roman"/>
          <w:color w:val="auto"/>
          <w:sz w:val="32"/>
          <w:szCs w:val="32"/>
        </w:rPr>
      </w:pPr>
    </w:p>
    <w:p w14:paraId="16291147">
      <w:pPr>
        <w:spacing w:line="600" w:lineRule="exact"/>
        <w:ind w:firstLine="640" w:firstLineChars="200"/>
        <w:outlineLvl w:val="1"/>
        <w:rPr>
          <w:rFonts w:hint="default" w:ascii="Times New Roman" w:hAnsi="Times New Roman" w:eastAsia="黑体" w:cs="Times New Roman"/>
          <w:color w:val="auto"/>
          <w:sz w:val="32"/>
          <w:szCs w:val="32"/>
        </w:rPr>
      </w:pPr>
    </w:p>
    <w:p w14:paraId="76DB8B92">
      <w:pPr>
        <w:spacing w:line="600" w:lineRule="exact"/>
        <w:ind w:firstLine="640" w:firstLineChars="200"/>
        <w:outlineLvl w:val="1"/>
        <w:rPr>
          <w:rFonts w:hint="default" w:ascii="Times New Roman" w:hAnsi="Times New Roman" w:eastAsia="黑体" w:cs="Times New Roman"/>
          <w:color w:val="auto"/>
          <w:sz w:val="32"/>
          <w:szCs w:val="32"/>
        </w:rPr>
      </w:pPr>
    </w:p>
    <w:p w14:paraId="69349069">
      <w:pPr>
        <w:spacing w:line="600" w:lineRule="exact"/>
        <w:outlineLvl w:val="1"/>
        <w:rPr>
          <w:rFonts w:hint="default" w:ascii="Times New Roman" w:hAnsi="Times New Roman" w:eastAsia="黑体" w:cs="Times New Roman"/>
          <w:color w:val="auto"/>
          <w:sz w:val="32"/>
          <w:szCs w:val="32"/>
        </w:rPr>
      </w:pPr>
    </w:p>
    <w:p w14:paraId="57B71AA0">
      <w:pPr>
        <w:spacing w:line="600" w:lineRule="exact"/>
        <w:ind w:firstLine="640" w:firstLineChars="200"/>
        <w:outlineLvl w:val="1"/>
        <w:rPr>
          <w:rStyle w:val="30"/>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七、</w:t>
      </w:r>
      <w:r>
        <w:rPr>
          <w:rStyle w:val="30"/>
          <w:rFonts w:hint="default" w:ascii="Times New Roman" w:hAnsi="Times New Roman" w:eastAsia="黑体" w:cs="Times New Roman"/>
          <w:b w:val="0"/>
          <w:color w:val="auto"/>
        </w:rPr>
        <w:t>财政拨款</w:t>
      </w:r>
      <w:r>
        <w:rPr>
          <w:rStyle w:val="30"/>
          <w:rFonts w:hint="default" w:ascii="Times New Roman" w:hAnsi="Times New Roman" w:eastAsia="黑体" w:cs="Times New Roman"/>
          <w:color w:val="auto"/>
        </w:rPr>
        <w:t>“</w:t>
      </w:r>
      <w:r>
        <w:rPr>
          <w:rStyle w:val="30"/>
          <w:rFonts w:hint="default" w:ascii="Times New Roman" w:hAnsi="Times New Roman" w:eastAsia="黑体" w:cs="Times New Roman"/>
          <w:b w:val="0"/>
          <w:color w:val="auto"/>
        </w:rPr>
        <w:t>三公”经费支出决算情况说明</w:t>
      </w:r>
      <w:bookmarkEnd w:id="54"/>
      <w:bookmarkEnd w:id="55"/>
      <w:bookmarkEnd w:id="56"/>
    </w:p>
    <w:p w14:paraId="6FFAE437">
      <w:pPr>
        <w:spacing w:line="600" w:lineRule="exact"/>
        <w:ind w:firstLine="640" w:firstLineChars="200"/>
        <w:outlineLvl w:val="2"/>
        <w:rPr>
          <w:rFonts w:hint="default" w:ascii="Times New Roman" w:hAnsi="Times New Roman" w:eastAsia="楷体_GB2312" w:cs="Times New Roman"/>
          <w:b w:val="0"/>
          <w:bCs/>
          <w:color w:val="auto"/>
          <w:sz w:val="32"/>
          <w:szCs w:val="32"/>
          <w:lang w:eastAsia="zh-CN"/>
        </w:rPr>
      </w:pPr>
      <w:bookmarkStart w:id="57" w:name="_Toc15377216"/>
      <w:bookmarkStart w:id="58" w:name="_Toc149398065"/>
      <w:r>
        <w:rPr>
          <w:rFonts w:hint="default" w:ascii="Times New Roman" w:hAnsi="Times New Roman" w:eastAsia="楷体_GB2312" w:cs="Times New Roman"/>
          <w:b w:val="0"/>
          <w:bCs/>
          <w:color w:val="auto"/>
          <w:sz w:val="32"/>
          <w:szCs w:val="32"/>
        </w:rPr>
        <w:t>（一）“三公”经费财政拨款支出决算总体情况说明</w:t>
      </w:r>
      <w:bookmarkEnd w:id="57"/>
      <w:bookmarkEnd w:id="58"/>
      <w:r>
        <w:rPr>
          <w:rFonts w:hint="default" w:ascii="Times New Roman" w:hAnsi="Times New Roman" w:eastAsia="楷体_GB2312" w:cs="Times New Roman"/>
          <w:b w:val="0"/>
          <w:bCs/>
          <w:color w:val="auto"/>
          <w:sz w:val="32"/>
          <w:szCs w:val="32"/>
          <w:lang w:eastAsia="zh-CN"/>
        </w:rPr>
        <w:t>。</w:t>
      </w:r>
    </w:p>
    <w:p w14:paraId="0D0C98BF">
      <w:pPr>
        <w:spacing w:line="60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年“三公”经费财政拨款支出决算为</w:t>
      </w:r>
      <w:r>
        <w:rPr>
          <w:rFonts w:hint="default" w:ascii="Times New Roman" w:hAnsi="Times New Roman" w:eastAsia="仿宋" w:cs="Times New Roman"/>
          <w:color w:val="auto"/>
          <w:sz w:val="32"/>
          <w:szCs w:val="32"/>
          <w:lang w:val="en-US" w:eastAsia="zh-CN"/>
        </w:rPr>
        <w:t>0.13</w:t>
      </w:r>
      <w:r>
        <w:rPr>
          <w:rFonts w:hint="default" w:ascii="Times New Roman" w:hAnsi="Times New Roman" w:eastAsia="仿宋" w:cs="Times New Roman"/>
          <w:color w:val="auto"/>
          <w:sz w:val="32"/>
          <w:szCs w:val="32"/>
        </w:rPr>
        <w:t>万元，完成预算100%，较上年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0.13万元，增加100%，</w:t>
      </w:r>
      <w:r>
        <w:rPr>
          <w:rFonts w:hint="default" w:ascii="Times New Roman" w:hAnsi="Times New Roman" w:eastAsia="仿宋" w:cs="Times New Roman"/>
          <w:color w:val="auto"/>
          <w:sz w:val="32"/>
          <w:szCs w:val="32"/>
          <w:lang w:eastAsia="zh-CN"/>
        </w:rPr>
        <w:t>主要原因为</w:t>
      </w:r>
      <w:r>
        <w:rPr>
          <w:rFonts w:hint="default" w:ascii="Times New Roman" w:hAnsi="Times New Roman" w:eastAsia="仿宋" w:cs="Times New Roman"/>
          <w:color w:val="auto"/>
          <w:sz w:val="32"/>
          <w:szCs w:val="32"/>
        </w:rPr>
        <w:t>我单位</w:t>
      </w:r>
      <w:r>
        <w:rPr>
          <w:rFonts w:hint="default" w:ascii="Times New Roman" w:hAnsi="Times New Roman" w:eastAsia="仿宋" w:cs="Times New Roman"/>
          <w:color w:val="auto"/>
          <w:sz w:val="32"/>
          <w:szCs w:val="32"/>
          <w:lang w:val="en-US" w:eastAsia="zh-CN"/>
        </w:rPr>
        <w:t>2023年发生了2次公务接待</w:t>
      </w:r>
      <w:r>
        <w:rPr>
          <w:rFonts w:hint="default" w:ascii="Times New Roman" w:hAnsi="Times New Roman" w:eastAsia="仿宋" w:cs="Times New Roman"/>
          <w:color w:val="auto"/>
          <w:sz w:val="32"/>
          <w:szCs w:val="32"/>
        </w:rPr>
        <w:t>。</w:t>
      </w:r>
    </w:p>
    <w:p w14:paraId="5ADD3644">
      <w:pPr>
        <w:spacing w:line="600" w:lineRule="exact"/>
        <w:ind w:firstLine="640" w:firstLineChars="200"/>
        <w:jc w:val="both"/>
        <w:outlineLvl w:val="2"/>
        <w:rPr>
          <w:rFonts w:hint="default" w:ascii="Times New Roman" w:hAnsi="Times New Roman" w:eastAsia="楷体_GB2312" w:cs="Times New Roman"/>
          <w:b w:val="0"/>
          <w:bCs/>
          <w:color w:val="auto"/>
          <w:sz w:val="32"/>
          <w:szCs w:val="32"/>
          <w:lang w:eastAsia="zh-CN"/>
        </w:rPr>
      </w:pPr>
      <w:bookmarkStart w:id="59" w:name="_Toc149398066"/>
      <w:bookmarkStart w:id="60" w:name="_Toc15377217"/>
      <w:r>
        <w:rPr>
          <w:rFonts w:hint="default" w:ascii="Times New Roman" w:hAnsi="Times New Roman" w:eastAsia="楷体_GB2312" w:cs="Times New Roman"/>
          <w:b w:val="0"/>
          <w:bCs/>
          <w:color w:val="auto"/>
          <w:sz w:val="32"/>
          <w:szCs w:val="32"/>
        </w:rPr>
        <w:t>（二）“三公”经费财政拨款支出决算具体情况说明</w:t>
      </w:r>
      <w:bookmarkEnd w:id="59"/>
      <w:bookmarkEnd w:id="60"/>
      <w:r>
        <w:rPr>
          <w:rFonts w:hint="default" w:ascii="Times New Roman" w:hAnsi="Times New Roman" w:eastAsia="楷体_GB2312" w:cs="Times New Roman"/>
          <w:b w:val="0"/>
          <w:bCs/>
          <w:color w:val="auto"/>
          <w:sz w:val="32"/>
          <w:szCs w:val="32"/>
          <w:lang w:eastAsia="zh-CN"/>
        </w:rPr>
        <w:t>。</w:t>
      </w:r>
    </w:p>
    <w:p w14:paraId="6750B615">
      <w:pPr>
        <w:spacing w:line="60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年“三公”经费财政拨款支出决算中，因公出国（境）费支出决算0万元，占0%；公务用车购置及运行维护费支出决算0万元，占0%；公务接待费支出决算0万元，占0%。具体情况如下：</w:t>
      </w:r>
    </w:p>
    <w:p w14:paraId="09930B23">
      <w:pPr>
        <w:spacing w:line="60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1.因公出国（境）经费</w:t>
      </w:r>
      <w:r>
        <w:rPr>
          <w:rFonts w:hint="default" w:ascii="Times New Roman" w:hAnsi="Times New Roman" w:eastAsia="仿宋" w:cs="Times New Roman"/>
          <w:color w:val="auto"/>
          <w:sz w:val="32"/>
          <w:szCs w:val="32"/>
        </w:rPr>
        <w:t>支出0万元，完成预算0%。全年安排因公出国（境）团组0次，出国（境）0人。因公出国（境）支出决算与202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年持平，未发生变化。主要原因是我单位无因公出国（境）安排，无因公出国（境）预算和支出费用。</w:t>
      </w:r>
    </w:p>
    <w:p w14:paraId="0B05D8E2">
      <w:pPr>
        <w:spacing w:line="60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开支内容包括：无。</w:t>
      </w:r>
    </w:p>
    <w:p w14:paraId="258164FF">
      <w:pPr>
        <w:spacing w:line="60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2.公务用车购置及运行维护费</w:t>
      </w:r>
      <w:r>
        <w:rPr>
          <w:rFonts w:hint="default" w:ascii="Times New Roman" w:hAnsi="Times New Roman" w:eastAsia="仿宋" w:cs="Times New Roman"/>
          <w:color w:val="auto"/>
          <w:sz w:val="32"/>
          <w:szCs w:val="32"/>
        </w:rPr>
        <w:t>支出0万元,完成预算0%。公务用车购置及运行维护费支出决算与202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年持平，无变化。主要原因是我单位无公务用车。</w:t>
      </w:r>
    </w:p>
    <w:p w14:paraId="5FAB572B">
      <w:pPr>
        <w:spacing w:line="60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其中：</w:t>
      </w:r>
      <w:r>
        <w:rPr>
          <w:rFonts w:hint="default" w:ascii="Times New Roman" w:hAnsi="Times New Roman" w:eastAsia="仿宋" w:cs="Times New Roman"/>
          <w:b/>
          <w:bCs/>
          <w:color w:val="auto"/>
          <w:sz w:val="32"/>
          <w:szCs w:val="32"/>
        </w:rPr>
        <w:t>公务用车购置</w:t>
      </w:r>
      <w:r>
        <w:rPr>
          <w:rFonts w:hint="default" w:ascii="Times New Roman" w:hAnsi="Times New Roman" w:eastAsia="仿宋" w:cs="Times New Roman"/>
          <w:color w:val="auto"/>
          <w:sz w:val="32"/>
          <w:szCs w:val="32"/>
        </w:rPr>
        <w:t>支出0万元。全年按规定更新购置公务用车0辆，其中：轿车0辆、金额0万元，越野车0辆、金额0万元，载客汽车0辆、金额0万元。截至2022年12月底，单位共有公务用车0辆，其中：轿车0辆、越野车0辆、载客汽车0辆。</w:t>
      </w:r>
    </w:p>
    <w:p w14:paraId="63CB75E9">
      <w:pPr>
        <w:spacing w:line="60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公务用车运行维护费</w:t>
      </w:r>
      <w:r>
        <w:rPr>
          <w:rFonts w:hint="default" w:ascii="Times New Roman" w:hAnsi="Times New Roman" w:eastAsia="仿宋" w:cs="Times New Roman"/>
          <w:color w:val="auto"/>
          <w:sz w:val="32"/>
          <w:szCs w:val="32"/>
        </w:rPr>
        <w:t>支出0万元。我单位无公务用车燃料费、维修费、过路过桥费、保险费等支出。</w:t>
      </w:r>
    </w:p>
    <w:p w14:paraId="68F90B15">
      <w:pPr>
        <w:spacing w:line="60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3.公务接待费</w:t>
      </w:r>
      <w:r>
        <w:rPr>
          <w:rFonts w:hint="default" w:ascii="Times New Roman" w:hAnsi="Times New Roman" w:eastAsia="仿宋" w:cs="Times New Roman"/>
          <w:color w:val="auto"/>
          <w:sz w:val="32"/>
          <w:szCs w:val="32"/>
        </w:rPr>
        <w:t>支出0万元，完成预算0%。公务接待费支出决算与202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年持平，无变化。主要原因是我单位无公务接待。其中：</w:t>
      </w:r>
    </w:p>
    <w:p w14:paraId="323AA3E1">
      <w:pPr>
        <w:spacing w:line="600" w:lineRule="exact"/>
        <w:ind w:firstLine="64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国内公务接待支出0万元。国内公务接待0批次，0人次（不包括陪同人员），共计支出0万元，具体内容包括：无。</w:t>
      </w:r>
    </w:p>
    <w:p w14:paraId="09E2D19E">
      <w:pPr>
        <w:spacing w:line="60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外事接待支出0万元。外事接待0批次，0人次（不包括陪同人员），共计支出0万元。</w:t>
      </w:r>
    </w:p>
    <w:p w14:paraId="439A2540">
      <w:pPr>
        <w:spacing w:line="600" w:lineRule="exact"/>
        <w:ind w:firstLine="640" w:firstLineChars="200"/>
        <w:jc w:val="both"/>
        <w:outlineLvl w:val="1"/>
        <w:rPr>
          <w:rStyle w:val="30"/>
          <w:rFonts w:hint="default" w:ascii="Times New Roman" w:hAnsi="Times New Roman" w:eastAsia="黑体" w:cs="Times New Roman"/>
          <w:color w:val="auto"/>
        </w:rPr>
      </w:pPr>
      <w:bookmarkStart w:id="61" w:name="_Toc15377218"/>
      <w:bookmarkStart w:id="62" w:name="_Toc149398067"/>
      <w:bookmarkStart w:id="63" w:name="_Toc15396610"/>
      <w:r>
        <w:rPr>
          <w:rFonts w:hint="default" w:ascii="Times New Roman" w:hAnsi="Times New Roman" w:eastAsia="黑体" w:cs="Times New Roman"/>
          <w:color w:val="auto"/>
          <w:sz w:val="32"/>
          <w:szCs w:val="32"/>
        </w:rPr>
        <w:t>八、</w:t>
      </w:r>
      <w:r>
        <w:rPr>
          <w:rStyle w:val="30"/>
          <w:rFonts w:hint="default" w:ascii="Times New Roman" w:hAnsi="Times New Roman" w:eastAsia="黑体" w:cs="Times New Roman"/>
          <w:b w:val="0"/>
          <w:color w:val="auto"/>
        </w:rPr>
        <w:t>政府性基金预算支出决算情况说明</w:t>
      </w:r>
      <w:bookmarkEnd w:id="61"/>
      <w:bookmarkEnd w:id="62"/>
      <w:bookmarkEnd w:id="63"/>
    </w:p>
    <w:p w14:paraId="23400872">
      <w:pPr>
        <w:spacing w:line="600" w:lineRule="exact"/>
        <w:ind w:firstLine="64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年政府性基金预算财政拨款支出</w:t>
      </w:r>
      <w:r>
        <w:rPr>
          <w:rFonts w:hint="default" w:ascii="Times New Roman" w:hAnsi="Times New Roman" w:eastAsia="仿宋" w:cs="Times New Roman"/>
          <w:color w:val="auto"/>
          <w:sz w:val="32"/>
          <w:szCs w:val="32"/>
          <w:lang w:val="en-US" w:eastAsia="zh-CN"/>
        </w:rPr>
        <w:t>28.96</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主要用于以下方面:</w:t>
      </w:r>
      <w:r>
        <w:rPr>
          <w:rFonts w:hint="default" w:ascii="Times New Roman" w:hAnsi="Times New Roman" w:eastAsia="仿宋" w:cs="Times New Roman"/>
          <w:b/>
          <w:color w:val="auto"/>
          <w:sz w:val="32"/>
          <w:szCs w:val="32"/>
        </w:rPr>
        <w:t>社会福利的彩票公益金支出</w:t>
      </w:r>
      <w:r>
        <w:rPr>
          <w:rFonts w:hint="default" w:ascii="Times New Roman" w:hAnsi="Times New Roman" w:eastAsia="仿宋" w:cs="Times New Roman"/>
          <w:color w:val="auto"/>
          <w:sz w:val="32"/>
          <w:szCs w:val="32"/>
          <w:lang w:val="en-US" w:eastAsia="zh-CN"/>
        </w:rPr>
        <w:t>24.25</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占</w:t>
      </w:r>
      <w:r>
        <w:rPr>
          <w:rFonts w:hint="default" w:ascii="Times New Roman" w:hAnsi="Times New Roman" w:eastAsia="仿宋" w:cs="Times New Roman"/>
          <w:color w:val="auto"/>
          <w:sz w:val="32"/>
          <w:szCs w:val="32"/>
          <w:lang w:val="en-US" w:eastAsia="zh-CN"/>
        </w:rPr>
        <w:t>83.74</w:t>
      </w:r>
      <w:r>
        <w:rPr>
          <w:rFonts w:hint="default" w:ascii="Times New Roman" w:hAnsi="Times New Roman" w:eastAsia="仿宋" w:cs="Times New Roman"/>
          <w:color w:val="auto"/>
          <w:sz w:val="32"/>
          <w:szCs w:val="32"/>
        </w:rPr>
        <w:t>%；</w:t>
      </w:r>
      <w:r>
        <w:rPr>
          <w:rFonts w:hint="default" w:ascii="Times New Roman" w:hAnsi="Times New Roman" w:eastAsia="仿宋" w:cs="Times New Roman"/>
          <w:b/>
          <w:color w:val="auto"/>
          <w:sz w:val="32"/>
          <w:szCs w:val="32"/>
        </w:rPr>
        <w:t>城乡医疗救助的彩票公益金支出</w:t>
      </w:r>
      <w:r>
        <w:rPr>
          <w:rFonts w:hint="default" w:ascii="Times New Roman" w:hAnsi="Times New Roman" w:eastAsia="仿宋" w:cs="Times New Roman"/>
          <w:color w:val="auto"/>
          <w:sz w:val="32"/>
          <w:szCs w:val="32"/>
          <w:lang w:val="en-US" w:eastAsia="zh-CN"/>
        </w:rPr>
        <w:t>4.71</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16.26</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p>
    <w:p w14:paraId="0E251CBE">
      <w:pPr>
        <w:spacing w:line="600" w:lineRule="exact"/>
        <w:ind w:firstLine="640"/>
        <w:jc w:val="both"/>
        <w:rPr>
          <w:rFonts w:hint="default" w:ascii="Times New Roman" w:hAnsi="Times New Roman" w:eastAsia="仿宋" w:cs="Times New Roman"/>
          <w:color w:val="auto"/>
          <w:sz w:val="32"/>
          <w:szCs w:val="32"/>
          <w:lang w:eastAsia="zh-CN"/>
        </w:rPr>
      </w:pPr>
      <w:r>
        <w:rPr>
          <w:rFonts w:hint="default" w:ascii="Times New Roman" w:hAnsi="Times New Roman" w:cs="Times New Roman"/>
          <w:color w:val="auto"/>
        </w:rPr>
        <w:drawing>
          <wp:anchor distT="0" distB="0" distL="114300" distR="114300" simplePos="0" relativeHeight="251667456" behindDoc="0" locked="0" layoutInCell="1" allowOverlap="1">
            <wp:simplePos x="0" y="0"/>
            <wp:positionH relativeFrom="column">
              <wp:posOffset>248920</wp:posOffset>
            </wp:positionH>
            <wp:positionV relativeFrom="paragraph">
              <wp:posOffset>175895</wp:posOffset>
            </wp:positionV>
            <wp:extent cx="4826000" cy="2743200"/>
            <wp:effectExtent l="4445" t="4445" r="8255" b="14605"/>
            <wp:wrapSquare wrapText="bothSides"/>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366695F">
      <w:pPr>
        <w:numPr>
          <w:ilvl w:val="0"/>
          <w:numId w:val="0"/>
        </w:numPr>
        <w:spacing w:line="600" w:lineRule="exact"/>
        <w:ind w:firstLine="640" w:firstLineChars="200"/>
        <w:outlineLvl w:val="1"/>
        <w:rPr>
          <w:rStyle w:val="30"/>
          <w:rFonts w:hint="default" w:ascii="Times New Roman" w:hAnsi="Times New Roman" w:eastAsia="黑体" w:cs="Times New Roman"/>
          <w:b w:val="0"/>
          <w:color w:val="auto"/>
        </w:rPr>
      </w:pPr>
      <w:bookmarkStart w:id="64" w:name="_Toc15396611"/>
      <w:bookmarkStart w:id="65" w:name="_Toc149398068"/>
      <w:bookmarkStart w:id="66" w:name="_Toc15377219"/>
      <w:r>
        <w:rPr>
          <w:rStyle w:val="30"/>
          <w:rFonts w:hint="default" w:ascii="Times New Roman" w:hAnsi="Times New Roman" w:eastAsia="黑体" w:cs="Times New Roman"/>
          <w:b w:val="0"/>
          <w:color w:val="auto"/>
          <w:lang w:eastAsia="zh-CN"/>
        </w:rPr>
        <w:t>九、</w:t>
      </w:r>
      <w:r>
        <w:rPr>
          <w:rStyle w:val="30"/>
          <w:rFonts w:hint="default" w:ascii="Times New Roman" w:hAnsi="Times New Roman" w:eastAsia="黑体" w:cs="Times New Roman"/>
          <w:b w:val="0"/>
          <w:color w:val="auto"/>
        </w:rPr>
        <w:t>国有资本经营预算支出决算情况说明</w:t>
      </w:r>
      <w:bookmarkEnd w:id="64"/>
      <w:bookmarkEnd w:id="65"/>
      <w:bookmarkEnd w:id="66"/>
    </w:p>
    <w:p w14:paraId="2270A301">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年国有资本经营预算财政拨款支出0万元。</w:t>
      </w:r>
    </w:p>
    <w:p w14:paraId="13258EF8">
      <w:pPr>
        <w:numPr>
          <w:ilvl w:val="0"/>
          <w:numId w:val="0"/>
        </w:numPr>
        <w:spacing w:line="600" w:lineRule="exact"/>
        <w:ind w:firstLine="640" w:firstLineChars="200"/>
        <w:outlineLvl w:val="1"/>
        <w:rPr>
          <w:rStyle w:val="30"/>
          <w:rFonts w:hint="default" w:ascii="Times New Roman" w:hAnsi="Times New Roman" w:eastAsia="黑体" w:cs="Times New Roman"/>
          <w:b w:val="0"/>
          <w:color w:val="auto"/>
        </w:rPr>
      </w:pPr>
      <w:bookmarkStart w:id="67" w:name="_Toc15377221"/>
      <w:bookmarkStart w:id="68" w:name="_Toc149398069"/>
      <w:bookmarkStart w:id="69" w:name="_Toc15396612"/>
      <w:r>
        <w:rPr>
          <w:rStyle w:val="30"/>
          <w:rFonts w:hint="default" w:ascii="Times New Roman" w:hAnsi="Times New Roman" w:eastAsia="黑体" w:cs="Times New Roman"/>
          <w:b w:val="0"/>
          <w:color w:val="auto"/>
          <w:lang w:eastAsia="zh-CN"/>
        </w:rPr>
        <w:t>十、</w:t>
      </w:r>
      <w:r>
        <w:rPr>
          <w:rStyle w:val="30"/>
          <w:rFonts w:hint="default" w:ascii="Times New Roman" w:hAnsi="Times New Roman" w:eastAsia="黑体" w:cs="Times New Roman"/>
          <w:b w:val="0"/>
          <w:color w:val="auto"/>
        </w:rPr>
        <w:t>其他重要事项的情况说明</w:t>
      </w:r>
      <w:bookmarkEnd w:id="67"/>
      <w:bookmarkEnd w:id="68"/>
      <w:bookmarkEnd w:id="69"/>
    </w:p>
    <w:p w14:paraId="073C5549">
      <w:pPr>
        <w:spacing w:line="600" w:lineRule="exact"/>
        <w:ind w:firstLine="640" w:firstLineChars="200"/>
        <w:outlineLvl w:val="2"/>
        <w:rPr>
          <w:rFonts w:hint="default" w:ascii="Times New Roman" w:hAnsi="Times New Roman" w:eastAsia="楷体_GB2312" w:cs="Times New Roman"/>
          <w:b w:val="0"/>
          <w:bCs/>
          <w:color w:val="auto"/>
          <w:sz w:val="32"/>
          <w:szCs w:val="32"/>
          <w:lang w:eastAsia="zh-CN"/>
        </w:rPr>
      </w:pPr>
      <w:bookmarkStart w:id="70" w:name="_Toc15377222"/>
      <w:bookmarkStart w:id="71" w:name="_Toc149398070"/>
      <w:r>
        <w:rPr>
          <w:rFonts w:hint="default" w:ascii="Times New Roman" w:hAnsi="Times New Roman" w:eastAsia="楷体_GB2312" w:cs="Times New Roman"/>
          <w:b w:val="0"/>
          <w:bCs/>
          <w:color w:val="auto"/>
          <w:sz w:val="32"/>
          <w:szCs w:val="32"/>
        </w:rPr>
        <w:t>（一）机关运行经费支出情况</w:t>
      </w:r>
      <w:bookmarkEnd w:id="70"/>
      <w:bookmarkEnd w:id="71"/>
      <w:r>
        <w:rPr>
          <w:rFonts w:hint="default" w:ascii="Times New Roman" w:hAnsi="Times New Roman" w:eastAsia="楷体_GB2312" w:cs="Times New Roman"/>
          <w:b w:val="0"/>
          <w:bCs/>
          <w:color w:val="auto"/>
          <w:sz w:val="32"/>
          <w:szCs w:val="32"/>
          <w:lang w:eastAsia="zh-CN"/>
        </w:rPr>
        <w:t>。</w:t>
      </w:r>
    </w:p>
    <w:p w14:paraId="628854E1">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年，攀枝花市西区医疗保障局机关运行经费支出</w:t>
      </w:r>
      <w:r>
        <w:rPr>
          <w:rFonts w:hint="default" w:ascii="Times New Roman" w:hAnsi="Times New Roman" w:eastAsia="仿宋" w:cs="Times New Roman"/>
          <w:color w:val="auto"/>
          <w:sz w:val="32"/>
          <w:szCs w:val="32"/>
          <w:lang w:val="en-US" w:eastAsia="zh-CN"/>
        </w:rPr>
        <w:t>25.76</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3.97</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18.22</w:t>
      </w:r>
      <w:r>
        <w:rPr>
          <w:rFonts w:hint="default" w:ascii="Times New Roman" w:hAnsi="Times New Roman" w:eastAsia="仿宋" w:cs="Times New Roman"/>
          <w:color w:val="auto"/>
          <w:sz w:val="32"/>
          <w:szCs w:val="32"/>
        </w:rPr>
        <w:t>%。主要原因是202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eastAsia="zh-CN"/>
        </w:rPr>
        <w:t>工作人员增加，办公费相应增加，且支付大部分</w:t>
      </w:r>
      <w:r>
        <w:rPr>
          <w:rFonts w:hint="default" w:ascii="Times New Roman" w:hAnsi="Times New Roman" w:eastAsia="仿宋" w:cs="Times New Roman"/>
          <w:color w:val="auto"/>
          <w:sz w:val="32"/>
          <w:szCs w:val="32"/>
          <w:lang w:val="en-US" w:eastAsia="zh-CN"/>
        </w:rPr>
        <w:t>2022年政府采购未支付费用</w:t>
      </w:r>
      <w:r>
        <w:rPr>
          <w:rFonts w:hint="default" w:ascii="Times New Roman" w:hAnsi="Times New Roman" w:eastAsia="仿宋" w:cs="Times New Roman"/>
          <w:color w:val="auto"/>
          <w:sz w:val="32"/>
          <w:szCs w:val="32"/>
        </w:rPr>
        <w:t>。</w:t>
      </w:r>
    </w:p>
    <w:p w14:paraId="4156297A">
      <w:pPr>
        <w:spacing w:line="600" w:lineRule="exact"/>
        <w:ind w:firstLine="640" w:firstLineChars="200"/>
        <w:outlineLvl w:val="2"/>
        <w:rPr>
          <w:rFonts w:hint="default" w:ascii="Times New Roman" w:hAnsi="Times New Roman" w:eastAsia="楷体_GB2312" w:cs="Times New Roman"/>
          <w:b w:val="0"/>
          <w:bCs/>
          <w:color w:val="auto"/>
          <w:sz w:val="32"/>
          <w:szCs w:val="32"/>
          <w:lang w:eastAsia="zh-CN"/>
        </w:rPr>
      </w:pPr>
      <w:bookmarkStart w:id="72" w:name="_Toc15377223"/>
      <w:bookmarkStart w:id="73" w:name="_Toc149398071"/>
      <w:r>
        <w:rPr>
          <w:rFonts w:hint="default" w:ascii="Times New Roman" w:hAnsi="Times New Roman" w:eastAsia="楷体_GB2312" w:cs="Times New Roman"/>
          <w:b w:val="0"/>
          <w:bCs/>
          <w:color w:val="auto"/>
          <w:sz w:val="32"/>
          <w:szCs w:val="32"/>
        </w:rPr>
        <w:t>（二）政府采购支出情况</w:t>
      </w:r>
      <w:bookmarkEnd w:id="72"/>
      <w:bookmarkEnd w:id="73"/>
      <w:r>
        <w:rPr>
          <w:rFonts w:hint="default" w:ascii="Times New Roman" w:hAnsi="Times New Roman" w:eastAsia="楷体_GB2312" w:cs="Times New Roman"/>
          <w:b w:val="0"/>
          <w:bCs/>
          <w:color w:val="auto"/>
          <w:sz w:val="32"/>
          <w:szCs w:val="32"/>
          <w:lang w:eastAsia="zh-CN"/>
        </w:rPr>
        <w:t>。</w:t>
      </w:r>
    </w:p>
    <w:p w14:paraId="58073408">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年，攀枝花市西区医疗保障局政府采购支出总额</w:t>
      </w:r>
      <w:r>
        <w:rPr>
          <w:rFonts w:hint="default" w:ascii="Times New Roman" w:hAnsi="Times New Roman" w:eastAsia="仿宋" w:cs="Times New Roman"/>
          <w:color w:val="auto"/>
          <w:sz w:val="32"/>
          <w:szCs w:val="32"/>
          <w:lang w:val="en-US" w:eastAsia="zh-CN"/>
        </w:rPr>
        <w:t>9.23</w:t>
      </w:r>
      <w:r>
        <w:rPr>
          <w:rFonts w:hint="default" w:ascii="Times New Roman" w:hAnsi="Times New Roman" w:eastAsia="仿宋" w:cs="Times New Roman"/>
          <w:color w:val="auto"/>
          <w:sz w:val="32"/>
          <w:szCs w:val="32"/>
        </w:rPr>
        <w:t>万元，其中：政府采购货物支出</w:t>
      </w:r>
      <w:r>
        <w:rPr>
          <w:rFonts w:hint="default" w:ascii="Times New Roman" w:hAnsi="Times New Roman" w:eastAsia="仿宋" w:cs="Times New Roman"/>
          <w:color w:val="auto"/>
          <w:sz w:val="32"/>
          <w:szCs w:val="32"/>
          <w:lang w:val="en-US" w:eastAsia="zh-CN"/>
        </w:rPr>
        <w:t>9.23</w:t>
      </w:r>
      <w:r>
        <w:rPr>
          <w:rFonts w:hint="default" w:ascii="Times New Roman" w:hAnsi="Times New Roman" w:eastAsia="仿宋" w:cs="Times New Roman"/>
          <w:color w:val="auto"/>
          <w:sz w:val="32"/>
          <w:szCs w:val="32"/>
        </w:rPr>
        <w:t>万元、政府采购工程支出0万元、政府采购服务支出0万元。授予中小企业合同金额0万元，占政府采购支出总额的0%，其中：授予小微企业合同金额</w:t>
      </w:r>
      <w:r>
        <w:rPr>
          <w:rFonts w:hint="default" w:ascii="Times New Roman" w:hAnsi="Times New Roman" w:eastAsia="仿宋" w:cs="Times New Roman"/>
          <w:color w:val="auto"/>
          <w:sz w:val="32"/>
          <w:szCs w:val="32"/>
          <w:lang w:val="en-US" w:eastAsia="zh-CN"/>
        </w:rPr>
        <w:t>9.23</w:t>
      </w:r>
      <w:r>
        <w:rPr>
          <w:rFonts w:hint="default" w:ascii="Times New Roman" w:hAnsi="Times New Roman" w:eastAsia="仿宋" w:cs="Times New Roman"/>
          <w:color w:val="auto"/>
          <w:sz w:val="32"/>
          <w:szCs w:val="32"/>
        </w:rPr>
        <w:t>万元，占政府采购支出总额的</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rPr>
        <w:t>%。</w:t>
      </w:r>
    </w:p>
    <w:p w14:paraId="7060D1C9">
      <w:pPr>
        <w:spacing w:line="600" w:lineRule="exact"/>
        <w:ind w:firstLine="640" w:firstLineChars="200"/>
        <w:outlineLvl w:val="2"/>
        <w:rPr>
          <w:rFonts w:hint="default" w:ascii="Times New Roman" w:hAnsi="Times New Roman" w:eastAsia="楷体_GB2312" w:cs="Times New Roman"/>
          <w:b w:val="0"/>
          <w:bCs/>
          <w:color w:val="auto"/>
          <w:sz w:val="32"/>
          <w:szCs w:val="32"/>
          <w:lang w:eastAsia="zh-CN"/>
        </w:rPr>
      </w:pPr>
      <w:bookmarkStart w:id="74" w:name="_Toc15377224"/>
      <w:bookmarkStart w:id="75" w:name="_Toc149398072"/>
      <w:r>
        <w:rPr>
          <w:rFonts w:hint="default" w:ascii="Times New Roman" w:hAnsi="Times New Roman" w:eastAsia="楷体_GB2312" w:cs="Times New Roman"/>
          <w:b w:val="0"/>
          <w:bCs/>
          <w:color w:val="auto"/>
          <w:sz w:val="32"/>
          <w:szCs w:val="32"/>
        </w:rPr>
        <w:t>（三）国有资产占有使用情况</w:t>
      </w:r>
      <w:bookmarkEnd w:id="74"/>
      <w:bookmarkEnd w:id="75"/>
      <w:r>
        <w:rPr>
          <w:rFonts w:hint="default" w:ascii="Times New Roman" w:hAnsi="Times New Roman" w:eastAsia="楷体_GB2312" w:cs="Times New Roman"/>
          <w:b w:val="0"/>
          <w:bCs/>
          <w:color w:val="auto"/>
          <w:sz w:val="32"/>
          <w:szCs w:val="32"/>
          <w:lang w:eastAsia="zh-CN"/>
        </w:rPr>
        <w:t>。</w:t>
      </w:r>
    </w:p>
    <w:p w14:paraId="2B517D84">
      <w:pPr>
        <w:autoSpaceDE w:val="0"/>
        <w:autoSpaceDN w:val="0"/>
        <w:adjustRightInd w:val="0"/>
        <w:spacing w:line="60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截至202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年12月31日，攀枝花市西区医疗保障局共有车辆0辆，其中：主要领导干部用车0辆、机要通信用车0辆、应急保障用车0辆、其他用车0辆。单价100万元以上专用设备0台（套）。</w:t>
      </w:r>
    </w:p>
    <w:p w14:paraId="16512BEB">
      <w:pPr>
        <w:spacing w:line="600" w:lineRule="exact"/>
        <w:ind w:firstLine="640" w:firstLineChars="200"/>
        <w:outlineLvl w:val="2"/>
        <w:rPr>
          <w:rFonts w:hint="default" w:ascii="Times New Roman" w:hAnsi="Times New Roman" w:eastAsia="楷体_GB2312" w:cs="Times New Roman"/>
          <w:b w:val="0"/>
          <w:bCs/>
          <w:color w:val="auto"/>
          <w:sz w:val="32"/>
          <w:szCs w:val="32"/>
          <w:lang w:eastAsia="zh-CN"/>
        </w:rPr>
      </w:pPr>
      <w:bookmarkStart w:id="76" w:name="_Toc149398073"/>
      <w:r>
        <w:rPr>
          <w:rFonts w:hint="default" w:ascii="Times New Roman" w:hAnsi="Times New Roman" w:eastAsia="楷体_GB2312" w:cs="Times New Roman"/>
          <w:b w:val="0"/>
          <w:bCs/>
          <w:color w:val="auto"/>
          <w:sz w:val="32"/>
          <w:szCs w:val="32"/>
        </w:rPr>
        <w:t>（四）预算绩效管理情况</w:t>
      </w:r>
      <w:bookmarkEnd w:id="76"/>
      <w:r>
        <w:rPr>
          <w:rFonts w:hint="default" w:ascii="Times New Roman" w:hAnsi="Times New Roman" w:eastAsia="楷体_GB2312" w:cs="Times New Roman"/>
          <w:b w:val="0"/>
          <w:bCs/>
          <w:color w:val="auto"/>
          <w:sz w:val="32"/>
          <w:szCs w:val="32"/>
          <w:lang w:eastAsia="zh-CN"/>
        </w:rPr>
        <w:t>。</w:t>
      </w:r>
    </w:p>
    <w:p w14:paraId="1F5FE3EF">
      <w:pPr>
        <w:pStyle w:val="35"/>
        <w:spacing w:before="93" w:line="578" w:lineRule="exact"/>
        <w:ind w:firstLine="640"/>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仿宋" w:cs="Times New Roman"/>
          <w:color w:val="auto"/>
          <w:sz w:val="32"/>
          <w:szCs w:val="32"/>
        </w:rPr>
        <w:t>根据预算绩效管理要求，本</w:t>
      </w:r>
      <w:r>
        <w:rPr>
          <w:rFonts w:hint="default" w:ascii="Times New Roman" w:hAnsi="Times New Roman" w:eastAsia="仿宋" w:cs="Times New Roman"/>
          <w:color w:val="auto"/>
          <w:sz w:val="32"/>
          <w:szCs w:val="32"/>
          <w:lang w:eastAsia="zh-CN"/>
        </w:rPr>
        <w:t>单位</w:t>
      </w:r>
      <w:r>
        <w:rPr>
          <w:rFonts w:hint="default" w:ascii="Times New Roman" w:hAnsi="Times New Roman" w:eastAsia="仿宋" w:cs="Times New Roman"/>
          <w:color w:val="auto"/>
          <w:sz w:val="32"/>
          <w:szCs w:val="32"/>
        </w:rPr>
        <w:t>在202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度预算编制阶段，组织对“城乡居民医保区级财政补助及参保扩面补助资金”、“定点医药机构医保基金监管工作经费”、“城乡医疗救助及彩票公益金”、“医疗服务与保障能力提升中央财政补助资金”、“离休干部、二残、特殊对象补助经费和建国初期参加革命退休干部医疗补助</w:t>
      </w:r>
      <w:r>
        <w:rPr>
          <w:rFonts w:hint="default" w:ascii="Times New Roman" w:hAnsi="Times New Roman" w:eastAsia="仿宋" w:cs="Times New Roman"/>
          <w:color w:val="auto"/>
          <w:sz w:val="32"/>
          <w:szCs w:val="32"/>
        </w:rPr>
        <w:t>经费”等5个项目开展了预算事前绩效评估，对5个项目编制了绩效目标，预算执行过程中，选取5个项目开展绩效监控。</w:t>
      </w:r>
    </w:p>
    <w:p w14:paraId="53DCA7AC">
      <w:pPr>
        <w:widowControl/>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本单位</w:t>
      </w:r>
      <w:r>
        <w:rPr>
          <w:rFonts w:hint="default" w:ascii="Times New Roman" w:hAnsi="Times New Roman" w:eastAsia="仿宋" w:cs="Times New Roman"/>
          <w:color w:val="auto"/>
          <w:sz w:val="32"/>
          <w:szCs w:val="32"/>
        </w:rPr>
        <w:t>组织对202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年度一般公共预算、政府性基金预算、国有资本经营预算、社会保险基金预算以及资本资产、债券资金等全面开展绩效自评，形成1个部门整体（含部门预算项目）绩效自评报告</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5个专项预算项目绩效自评报告，其中，攀枝花市西区医疗保障局部门整体（含部门预算项目）绩效自评得分为100分，绩效自评综述：攀枝花市西区医疗保障局紧紧围绕中心工作，牢固树立团结意识、大局意识和发展意识，不断转变思路、创新机制、优化服务，认真贯彻落实上级的各项工作部署，履行应尽的职责，圆满完成各项工作任务</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城乡居民医保区级财政补助及参保扩面补助资金”专项预算项目绩效自评得分为100分，绩效自评综述：在统一城乡居民基本医疗保险和补充医疗保险待遇的基础上，积极做好参保工作，进一步扩大基本医疗保险覆盖范围，有效缓解参保群众“看病难、看病贵”的问题，受到广大居民衷心拥护。“定点医药机构医保基金监管工作经费”专项预算项目绩效自评得分为99分，绩效自评综述：实现了医保行政部门、经办机构、定点医药机构、参保人员等监管主体和监管对象宣传全覆盖，通过联合村社等多种形式对相关法律法规和政策进行宣传，与社会各界携手共同营造维护医保基金安全的良好氛围。“城乡医疗救助及彩票公益金”专项预算项目绩效自评得分为100分，绩效自评综述：加强宣传医疗救助政策，积极解答群众关于医疗救助问题。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年，我区救助对象对医疗救助政策知晓度超过97%，对政策执行的满意度超过99%。“医疗服务与保障能力提升中央财政补助资金”专项预算项目绩效自评得分为100分，绩效自评综述：202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年，我区加强宣传医疗保障相关政策，积极解答群众关于医疗保障问题。202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年，我区群众对医疗保障政策知晓度超过95%，对政策执行的满意度超过95%。“</w:t>
      </w:r>
      <w:r>
        <w:rPr>
          <w:rFonts w:hint="default" w:ascii="Times New Roman" w:hAnsi="Times New Roman" w:eastAsia="仿宋" w:cs="Times New Roman"/>
          <w:color w:val="auto"/>
          <w:kern w:val="0"/>
          <w:sz w:val="32"/>
          <w:szCs w:val="32"/>
          <w:lang w:val="zh-CN"/>
        </w:rPr>
        <w:t>离休干部、二残、特殊对象补助经费和建国初期参加革命退休干部医疗补助经费</w:t>
      </w:r>
      <w:r>
        <w:rPr>
          <w:rFonts w:hint="default" w:ascii="Times New Roman" w:hAnsi="Times New Roman" w:eastAsia="仿宋" w:cs="Times New Roman"/>
          <w:color w:val="auto"/>
          <w:sz w:val="32"/>
          <w:szCs w:val="32"/>
        </w:rPr>
        <w:t>”专项预算项目绩效自评得分为100分，绩效自评综述：202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年全面贯彻落实离休、六级以上革命伤残军人（警察）和建国初期参加革命退休干部医保政策，确保了离休人员医疗待遇落实到位，提高了离休人员的健康水平。（绩效自评报告详见附件）</w:t>
      </w:r>
    </w:p>
    <w:p w14:paraId="760C1A52">
      <w:pPr>
        <w:widowControl/>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br w:type="page"/>
      </w:r>
    </w:p>
    <w:p w14:paraId="5FD26FCA">
      <w:pPr>
        <w:keepNext w:val="0"/>
        <w:keepLines w:val="0"/>
        <w:pageBreakBefore w:val="0"/>
        <w:widowControl w:val="0"/>
        <w:numPr>
          <w:ilvl w:val="0"/>
          <w:numId w:val="2"/>
        </w:numPr>
        <w:kinsoku/>
        <w:wordWrap/>
        <w:overflowPunct/>
        <w:topLinePunct w:val="0"/>
        <w:autoSpaceDE/>
        <w:autoSpaceDN/>
        <w:bidi w:val="0"/>
        <w:adjustRightInd/>
        <w:snapToGrid/>
        <w:spacing w:line="300" w:lineRule="auto"/>
        <w:ind w:firstLine="0" w:firstLineChars="0"/>
        <w:jc w:val="center"/>
        <w:textAlignment w:val="auto"/>
        <w:outlineLvl w:val="0"/>
        <w:rPr>
          <w:rStyle w:val="29"/>
          <w:rFonts w:hint="default" w:ascii="Times New Roman" w:hAnsi="Times New Roman" w:eastAsia="黑体" w:cs="Times New Roman"/>
          <w:b w:val="0"/>
          <w:color w:val="auto"/>
        </w:rPr>
      </w:pPr>
      <w:bookmarkStart w:id="77" w:name="_Toc149398074"/>
      <w:bookmarkStart w:id="78" w:name="_Toc15396613"/>
      <w:bookmarkStart w:id="79" w:name="_Toc15377225"/>
      <w:r>
        <w:rPr>
          <w:rFonts w:hint="default" w:ascii="Times New Roman" w:hAnsi="Times New Roman" w:eastAsia="黑体" w:cs="Times New Roman"/>
          <w:color w:val="auto"/>
          <w:sz w:val="44"/>
          <w:szCs w:val="44"/>
        </w:rPr>
        <w:t>名</w:t>
      </w:r>
      <w:r>
        <w:rPr>
          <w:rStyle w:val="29"/>
          <w:rFonts w:hint="default" w:ascii="Times New Roman" w:hAnsi="Times New Roman" w:eastAsia="黑体" w:cs="Times New Roman"/>
          <w:b w:val="0"/>
          <w:color w:val="auto"/>
        </w:rPr>
        <w:t>词解释</w:t>
      </w:r>
      <w:bookmarkEnd w:id="77"/>
      <w:bookmarkEnd w:id="78"/>
      <w:bookmarkEnd w:id="79"/>
    </w:p>
    <w:p w14:paraId="41F3F678">
      <w:pPr>
        <w:spacing w:line="600" w:lineRule="exact"/>
        <w:jc w:val="left"/>
        <w:rPr>
          <w:rFonts w:hint="default" w:ascii="Times New Roman" w:hAnsi="Times New Roman" w:cs="Times New Roman"/>
          <w:b/>
          <w:color w:val="auto"/>
          <w:sz w:val="44"/>
          <w:szCs w:val="44"/>
        </w:rPr>
      </w:pPr>
    </w:p>
    <w:p w14:paraId="7CDE0620">
      <w:pPr>
        <w:pStyle w:val="27"/>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1.财政拨款收入：指</w:t>
      </w:r>
      <w:bookmarkStart w:id="111" w:name="_GoBack"/>
      <w:r>
        <w:rPr>
          <w:rFonts w:hint="default" w:ascii="Times New Roman" w:hAnsi="Times New Roman" w:cs="Times New Roman"/>
          <w:color w:val="auto"/>
          <w:kern w:val="2"/>
          <w:sz w:val="32"/>
          <w:szCs w:val="32"/>
        </w:rPr>
        <w:t>单位从</w:t>
      </w:r>
      <w:bookmarkEnd w:id="111"/>
      <w:r>
        <w:rPr>
          <w:rFonts w:hint="default" w:ascii="Times New Roman" w:hAnsi="Times New Roman" w:cs="Times New Roman"/>
          <w:color w:val="auto"/>
          <w:kern w:val="2"/>
          <w:sz w:val="32"/>
          <w:szCs w:val="32"/>
        </w:rPr>
        <w:t>同级财政部门取得的财政预算资金。</w:t>
      </w:r>
    </w:p>
    <w:p w14:paraId="7B6C4693">
      <w:pPr>
        <w:pStyle w:val="27"/>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2.年初结转和结余：指以前年度尚未完成、结转到本年按有关规定继续使用的资金。</w:t>
      </w:r>
    </w:p>
    <w:p w14:paraId="0F1C16CA">
      <w:pPr>
        <w:pStyle w:val="27"/>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3.年末结转和结余：指单位按有关规定结转到下年或以后年度继续使用的资金。</w:t>
      </w:r>
    </w:p>
    <w:p w14:paraId="42E92445">
      <w:pPr>
        <w:pStyle w:val="27"/>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4.社会保障和就业（类）行政事业单位养老支出（款）行政单位离退休（项）：2080501指反映行政单位（包括实行公务员管理的事业单位）开支的离退休经费。</w:t>
      </w:r>
    </w:p>
    <w:p w14:paraId="752BDE95">
      <w:pPr>
        <w:pStyle w:val="27"/>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5.社会保障和就业（类）行政事业单位养老支出（款）机关事业单位基本养老保险缴费支出（项）：2080505指反映机关事业单位实施养老保险制度由单位缴纳的基本养老保险费支出。</w:t>
      </w:r>
    </w:p>
    <w:p w14:paraId="1536CBAC">
      <w:pPr>
        <w:pStyle w:val="27"/>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6.卫生健康（类）医疗保障管理事务（款）行政单位医疗（项）：2101101指反映按规定可享受公务员（包括参照公务员管理事业人员）基本医疗保险单位为职工缴纳的行政人员基本医疗保险缴费经费。</w:t>
      </w:r>
    </w:p>
    <w:p w14:paraId="1D78982E">
      <w:pPr>
        <w:pStyle w:val="27"/>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7.卫生健康（类）医疗保障管理事务（款）事业单位医疗（项）：2101102指反映按规定可享受事业人员基本医疗保险单位为职工缴纳的事业人员基本医疗保险缴费经费。</w:t>
      </w:r>
    </w:p>
    <w:p w14:paraId="58A0D7D6">
      <w:pPr>
        <w:pStyle w:val="27"/>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8.卫生健康（类）医疗保障管理事务（款）公务员医疗补助（项）：2101102指反映按规定可享受公务员医疗补助单位为职工缴纳的公务员医疗补助费。</w:t>
      </w:r>
    </w:p>
    <w:p w14:paraId="2F3FFF61">
      <w:pPr>
        <w:pStyle w:val="27"/>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9.卫生健康（类）医疗保障管理事务（款）行政运行（项）：2101501指反映行政单位（包括实行公务员管理的事业单位）的基本支出。</w:t>
      </w:r>
    </w:p>
    <w:p w14:paraId="6A2587F1">
      <w:pPr>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10.卫生健康（类）医疗保障管理事务（款）医疗保障经办事务（项）：2101506指反映医保基金核算、精算、参保登记、权益记录、转移接续等医疗保障经办支出。</w:t>
      </w:r>
    </w:p>
    <w:p w14:paraId="7E7CAE2C">
      <w:pPr>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11.卫生健康（类）医疗保障管理事务（款）其他医疗保障管理事务支出（项）：2101599指用于其他医疗保障管理事务方面的支出。</w:t>
      </w:r>
    </w:p>
    <w:p w14:paraId="7D4F8394">
      <w:pPr>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12.住房保障（类）住房改革支出（款）住房公积金（项）：2210201指反映行政事业单位按人力资源和社会保障部、财政部规定的基本工资和津贴补贴以及规定比例为职工缴纳的住房公积金。</w:t>
      </w:r>
    </w:p>
    <w:p w14:paraId="3DBED885">
      <w:pPr>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13.其他支出（类）彩票公益金安排的支出（款）用于社会福利的彩票公益金支出（项）：按照相关规定专项用于社会福利、体育等社会公益事业支出。</w:t>
      </w:r>
    </w:p>
    <w:p w14:paraId="4A5F5DCE">
      <w:pPr>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14.其他支出（类）彩票公益金安排的支出（款）用于城乡医疗救助的彩票公益金支出（项）：按照相关规定专项用于城乡医疗救助的公益支出。</w:t>
      </w:r>
    </w:p>
    <w:p w14:paraId="564E57E0">
      <w:pPr>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15.基本支出：指为保障机构正常运转、完成日常工作任务而发生的人员支出和公用支出。</w:t>
      </w:r>
    </w:p>
    <w:p w14:paraId="40511538">
      <w:pPr>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16.项目支出：指在基本支出之外为完成特定行政任务和事业发展目标所发生的支出。</w:t>
      </w:r>
    </w:p>
    <w:p w14:paraId="11BC5219">
      <w:pPr>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17.“三公”经费：指政府部门人员因公出国（境）经费、公务用车购置及运行费、公务接待费。公务接待费：反映单位在会议期间按规定开支的各类公务接待（含外宾接待）费用。公务用车运行维护费：反映单位按规定保留的公务用车燃料费、维修费、过桥过路费、保险费、安全奖励费用等支出。因公出国境费：反映单位公务出国的国际旅费、国外城市间交通费、住宿费、伙食费、培训费、公杂费等支出。</w:t>
      </w:r>
    </w:p>
    <w:p w14:paraId="2A735CE5">
      <w:pPr>
        <w:keepNext w:val="0"/>
        <w:keepLines w:val="0"/>
        <w:pageBreakBefore w:val="0"/>
        <w:widowControl w:val="0"/>
        <w:kinsoku/>
        <w:wordWrap/>
        <w:overflowPunct/>
        <w:topLinePunct w:val="0"/>
        <w:bidi w:val="0"/>
        <w:snapToGrid/>
        <w:spacing w:line="353"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A272DB">
      <w:pPr>
        <w:keepNext w:val="0"/>
        <w:keepLines w:val="0"/>
        <w:pageBreakBefore w:val="0"/>
        <w:widowControl w:val="0"/>
        <w:kinsoku/>
        <w:wordWrap/>
        <w:overflowPunct/>
        <w:topLinePunct w:val="0"/>
        <w:bidi w:val="0"/>
        <w:snapToGrid/>
        <w:spacing w:line="353" w:lineRule="auto"/>
        <w:ind w:firstLine="643" w:firstLineChars="200"/>
        <w:textAlignment w:val="auto"/>
        <w:rPr>
          <w:rFonts w:hint="default" w:ascii="Times New Roman" w:hAnsi="Times New Roman" w:eastAsia="仿宋" w:cs="Times New Roman"/>
          <w:b/>
          <w:color w:val="auto"/>
          <w:sz w:val="32"/>
          <w:szCs w:val="32"/>
        </w:rPr>
      </w:pPr>
    </w:p>
    <w:p w14:paraId="619B6D17">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Style w:val="29"/>
          <w:rFonts w:hint="default" w:ascii="Times New Roman" w:hAnsi="Times New Roman" w:eastAsia="黑体" w:cs="Times New Roman"/>
          <w:b w:val="0"/>
          <w:color w:val="auto"/>
        </w:rPr>
      </w:pPr>
      <w:bookmarkStart w:id="80" w:name="_Toc15377226"/>
      <w:r>
        <w:rPr>
          <w:rFonts w:hint="default" w:ascii="Times New Roman" w:hAnsi="Times New Roman" w:cs="Times New Roman"/>
          <w:b/>
          <w:color w:val="auto"/>
          <w:sz w:val="44"/>
          <w:szCs w:val="44"/>
        </w:rPr>
        <w:br w:type="page"/>
      </w:r>
      <w:bookmarkStart w:id="81" w:name="_Toc149398075"/>
      <w:bookmarkStart w:id="82" w:name="_Toc15396614"/>
      <w:r>
        <w:rPr>
          <w:rFonts w:hint="default" w:ascii="Times New Roman" w:hAnsi="Times New Roman" w:eastAsia="黑体" w:cs="Times New Roman"/>
          <w:color w:val="auto"/>
          <w:sz w:val="44"/>
          <w:szCs w:val="44"/>
        </w:rPr>
        <w:t>第</w:t>
      </w:r>
      <w:r>
        <w:rPr>
          <w:rStyle w:val="29"/>
          <w:rFonts w:hint="default" w:ascii="Times New Roman" w:hAnsi="Times New Roman" w:eastAsia="黑体" w:cs="Times New Roman"/>
          <w:b w:val="0"/>
          <w:color w:val="auto"/>
        </w:rPr>
        <w:t>四部分 附件</w:t>
      </w:r>
      <w:bookmarkEnd w:id="81"/>
      <w:bookmarkEnd w:id="82"/>
    </w:p>
    <w:p w14:paraId="5CF77B62">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仿宋_GB2312" w:cs="Times New Roman"/>
          <w:color w:val="auto"/>
          <w:kern w:val="0"/>
          <w:sz w:val="32"/>
          <w:szCs w:val="32"/>
        </w:rPr>
      </w:pPr>
    </w:p>
    <w:p w14:paraId="32720942">
      <w:pPr>
        <w:spacing w:line="353"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附件：</w:t>
      </w:r>
      <w:r>
        <w:rPr>
          <w:rFonts w:hint="default" w:ascii="Times New Roman" w:hAnsi="Times New Roman" w:eastAsia="仿宋_GB2312" w:cs="Times New Roman"/>
          <w:color w:val="auto"/>
          <w:kern w:val="0"/>
          <w:sz w:val="32"/>
          <w:szCs w:val="32"/>
        </w:rPr>
        <w:t>攀枝花市西区医疗保障局2023年部门预算项目支出绩效自评表</w:t>
      </w:r>
    </w:p>
    <w:p w14:paraId="5129EDFE">
      <w:pPr>
        <w:spacing w:line="353" w:lineRule="auto"/>
        <w:ind w:firstLine="640" w:firstLineChars="200"/>
        <w:rPr>
          <w:rFonts w:hint="default" w:ascii="Times New Roman" w:hAnsi="Times New Roman" w:eastAsia="仿宋_GB2312" w:cs="Times New Roman"/>
          <w:color w:val="auto"/>
          <w:sz w:val="32"/>
          <w:szCs w:val="32"/>
        </w:rPr>
      </w:pPr>
    </w:p>
    <w:p w14:paraId="68C52E03">
      <w:pPr>
        <w:widowControl/>
        <w:jc w:val="left"/>
        <w:rPr>
          <w:rStyle w:val="29"/>
          <w:rFonts w:hint="default" w:ascii="Times New Roman" w:hAnsi="Times New Roman" w:eastAsia="黑体" w:cs="Times New Roman"/>
          <w:b w:val="0"/>
          <w:color w:val="auto"/>
        </w:rPr>
      </w:pPr>
      <w:r>
        <w:rPr>
          <w:rStyle w:val="29"/>
          <w:rFonts w:hint="default" w:ascii="Times New Roman" w:hAnsi="Times New Roman" w:eastAsia="黑体" w:cs="Times New Roman"/>
          <w:b w:val="0"/>
          <w:color w:val="auto"/>
        </w:rPr>
        <w:br w:type="page"/>
      </w:r>
    </w:p>
    <w:p w14:paraId="6B72FA28">
      <w:pPr>
        <w:keepNext w:val="0"/>
        <w:keepLines w:val="0"/>
        <w:pageBreakBefore w:val="0"/>
        <w:widowControl w:val="0"/>
        <w:kinsoku/>
        <w:wordWrap/>
        <w:overflowPunct/>
        <w:topLinePunct w:val="0"/>
        <w:autoSpaceDE/>
        <w:autoSpaceDN/>
        <w:bidi w:val="0"/>
        <w:adjustRightInd/>
        <w:snapToGrid/>
        <w:spacing w:line="353" w:lineRule="auto"/>
        <w:jc w:val="center"/>
        <w:textAlignment w:val="auto"/>
        <w:outlineLvl w:val="0"/>
        <w:rPr>
          <w:rStyle w:val="29"/>
          <w:rFonts w:hint="default" w:ascii="Times New Roman" w:hAnsi="Times New Roman" w:eastAsia="黑体" w:cs="Times New Roman"/>
          <w:b w:val="0"/>
          <w:color w:val="auto"/>
        </w:rPr>
      </w:pPr>
      <w:bookmarkStart w:id="83" w:name="_Toc15396618"/>
      <w:bookmarkStart w:id="84" w:name="_Toc149398077"/>
      <w:r>
        <w:rPr>
          <w:rFonts w:hint="default" w:ascii="Times New Roman" w:hAnsi="Times New Roman" w:eastAsia="黑体" w:cs="Times New Roman"/>
          <w:color w:val="auto"/>
          <w:sz w:val="44"/>
          <w:szCs w:val="44"/>
        </w:rPr>
        <w:t>第</w:t>
      </w:r>
      <w:r>
        <w:rPr>
          <w:rStyle w:val="29"/>
          <w:rFonts w:hint="default" w:ascii="Times New Roman" w:hAnsi="Times New Roman" w:eastAsia="黑体" w:cs="Times New Roman"/>
          <w:b w:val="0"/>
          <w:color w:val="auto"/>
        </w:rPr>
        <w:t>五部分 附表</w:t>
      </w:r>
      <w:bookmarkEnd w:id="80"/>
      <w:bookmarkEnd w:id="83"/>
      <w:bookmarkEnd w:id="84"/>
      <w:bookmarkStart w:id="85" w:name="_Toc15396619"/>
    </w:p>
    <w:p w14:paraId="02B2746B">
      <w:pPr>
        <w:keepNext w:val="0"/>
        <w:keepLines w:val="0"/>
        <w:pageBreakBefore w:val="0"/>
        <w:widowControl w:val="0"/>
        <w:kinsoku/>
        <w:wordWrap/>
        <w:overflowPunct/>
        <w:topLinePunct w:val="0"/>
        <w:autoSpaceDE/>
        <w:autoSpaceDN/>
        <w:bidi w:val="0"/>
        <w:adjustRightInd/>
        <w:snapToGrid/>
        <w:spacing w:line="353" w:lineRule="auto"/>
        <w:jc w:val="center"/>
        <w:textAlignment w:val="auto"/>
        <w:outlineLvl w:val="0"/>
        <w:rPr>
          <w:rStyle w:val="29"/>
          <w:rFonts w:hint="default" w:ascii="Times New Roman" w:hAnsi="Times New Roman" w:eastAsia="黑体" w:cs="Times New Roman"/>
          <w:b w:val="0"/>
          <w:color w:val="auto"/>
        </w:rPr>
      </w:pPr>
    </w:p>
    <w:p w14:paraId="12FE3053">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86" w:name="_Toc149398078"/>
      <w:r>
        <w:rPr>
          <w:rFonts w:hint="default" w:ascii="Times New Roman" w:hAnsi="Times New Roman" w:eastAsia="仿宋" w:cs="Times New Roman"/>
          <w:b w:val="0"/>
          <w:color w:val="auto"/>
        </w:rPr>
        <w:t>一、收</w:t>
      </w:r>
      <w:r>
        <w:rPr>
          <w:rStyle w:val="30"/>
          <w:rFonts w:hint="default" w:ascii="Times New Roman" w:hAnsi="Times New Roman" w:eastAsia="仿宋" w:cs="Times New Roman"/>
          <w:b w:val="0"/>
          <w:bCs w:val="0"/>
          <w:color w:val="auto"/>
        </w:rPr>
        <w:t>入支出决算总表</w:t>
      </w:r>
      <w:bookmarkEnd w:id="85"/>
      <w:bookmarkEnd w:id="86"/>
    </w:p>
    <w:p w14:paraId="13C5D24A">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87" w:name="_Toc149398079"/>
      <w:bookmarkStart w:id="88" w:name="_Toc15396620"/>
      <w:r>
        <w:rPr>
          <w:rFonts w:hint="default" w:ascii="Times New Roman" w:hAnsi="Times New Roman" w:eastAsia="仿宋" w:cs="Times New Roman"/>
          <w:b w:val="0"/>
          <w:color w:val="auto"/>
        </w:rPr>
        <w:t>二、收</w:t>
      </w:r>
      <w:r>
        <w:rPr>
          <w:rStyle w:val="30"/>
          <w:rFonts w:hint="default" w:ascii="Times New Roman" w:hAnsi="Times New Roman" w:eastAsia="仿宋" w:cs="Times New Roman"/>
          <w:b w:val="0"/>
          <w:bCs w:val="0"/>
          <w:color w:val="auto"/>
        </w:rPr>
        <w:t>入决算表</w:t>
      </w:r>
      <w:bookmarkEnd w:id="87"/>
      <w:bookmarkEnd w:id="88"/>
    </w:p>
    <w:p w14:paraId="02624D2A">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89" w:name="_Toc149398080"/>
      <w:bookmarkStart w:id="90" w:name="_Toc15396621"/>
      <w:r>
        <w:rPr>
          <w:rStyle w:val="30"/>
          <w:rFonts w:hint="default" w:ascii="Times New Roman" w:hAnsi="Times New Roman" w:eastAsia="仿宋" w:cs="Times New Roman"/>
          <w:b w:val="0"/>
          <w:bCs w:val="0"/>
          <w:color w:val="auto"/>
        </w:rPr>
        <w:t>三、</w:t>
      </w:r>
      <w:r>
        <w:rPr>
          <w:rFonts w:hint="default" w:ascii="Times New Roman" w:hAnsi="Times New Roman" w:eastAsia="仿宋" w:cs="Times New Roman"/>
          <w:b w:val="0"/>
          <w:color w:val="auto"/>
        </w:rPr>
        <w:t>支</w:t>
      </w:r>
      <w:r>
        <w:rPr>
          <w:rStyle w:val="30"/>
          <w:rFonts w:hint="default" w:ascii="Times New Roman" w:hAnsi="Times New Roman" w:eastAsia="仿宋" w:cs="Times New Roman"/>
          <w:b w:val="0"/>
          <w:bCs w:val="0"/>
          <w:color w:val="auto"/>
        </w:rPr>
        <w:t>出决算表</w:t>
      </w:r>
      <w:bookmarkEnd w:id="89"/>
      <w:bookmarkEnd w:id="90"/>
    </w:p>
    <w:p w14:paraId="302C1332">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b w:val="0"/>
          <w:color w:val="auto"/>
        </w:rPr>
      </w:pPr>
      <w:bookmarkStart w:id="91" w:name="_Toc15396622"/>
      <w:bookmarkStart w:id="92" w:name="_Toc149398081"/>
      <w:r>
        <w:rPr>
          <w:rStyle w:val="30"/>
          <w:rFonts w:hint="default" w:ascii="Times New Roman" w:hAnsi="Times New Roman" w:eastAsia="仿宋" w:cs="Times New Roman"/>
          <w:b w:val="0"/>
          <w:bCs w:val="0"/>
          <w:color w:val="auto"/>
        </w:rPr>
        <w:t>四、</w:t>
      </w:r>
      <w:r>
        <w:rPr>
          <w:rFonts w:hint="default" w:ascii="Times New Roman" w:hAnsi="Times New Roman" w:eastAsia="仿宋" w:cs="Times New Roman"/>
          <w:b w:val="0"/>
          <w:color w:val="auto"/>
        </w:rPr>
        <w:t>财</w:t>
      </w:r>
      <w:r>
        <w:rPr>
          <w:rStyle w:val="30"/>
          <w:rFonts w:hint="default" w:ascii="Times New Roman" w:hAnsi="Times New Roman" w:eastAsia="仿宋" w:cs="Times New Roman"/>
          <w:b w:val="0"/>
          <w:bCs w:val="0"/>
          <w:color w:val="auto"/>
        </w:rPr>
        <w:t>政拨款收入支出决算总表</w:t>
      </w:r>
      <w:bookmarkEnd w:id="91"/>
      <w:bookmarkEnd w:id="92"/>
    </w:p>
    <w:p w14:paraId="438E79BA">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Style w:val="30"/>
          <w:rFonts w:hint="default" w:ascii="Times New Roman" w:hAnsi="Times New Roman" w:eastAsia="仿宋" w:cs="Times New Roman"/>
          <w:b w:val="0"/>
          <w:bCs w:val="0"/>
          <w:color w:val="auto"/>
        </w:rPr>
      </w:pPr>
      <w:bookmarkStart w:id="93" w:name="_Toc15396623"/>
      <w:bookmarkStart w:id="94" w:name="_Toc149398082"/>
      <w:r>
        <w:rPr>
          <w:rStyle w:val="30"/>
          <w:rFonts w:hint="default" w:ascii="Times New Roman" w:hAnsi="Times New Roman" w:eastAsia="仿宋" w:cs="Times New Roman"/>
          <w:b w:val="0"/>
          <w:bCs w:val="0"/>
          <w:color w:val="auto"/>
        </w:rPr>
        <w:t>五、</w:t>
      </w:r>
      <w:r>
        <w:rPr>
          <w:rFonts w:hint="default" w:ascii="Times New Roman" w:hAnsi="Times New Roman" w:eastAsia="仿宋" w:cs="Times New Roman"/>
          <w:b w:val="0"/>
          <w:color w:val="auto"/>
        </w:rPr>
        <w:t>财</w:t>
      </w:r>
      <w:r>
        <w:rPr>
          <w:rStyle w:val="30"/>
          <w:rFonts w:hint="default" w:ascii="Times New Roman" w:hAnsi="Times New Roman" w:eastAsia="仿宋" w:cs="Times New Roman"/>
          <w:b w:val="0"/>
          <w:bCs w:val="0"/>
          <w:color w:val="auto"/>
        </w:rPr>
        <w:t>政拨款支出决算明细表</w:t>
      </w:r>
      <w:bookmarkEnd w:id="93"/>
      <w:bookmarkEnd w:id="94"/>
      <w:bookmarkStart w:id="95" w:name="_Toc15396624"/>
    </w:p>
    <w:p w14:paraId="27FA1BF2">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96" w:name="_Toc149398083"/>
      <w:r>
        <w:rPr>
          <w:rStyle w:val="30"/>
          <w:rFonts w:hint="default" w:ascii="Times New Roman" w:hAnsi="Times New Roman" w:eastAsia="仿宋" w:cs="Times New Roman"/>
          <w:b w:val="0"/>
          <w:bCs w:val="0"/>
          <w:color w:val="auto"/>
        </w:rPr>
        <w:t>六、</w:t>
      </w:r>
      <w:r>
        <w:rPr>
          <w:rFonts w:hint="default" w:ascii="Times New Roman" w:hAnsi="Times New Roman" w:eastAsia="仿宋" w:cs="Times New Roman"/>
          <w:b w:val="0"/>
          <w:color w:val="auto"/>
        </w:rPr>
        <w:t>一</w:t>
      </w:r>
      <w:r>
        <w:rPr>
          <w:rStyle w:val="30"/>
          <w:rFonts w:hint="default" w:ascii="Times New Roman" w:hAnsi="Times New Roman" w:eastAsia="仿宋" w:cs="Times New Roman"/>
          <w:b w:val="0"/>
          <w:bCs w:val="0"/>
          <w:color w:val="auto"/>
        </w:rPr>
        <w:t>般公共预算财政拨款支出决算表</w:t>
      </w:r>
      <w:bookmarkEnd w:id="95"/>
      <w:bookmarkEnd w:id="96"/>
    </w:p>
    <w:p w14:paraId="6E5042DD">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97" w:name="_Toc149398084"/>
      <w:bookmarkStart w:id="98" w:name="_Toc15396625"/>
      <w:r>
        <w:rPr>
          <w:rStyle w:val="30"/>
          <w:rFonts w:hint="default" w:ascii="Times New Roman" w:hAnsi="Times New Roman" w:eastAsia="仿宋" w:cs="Times New Roman"/>
          <w:b w:val="0"/>
          <w:bCs w:val="0"/>
          <w:color w:val="auto"/>
        </w:rPr>
        <w:t>七、</w:t>
      </w:r>
      <w:r>
        <w:rPr>
          <w:rFonts w:hint="default" w:ascii="Times New Roman" w:hAnsi="Times New Roman" w:eastAsia="仿宋" w:cs="Times New Roman"/>
          <w:b w:val="0"/>
          <w:color w:val="auto"/>
        </w:rPr>
        <w:t>一</w:t>
      </w:r>
      <w:r>
        <w:rPr>
          <w:rStyle w:val="30"/>
          <w:rFonts w:hint="default" w:ascii="Times New Roman" w:hAnsi="Times New Roman" w:eastAsia="仿宋" w:cs="Times New Roman"/>
          <w:b w:val="0"/>
          <w:bCs w:val="0"/>
          <w:color w:val="auto"/>
        </w:rPr>
        <w:t>般公共预算财政拨款支出决算明细表</w:t>
      </w:r>
      <w:bookmarkEnd w:id="97"/>
      <w:bookmarkEnd w:id="98"/>
    </w:p>
    <w:p w14:paraId="07125309">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99" w:name="_Toc15396626"/>
      <w:bookmarkStart w:id="100" w:name="_Toc149398085"/>
      <w:r>
        <w:rPr>
          <w:rStyle w:val="30"/>
          <w:rFonts w:hint="default" w:ascii="Times New Roman" w:hAnsi="Times New Roman" w:eastAsia="仿宋" w:cs="Times New Roman"/>
          <w:b w:val="0"/>
          <w:bCs w:val="0"/>
          <w:color w:val="auto"/>
        </w:rPr>
        <w:t>八、</w:t>
      </w:r>
      <w:r>
        <w:rPr>
          <w:rFonts w:hint="default" w:ascii="Times New Roman" w:hAnsi="Times New Roman" w:eastAsia="仿宋" w:cs="Times New Roman"/>
          <w:b w:val="0"/>
          <w:color w:val="auto"/>
        </w:rPr>
        <w:t>一</w:t>
      </w:r>
      <w:r>
        <w:rPr>
          <w:rStyle w:val="30"/>
          <w:rFonts w:hint="default" w:ascii="Times New Roman" w:hAnsi="Times New Roman" w:eastAsia="仿宋" w:cs="Times New Roman"/>
          <w:b w:val="0"/>
          <w:bCs w:val="0"/>
          <w:color w:val="auto"/>
        </w:rPr>
        <w:t>般公共预算财政拨款基本支出决算表</w:t>
      </w:r>
      <w:bookmarkEnd w:id="99"/>
      <w:bookmarkEnd w:id="100"/>
    </w:p>
    <w:p w14:paraId="10A9C880">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101" w:name="_Toc15396627"/>
      <w:bookmarkStart w:id="102" w:name="_Toc149398086"/>
      <w:r>
        <w:rPr>
          <w:rStyle w:val="30"/>
          <w:rFonts w:hint="default" w:ascii="Times New Roman" w:hAnsi="Times New Roman" w:eastAsia="仿宋" w:cs="Times New Roman"/>
          <w:b w:val="0"/>
          <w:bCs w:val="0"/>
          <w:color w:val="auto"/>
        </w:rPr>
        <w:t>九、</w:t>
      </w:r>
      <w:r>
        <w:rPr>
          <w:rFonts w:hint="default" w:ascii="Times New Roman" w:hAnsi="Times New Roman" w:eastAsia="仿宋" w:cs="Times New Roman"/>
          <w:b w:val="0"/>
          <w:color w:val="auto"/>
        </w:rPr>
        <w:t>一</w:t>
      </w:r>
      <w:r>
        <w:rPr>
          <w:rStyle w:val="30"/>
          <w:rFonts w:hint="default" w:ascii="Times New Roman" w:hAnsi="Times New Roman" w:eastAsia="仿宋" w:cs="Times New Roman"/>
          <w:b w:val="0"/>
          <w:bCs w:val="0"/>
          <w:color w:val="auto"/>
        </w:rPr>
        <w:t>般公共预算财政拨款项目支出决算表</w:t>
      </w:r>
      <w:bookmarkEnd w:id="101"/>
      <w:bookmarkEnd w:id="102"/>
    </w:p>
    <w:p w14:paraId="0B2E956F">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103" w:name="_Toc15396628"/>
      <w:bookmarkStart w:id="104" w:name="_Toc149398087"/>
      <w:r>
        <w:rPr>
          <w:rStyle w:val="30"/>
          <w:rFonts w:hint="default" w:ascii="Times New Roman" w:hAnsi="Times New Roman" w:eastAsia="仿宋" w:cs="Times New Roman"/>
          <w:b w:val="0"/>
          <w:bCs w:val="0"/>
          <w:color w:val="auto"/>
        </w:rPr>
        <w:t>十、</w:t>
      </w:r>
      <w:bookmarkEnd w:id="103"/>
      <w:r>
        <w:rPr>
          <w:rFonts w:hint="default" w:ascii="Times New Roman" w:hAnsi="Times New Roman" w:eastAsia="仿宋" w:cs="Times New Roman"/>
          <w:b w:val="0"/>
          <w:color w:val="auto"/>
        </w:rPr>
        <w:t>政</w:t>
      </w:r>
      <w:r>
        <w:rPr>
          <w:rStyle w:val="30"/>
          <w:rFonts w:hint="default" w:ascii="Times New Roman" w:hAnsi="Times New Roman" w:eastAsia="仿宋" w:cs="Times New Roman"/>
          <w:b w:val="0"/>
          <w:bCs w:val="0"/>
          <w:color w:val="auto"/>
        </w:rPr>
        <w:t>府性基金预算财政拨款收入支出决算表</w:t>
      </w:r>
      <w:bookmarkEnd w:id="104"/>
    </w:p>
    <w:p w14:paraId="2604DA90">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105" w:name="_Toc15396629"/>
      <w:bookmarkStart w:id="106" w:name="_Toc149398088"/>
      <w:r>
        <w:rPr>
          <w:rStyle w:val="30"/>
          <w:rFonts w:hint="default" w:ascii="Times New Roman" w:hAnsi="Times New Roman" w:eastAsia="仿宋" w:cs="Times New Roman"/>
          <w:b w:val="0"/>
          <w:bCs w:val="0"/>
          <w:color w:val="auto"/>
        </w:rPr>
        <w:t>十一、</w:t>
      </w:r>
      <w:bookmarkEnd w:id="105"/>
      <w:r>
        <w:rPr>
          <w:rFonts w:hint="default" w:ascii="Times New Roman" w:hAnsi="Times New Roman" w:eastAsia="仿宋" w:cs="Times New Roman"/>
          <w:b w:val="0"/>
          <w:color w:val="auto"/>
        </w:rPr>
        <w:t>国</w:t>
      </w:r>
      <w:r>
        <w:rPr>
          <w:rStyle w:val="30"/>
          <w:rFonts w:hint="default" w:ascii="Times New Roman" w:hAnsi="Times New Roman" w:eastAsia="仿宋" w:cs="Times New Roman"/>
          <w:b w:val="0"/>
          <w:bCs w:val="0"/>
          <w:color w:val="auto"/>
        </w:rPr>
        <w:t>有资本经营预算财政拨款收入支出决算表</w:t>
      </w:r>
      <w:bookmarkEnd w:id="106"/>
    </w:p>
    <w:p w14:paraId="2F23CF78">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107" w:name="_Toc15396630"/>
      <w:bookmarkStart w:id="108" w:name="_Toc149398089"/>
      <w:r>
        <w:rPr>
          <w:rStyle w:val="30"/>
          <w:rFonts w:hint="default" w:ascii="Times New Roman" w:hAnsi="Times New Roman" w:eastAsia="仿宋" w:cs="Times New Roman"/>
          <w:b w:val="0"/>
          <w:bCs w:val="0"/>
          <w:color w:val="auto"/>
        </w:rPr>
        <w:t>十二、</w:t>
      </w:r>
      <w:bookmarkEnd w:id="107"/>
      <w:r>
        <w:rPr>
          <w:rStyle w:val="30"/>
          <w:rFonts w:hint="default" w:ascii="Times New Roman" w:hAnsi="Times New Roman" w:eastAsia="仿宋" w:cs="Times New Roman"/>
          <w:b w:val="0"/>
          <w:bCs w:val="0"/>
          <w:color w:val="auto"/>
        </w:rPr>
        <w:t>国有资本经营预算财政拨款支出决算表</w:t>
      </w:r>
      <w:bookmarkEnd w:id="108"/>
    </w:p>
    <w:p w14:paraId="2C40382A">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default" w:ascii="Times New Roman" w:hAnsi="Times New Roman" w:eastAsia="仿宋" w:cs="Times New Roman"/>
          <w:color w:val="auto"/>
        </w:rPr>
      </w:pPr>
      <w:bookmarkStart w:id="109" w:name="_Toc15396631"/>
      <w:bookmarkStart w:id="110" w:name="_Toc149398090"/>
      <w:r>
        <w:rPr>
          <w:rStyle w:val="30"/>
          <w:rFonts w:hint="default" w:ascii="Times New Roman" w:hAnsi="Times New Roman" w:eastAsia="仿宋" w:cs="Times New Roman"/>
          <w:b w:val="0"/>
          <w:bCs w:val="0"/>
          <w:color w:val="auto"/>
        </w:rPr>
        <w:t>十三、</w:t>
      </w:r>
      <w:bookmarkEnd w:id="109"/>
      <w:r>
        <w:rPr>
          <w:rStyle w:val="30"/>
          <w:rFonts w:hint="default" w:ascii="Times New Roman" w:hAnsi="Times New Roman" w:eastAsia="仿宋" w:cs="Times New Roman"/>
          <w:b w:val="0"/>
          <w:bCs w:val="0"/>
          <w:color w:val="auto"/>
        </w:rPr>
        <w:t>财政拨款“三公”经费支出决算表</w:t>
      </w:r>
      <w:bookmarkEnd w:id="110"/>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EA6B">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5824"/>
                          </w:sdtPr>
                          <w:sdtContent>
                            <w:p w14:paraId="6378749C">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17</w:t>
                              </w:r>
                              <w:r>
                                <w:rPr>
                                  <w:rFonts w:hint="eastAsia" w:asciiTheme="minorEastAsia" w:hAnsiTheme="minorEastAsia" w:eastAsiaTheme="minorEastAsia" w:cstheme="minorEastAsia"/>
                                  <w:sz w:val="28"/>
                                  <w:szCs w:val="28"/>
                                </w:rPr>
                                <w:fldChar w:fldCharType="end"/>
                              </w:r>
                            </w:p>
                          </w:sdtContent>
                        </w:sdt>
                        <w:p w14:paraId="59D688B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sdt>
                    <w:sdtPr>
                      <w:id w:val="147465824"/>
                    </w:sdtPr>
                    <w:sdtContent>
                      <w:p w14:paraId="6378749C">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17</w:t>
                        </w:r>
                        <w:r>
                          <w:rPr>
                            <w:rFonts w:hint="eastAsia" w:asciiTheme="minorEastAsia" w:hAnsiTheme="minorEastAsia" w:eastAsiaTheme="minorEastAsia" w:cstheme="minorEastAsia"/>
                            <w:sz w:val="28"/>
                            <w:szCs w:val="28"/>
                          </w:rPr>
                          <w:fldChar w:fldCharType="end"/>
                        </w:r>
                      </w:p>
                    </w:sdtContent>
                  </w:sdt>
                  <w:p w14:paraId="59D688B9"/>
                </w:txbxContent>
              </v:textbox>
            </v:shape>
          </w:pict>
        </mc:Fallback>
      </mc:AlternateContent>
    </w:r>
  </w:p>
  <w:p w14:paraId="17C070C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1C6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6D4D">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7729">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jRmZThjNjU4ZTA1OWM2NmUxYmZiMGRkNmZhZGUifQ=="/>
  </w:docVars>
  <w:rsids>
    <w:rsidRoot w:val="00F1361C"/>
    <w:rsid w:val="000222C6"/>
    <w:rsid w:val="0002549F"/>
    <w:rsid w:val="00043802"/>
    <w:rsid w:val="00046577"/>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9F6"/>
    <w:rsid w:val="000E6613"/>
    <w:rsid w:val="000E7119"/>
    <w:rsid w:val="001051DE"/>
    <w:rsid w:val="00114E9B"/>
    <w:rsid w:val="00116EAE"/>
    <w:rsid w:val="00125D37"/>
    <w:rsid w:val="00136D0C"/>
    <w:rsid w:val="00142216"/>
    <w:rsid w:val="00144D6A"/>
    <w:rsid w:val="0014729F"/>
    <w:rsid w:val="00157BAB"/>
    <w:rsid w:val="001654D1"/>
    <w:rsid w:val="00174518"/>
    <w:rsid w:val="0018106D"/>
    <w:rsid w:val="001877A7"/>
    <w:rsid w:val="00191536"/>
    <w:rsid w:val="00196687"/>
    <w:rsid w:val="001B7CEF"/>
    <w:rsid w:val="001C0962"/>
    <w:rsid w:val="001D7531"/>
    <w:rsid w:val="001E2BE3"/>
    <w:rsid w:val="001E2FF1"/>
    <w:rsid w:val="001E737D"/>
    <w:rsid w:val="001F0592"/>
    <w:rsid w:val="001F7506"/>
    <w:rsid w:val="002006CD"/>
    <w:rsid w:val="00202B36"/>
    <w:rsid w:val="00204B7A"/>
    <w:rsid w:val="00204CDE"/>
    <w:rsid w:val="0021101A"/>
    <w:rsid w:val="00217081"/>
    <w:rsid w:val="00220536"/>
    <w:rsid w:val="00224571"/>
    <w:rsid w:val="0022509B"/>
    <w:rsid w:val="00232E33"/>
    <w:rsid w:val="00235629"/>
    <w:rsid w:val="00247B82"/>
    <w:rsid w:val="00260C38"/>
    <w:rsid w:val="002616C0"/>
    <w:rsid w:val="00265372"/>
    <w:rsid w:val="002662AA"/>
    <w:rsid w:val="00280496"/>
    <w:rsid w:val="002922E3"/>
    <w:rsid w:val="00294DC9"/>
    <w:rsid w:val="00295495"/>
    <w:rsid w:val="002A31DE"/>
    <w:rsid w:val="002B2613"/>
    <w:rsid w:val="002D6D05"/>
    <w:rsid w:val="002E463A"/>
    <w:rsid w:val="002E4927"/>
    <w:rsid w:val="002F1818"/>
    <w:rsid w:val="002F567B"/>
    <w:rsid w:val="003216A9"/>
    <w:rsid w:val="00335A74"/>
    <w:rsid w:val="0036561B"/>
    <w:rsid w:val="0037013F"/>
    <w:rsid w:val="00380C92"/>
    <w:rsid w:val="00396FB7"/>
    <w:rsid w:val="003A484F"/>
    <w:rsid w:val="003A4883"/>
    <w:rsid w:val="003B0BE0"/>
    <w:rsid w:val="003B0C1B"/>
    <w:rsid w:val="003B688C"/>
    <w:rsid w:val="003C0291"/>
    <w:rsid w:val="003C39AE"/>
    <w:rsid w:val="003C7B60"/>
    <w:rsid w:val="003D0C0F"/>
    <w:rsid w:val="003D1FB2"/>
    <w:rsid w:val="003D5458"/>
    <w:rsid w:val="003D66DA"/>
    <w:rsid w:val="003E1310"/>
    <w:rsid w:val="003E45D1"/>
    <w:rsid w:val="003E6F55"/>
    <w:rsid w:val="003F0311"/>
    <w:rsid w:val="00406254"/>
    <w:rsid w:val="004223DE"/>
    <w:rsid w:val="00430386"/>
    <w:rsid w:val="00434489"/>
    <w:rsid w:val="00437085"/>
    <w:rsid w:val="00443880"/>
    <w:rsid w:val="004464F4"/>
    <w:rsid w:val="00446E63"/>
    <w:rsid w:val="00467094"/>
    <w:rsid w:val="00471401"/>
    <w:rsid w:val="00473244"/>
    <w:rsid w:val="00473F31"/>
    <w:rsid w:val="0048263A"/>
    <w:rsid w:val="00487E5D"/>
    <w:rsid w:val="004A6224"/>
    <w:rsid w:val="004A711F"/>
    <w:rsid w:val="004B199D"/>
    <w:rsid w:val="004B4690"/>
    <w:rsid w:val="004C19B0"/>
    <w:rsid w:val="004E0A2D"/>
    <w:rsid w:val="004E206B"/>
    <w:rsid w:val="004E6DF7"/>
    <w:rsid w:val="004F0FBD"/>
    <w:rsid w:val="004F3C7F"/>
    <w:rsid w:val="00505A47"/>
    <w:rsid w:val="00512FDA"/>
    <w:rsid w:val="00520DA0"/>
    <w:rsid w:val="00524D8D"/>
    <w:rsid w:val="00525E15"/>
    <w:rsid w:val="0052687B"/>
    <w:rsid w:val="005664BB"/>
    <w:rsid w:val="00566FFA"/>
    <w:rsid w:val="0057481D"/>
    <w:rsid w:val="0058486E"/>
    <w:rsid w:val="00585B33"/>
    <w:rsid w:val="0059014D"/>
    <w:rsid w:val="005A17AF"/>
    <w:rsid w:val="005A341B"/>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58A"/>
    <w:rsid w:val="00664777"/>
    <w:rsid w:val="006652B0"/>
    <w:rsid w:val="0067280B"/>
    <w:rsid w:val="006748A4"/>
    <w:rsid w:val="00681A31"/>
    <w:rsid w:val="00683E73"/>
    <w:rsid w:val="00686F07"/>
    <w:rsid w:val="006A3141"/>
    <w:rsid w:val="006A5E34"/>
    <w:rsid w:val="006B2422"/>
    <w:rsid w:val="006B2B9A"/>
    <w:rsid w:val="006C1937"/>
    <w:rsid w:val="006F020C"/>
    <w:rsid w:val="007127B7"/>
    <w:rsid w:val="0071798E"/>
    <w:rsid w:val="007416B6"/>
    <w:rsid w:val="00744B12"/>
    <w:rsid w:val="00746F48"/>
    <w:rsid w:val="0075404D"/>
    <w:rsid w:val="0076182A"/>
    <w:rsid w:val="00767B7E"/>
    <w:rsid w:val="007770C3"/>
    <w:rsid w:val="00777807"/>
    <w:rsid w:val="00784D24"/>
    <w:rsid w:val="00785FBA"/>
    <w:rsid w:val="00786E4A"/>
    <w:rsid w:val="007875EB"/>
    <w:rsid w:val="0079426B"/>
    <w:rsid w:val="007B0CBE"/>
    <w:rsid w:val="007D1682"/>
    <w:rsid w:val="007D312A"/>
    <w:rsid w:val="007D3F19"/>
    <w:rsid w:val="007E23B0"/>
    <w:rsid w:val="007E23E5"/>
    <w:rsid w:val="007F1991"/>
    <w:rsid w:val="007F2C2F"/>
    <w:rsid w:val="007F55FC"/>
    <w:rsid w:val="007F5665"/>
    <w:rsid w:val="00800112"/>
    <w:rsid w:val="00813348"/>
    <w:rsid w:val="00817C6A"/>
    <w:rsid w:val="00821E4A"/>
    <w:rsid w:val="008253BB"/>
    <w:rsid w:val="0083706E"/>
    <w:rsid w:val="008408F6"/>
    <w:rsid w:val="00841B1F"/>
    <w:rsid w:val="008423A5"/>
    <w:rsid w:val="00850625"/>
    <w:rsid w:val="00850D4B"/>
    <w:rsid w:val="00853718"/>
    <w:rsid w:val="00855221"/>
    <w:rsid w:val="00860645"/>
    <w:rsid w:val="008673CC"/>
    <w:rsid w:val="00871F71"/>
    <w:rsid w:val="00872FD8"/>
    <w:rsid w:val="00885AF4"/>
    <w:rsid w:val="008939CD"/>
    <w:rsid w:val="008A527B"/>
    <w:rsid w:val="008B768C"/>
    <w:rsid w:val="008C4DB1"/>
    <w:rsid w:val="008C4EAF"/>
    <w:rsid w:val="008C5176"/>
    <w:rsid w:val="008C7FD0"/>
    <w:rsid w:val="008E1DE7"/>
    <w:rsid w:val="008E707C"/>
    <w:rsid w:val="008F1529"/>
    <w:rsid w:val="00900B08"/>
    <w:rsid w:val="00901B74"/>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1F73"/>
    <w:rsid w:val="009E4DB6"/>
    <w:rsid w:val="009F1185"/>
    <w:rsid w:val="009F18CD"/>
    <w:rsid w:val="009F2675"/>
    <w:rsid w:val="009F2A13"/>
    <w:rsid w:val="009F5540"/>
    <w:rsid w:val="009F7527"/>
    <w:rsid w:val="00A04EB0"/>
    <w:rsid w:val="00A13CC1"/>
    <w:rsid w:val="00A16847"/>
    <w:rsid w:val="00A237D8"/>
    <w:rsid w:val="00A25819"/>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05A5"/>
    <w:rsid w:val="00AC3C6A"/>
    <w:rsid w:val="00AD1274"/>
    <w:rsid w:val="00AD5620"/>
    <w:rsid w:val="00AD656B"/>
    <w:rsid w:val="00AD7C1B"/>
    <w:rsid w:val="00AE16BA"/>
    <w:rsid w:val="00AE1EBE"/>
    <w:rsid w:val="00AF0A50"/>
    <w:rsid w:val="00B03C9D"/>
    <w:rsid w:val="00B060AE"/>
    <w:rsid w:val="00B10517"/>
    <w:rsid w:val="00B10FDB"/>
    <w:rsid w:val="00B14E55"/>
    <w:rsid w:val="00B14E76"/>
    <w:rsid w:val="00B161B8"/>
    <w:rsid w:val="00B2048C"/>
    <w:rsid w:val="00B310B9"/>
    <w:rsid w:val="00B35F3F"/>
    <w:rsid w:val="00B36CBB"/>
    <w:rsid w:val="00B425E0"/>
    <w:rsid w:val="00B440AA"/>
    <w:rsid w:val="00B44B70"/>
    <w:rsid w:val="00B46D81"/>
    <w:rsid w:val="00B53C56"/>
    <w:rsid w:val="00B57DAF"/>
    <w:rsid w:val="00B77231"/>
    <w:rsid w:val="00B77EA6"/>
    <w:rsid w:val="00B81598"/>
    <w:rsid w:val="00B841F1"/>
    <w:rsid w:val="00B944D6"/>
    <w:rsid w:val="00BB4DF0"/>
    <w:rsid w:val="00BC289F"/>
    <w:rsid w:val="00BC2D50"/>
    <w:rsid w:val="00BC5361"/>
    <w:rsid w:val="00BC5460"/>
    <w:rsid w:val="00BC6B50"/>
    <w:rsid w:val="00BD0E25"/>
    <w:rsid w:val="00BD6BED"/>
    <w:rsid w:val="00BF5BD6"/>
    <w:rsid w:val="00C03E31"/>
    <w:rsid w:val="00C33E72"/>
    <w:rsid w:val="00C354B2"/>
    <w:rsid w:val="00C35554"/>
    <w:rsid w:val="00C42709"/>
    <w:rsid w:val="00C52575"/>
    <w:rsid w:val="00C533CC"/>
    <w:rsid w:val="00C5751C"/>
    <w:rsid w:val="00C61BFC"/>
    <w:rsid w:val="00C62B85"/>
    <w:rsid w:val="00C65438"/>
    <w:rsid w:val="00C87567"/>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0479"/>
    <w:rsid w:val="00D51276"/>
    <w:rsid w:val="00D7035F"/>
    <w:rsid w:val="00D975C5"/>
    <w:rsid w:val="00DA507C"/>
    <w:rsid w:val="00DA634F"/>
    <w:rsid w:val="00DA65AC"/>
    <w:rsid w:val="00DB1913"/>
    <w:rsid w:val="00DC410D"/>
    <w:rsid w:val="00DC4B63"/>
    <w:rsid w:val="00DC5A81"/>
    <w:rsid w:val="00DC68CA"/>
    <w:rsid w:val="00DC7CBA"/>
    <w:rsid w:val="00DD73B7"/>
    <w:rsid w:val="00DF06E2"/>
    <w:rsid w:val="00DF28BC"/>
    <w:rsid w:val="00DF34B9"/>
    <w:rsid w:val="00E00874"/>
    <w:rsid w:val="00E01053"/>
    <w:rsid w:val="00E07ACF"/>
    <w:rsid w:val="00E22135"/>
    <w:rsid w:val="00E331A1"/>
    <w:rsid w:val="00E33202"/>
    <w:rsid w:val="00E336A9"/>
    <w:rsid w:val="00E417E6"/>
    <w:rsid w:val="00E472B1"/>
    <w:rsid w:val="00E50624"/>
    <w:rsid w:val="00E5285B"/>
    <w:rsid w:val="00E568DF"/>
    <w:rsid w:val="00E64269"/>
    <w:rsid w:val="00E82267"/>
    <w:rsid w:val="00E853CE"/>
    <w:rsid w:val="00E867B6"/>
    <w:rsid w:val="00EA010F"/>
    <w:rsid w:val="00EB5E8B"/>
    <w:rsid w:val="00EC58F8"/>
    <w:rsid w:val="00ED1B63"/>
    <w:rsid w:val="00ED3A72"/>
    <w:rsid w:val="00ED3C1F"/>
    <w:rsid w:val="00ED4085"/>
    <w:rsid w:val="00ED420E"/>
    <w:rsid w:val="00ED6FBE"/>
    <w:rsid w:val="00EE2DA1"/>
    <w:rsid w:val="00EE2F57"/>
    <w:rsid w:val="00EF39C0"/>
    <w:rsid w:val="00EF4C34"/>
    <w:rsid w:val="00EF77C6"/>
    <w:rsid w:val="00F05438"/>
    <w:rsid w:val="00F11E21"/>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43DBC"/>
    <w:rsid w:val="015975B8"/>
    <w:rsid w:val="02135AF2"/>
    <w:rsid w:val="02143E91"/>
    <w:rsid w:val="03FC0C6B"/>
    <w:rsid w:val="04C42E92"/>
    <w:rsid w:val="066E0107"/>
    <w:rsid w:val="07996F6E"/>
    <w:rsid w:val="07B1124B"/>
    <w:rsid w:val="080F1D97"/>
    <w:rsid w:val="0A2032A3"/>
    <w:rsid w:val="0E46601A"/>
    <w:rsid w:val="0E783AA5"/>
    <w:rsid w:val="0E8145AA"/>
    <w:rsid w:val="0F1E7DD1"/>
    <w:rsid w:val="0F98263C"/>
    <w:rsid w:val="101860EC"/>
    <w:rsid w:val="107462EF"/>
    <w:rsid w:val="10C055FF"/>
    <w:rsid w:val="11017293"/>
    <w:rsid w:val="117C5DB9"/>
    <w:rsid w:val="118107EC"/>
    <w:rsid w:val="13712447"/>
    <w:rsid w:val="13D50BC4"/>
    <w:rsid w:val="13F254AB"/>
    <w:rsid w:val="142E6621"/>
    <w:rsid w:val="16175528"/>
    <w:rsid w:val="16BB723D"/>
    <w:rsid w:val="189664AC"/>
    <w:rsid w:val="19F16500"/>
    <w:rsid w:val="1AFE6CB6"/>
    <w:rsid w:val="1BE8440E"/>
    <w:rsid w:val="1C3A64A9"/>
    <w:rsid w:val="1C743678"/>
    <w:rsid w:val="1D155CEE"/>
    <w:rsid w:val="1DF91BFA"/>
    <w:rsid w:val="1EC7098C"/>
    <w:rsid w:val="1EF558EE"/>
    <w:rsid w:val="1F057687"/>
    <w:rsid w:val="1F5F1CED"/>
    <w:rsid w:val="1FF35744"/>
    <w:rsid w:val="200A13AF"/>
    <w:rsid w:val="205369C6"/>
    <w:rsid w:val="22550324"/>
    <w:rsid w:val="23860B96"/>
    <w:rsid w:val="240371BF"/>
    <w:rsid w:val="2602724B"/>
    <w:rsid w:val="28107B4C"/>
    <w:rsid w:val="28212EEF"/>
    <w:rsid w:val="28BC6745"/>
    <w:rsid w:val="28E05FD0"/>
    <w:rsid w:val="29FD04D3"/>
    <w:rsid w:val="2A942D2B"/>
    <w:rsid w:val="2B405858"/>
    <w:rsid w:val="2BAC59F1"/>
    <w:rsid w:val="2BD11B15"/>
    <w:rsid w:val="2C8A61B5"/>
    <w:rsid w:val="2CCC4E6D"/>
    <w:rsid w:val="2CF40CE2"/>
    <w:rsid w:val="2DF04E50"/>
    <w:rsid w:val="2F040D46"/>
    <w:rsid w:val="2FDB78DA"/>
    <w:rsid w:val="30FA36A9"/>
    <w:rsid w:val="319F7F4E"/>
    <w:rsid w:val="31A2062E"/>
    <w:rsid w:val="32861A61"/>
    <w:rsid w:val="3304709D"/>
    <w:rsid w:val="3347096A"/>
    <w:rsid w:val="33B96FA5"/>
    <w:rsid w:val="36446E17"/>
    <w:rsid w:val="367A22BB"/>
    <w:rsid w:val="36AA5135"/>
    <w:rsid w:val="376D39B2"/>
    <w:rsid w:val="37E16F03"/>
    <w:rsid w:val="37F708BD"/>
    <w:rsid w:val="38D469F0"/>
    <w:rsid w:val="393D49F6"/>
    <w:rsid w:val="3B616825"/>
    <w:rsid w:val="3D98207C"/>
    <w:rsid w:val="3E125F18"/>
    <w:rsid w:val="3E78745D"/>
    <w:rsid w:val="404E1296"/>
    <w:rsid w:val="40DC75AB"/>
    <w:rsid w:val="449F47B6"/>
    <w:rsid w:val="44E268DA"/>
    <w:rsid w:val="464B49FC"/>
    <w:rsid w:val="48382F58"/>
    <w:rsid w:val="484829BD"/>
    <w:rsid w:val="49B851A0"/>
    <w:rsid w:val="49D2773F"/>
    <w:rsid w:val="4A627F82"/>
    <w:rsid w:val="4A9B157C"/>
    <w:rsid w:val="4B0E749A"/>
    <w:rsid w:val="4B282C94"/>
    <w:rsid w:val="4B4F25DA"/>
    <w:rsid w:val="4BE068DB"/>
    <w:rsid w:val="4D577224"/>
    <w:rsid w:val="4D6463C0"/>
    <w:rsid w:val="4D843BFC"/>
    <w:rsid w:val="4DE73466"/>
    <w:rsid w:val="4E512E8A"/>
    <w:rsid w:val="4EAB630A"/>
    <w:rsid w:val="4ECE2238"/>
    <w:rsid w:val="500D387F"/>
    <w:rsid w:val="529176ED"/>
    <w:rsid w:val="53362753"/>
    <w:rsid w:val="536B3C2A"/>
    <w:rsid w:val="537E6D0A"/>
    <w:rsid w:val="569F23F4"/>
    <w:rsid w:val="579E7378"/>
    <w:rsid w:val="57D35BF9"/>
    <w:rsid w:val="59801CF8"/>
    <w:rsid w:val="59B03B40"/>
    <w:rsid w:val="5A1251D9"/>
    <w:rsid w:val="5A8B5893"/>
    <w:rsid w:val="5AF92295"/>
    <w:rsid w:val="5B73209E"/>
    <w:rsid w:val="5C7500A5"/>
    <w:rsid w:val="5CD71FC4"/>
    <w:rsid w:val="5D54237B"/>
    <w:rsid w:val="5DA84029"/>
    <w:rsid w:val="5E877025"/>
    <w:rsid w:val="5FD22B12"/>
    <w:rsid w:val="62307F97"/>
    <w:rsid w:val="62674BA2"/>
    <w:rsid w:val="64253012"/>
    <w:rsid w:val="65756224"/>
    <w:rsid w:val="6626268A"/>
    <w:rsid w:val="66353F35"/>
    <w:rsid w:val="66A44903"/>
    <w:rsid w:val="66F2420B"/>
    <w:rsid w:val="67D5211A"/>
    <w:rsid w:val="67EA0B10"/>
    <w:rsid w:val="687B329F"/>
    <w:rsid w:val="6AF06DE3"/>
    <w:rsid w:val="6B5D6FC7"/>
    <w:rsid w:val="6BB72547"/>
    <w:rsid w:val="6C4A05C8"/>
    <w:rsid w:val="6D8276B5"/>
    <w:rsid w:val="6DDB66BA"/>
    <w:rsid w:val="6E6F0A62"/>
    <w:rsid w:val="6E7E3605"/>
    <w:rsid w:val="6ECC02E6"/>
    <w:rsid w:val="6F0168AD"/>
    <w:rsid w:val="6F6873CF"/>
    <w:rsid w:val="6FF5CC65"/>
    <w:rsid w:val="702579B6"/>
    <w:rsid w:val="708A377D"/>
    <w:rsid w:val="715C0E4B"/>
    <w:rsid w:val="72734D90"/>
    <w:rsid w:val="73914EAE"/>
    <w:rsid w:val="73AD73D5"/>
    <w:rsid w:val="73B6EB34"/>
    <w:rsid w:val="73C545E9"/>
    <w:rsid w:val="744731E5"/>
    <w:rsid w:val="75041948"/>
    <w:rsid w:val="75096F5F"/>
    <w:rsid w:val="76E3355F"/>
    <w:rsid w:val="778769C8"/>
    <w:rsid w:val="79D16AC8"/>
    <w:rsid w:val="79EE5BA4"/>
    <w:rsid w:val="7A423C4F"/>
    <w:rsid w:val="7A593512"/>
    <w:rsid w:val="7A894339"/>
    <w:rsid w:val="7AA457D6"/>
    <w:rsid w:val="7C943EFA"/>
    <w:rsid w:val="7CE54755"/>
    <w:rsid w:val="7D8F021D"/>
    <w:rsid w:val="7D9341B1"/>
    <w:rsid w:val="7EEF11D3"/>
    <w:rsid w:val="7F0B39FE"/>
    <w:rsid w:val="7F683B2B"/>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1"/>
    <w:qFormat/>
    <w:uiPriority w:val="0"/>
    <w:rPr>
      <w:rFonts w:ascii="宋体" w:hAnsi="Courier New"/>
    </w:r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字符"/>
    <w:link w:val="5"/>
    <w:qFormat/>
    <w:locked/>
    <w:uiPriority w:val="99"/>
    <w:rPr>
      <w:rFonts w:ascii="仿宋_GB2312" w:hAnsi="Times New Roman" w:eastAsia="仿宋_GB2312"/>
      <w:sz w:val="24"/>
    </w:rPr>
  </w:style>
  <w:style w:type="paragraph" w:customStyle="1" w:styleId="2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6"/>
    <w:link w:val="2"/>
    <w:qFormat/>
    <w:uiPriority w:val="9"/>
    <w:rPr>
      <w:rFonts w:ascii="Times New Roman" w:hAnsi="Times New Roman"/>
      <w:b/>
      <w:bCs/>
      <w:kern w:val="44"/>
      <w:sz w:val="44"/>
      <w:szCs w:val="44"/>
    </w:rPr>
  </w:style>
  <w:style w:type="character" w:customStyle="1" w:styleId="30">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6"/>
    <w:link w:val="9"/>
    <w:semiHidden/>
    <w:qFormat/>
    <w:uiPriority w:val="99"/>
    <w:rPr>
      <w:rFonts w:ascii="Times New Roman" w:hAnsi="Times New Roman"/>
      <w:kern w:val="2"/>
      <w:sz w:val="18"/>
      <w:szCs w:val="18"/>
    </w:rPr>
  </w:style>
  <w:style w:type="character" w:customStyle="1" w:styleId="33">
    <w:name w:val="标题 3 字符"/>
    <w:basedOn w:val="16"/>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1">
    <w:name w:val="纯文本 字符"/>
    <w:basedOn w:val="16"/>
    <w:link w:val="8"/>
    <w:qFormat/>
    <w:uiPriority w:val="0"/>
    <w:rPr>
      <w:rFonts w:ascii="宋体" w:hAnsi="Courier New" w:eastAsia="宋体" w:cs="Times New Roman"/>
      <w:kern w:val="2"/>
      <w:sz w:val="21"/>
      <w:szCs w:val="24"/>
    </w:rPr>
  </w:style>
  <w:style w:type="paragraph" w:customStyle="1" w:styleId="5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3">
    <w:name w:val="fontstyle01"/>
    <w:basedOn w:val="16"/>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3&#20915;&#31639;&#20844;&#24320;\&#34920;&#26684;&#36716;&#22270;&#2441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3&#20915;&#31639;&#20844;&#24320;\&#34920;&#26684;&#36716;&#22270;&#2441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3&#20915;&#31639;&#20844;&#24320;\&#34920;&#26684;&#36716;&#22270;&#24418;.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3&#20915;&#31639;&#20844;&#24320;\&#34920;&#26684;&#36716;&#22270;&#24418;.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2023&#20915;&#31639;&#20844;&#24320;\&#34920;&#26684;&#36716;&#22270;&#24418;.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3&#20915;&#31639;&#20844;&#24320;\&#34920;&#26684;&#36716;&#22270;&#24418;.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3&#20915;&#31639;&#20844;&#24320;\&#34920;&#26684;&#36716;&#22270;&#24418;.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3&#20915;&#31639;&#20844;&#24320;\&#34920;&#26684;&#36716;&#22270;&#244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图一：收入支出决算总体情况图（单位：万元）</a:t>
            </a:r>
          </a:p>
        </c:rich>
      </c:tx>
      <c:layout>
        <c:manualLayout>
          <c:xMode val="edge"/>
          <c:yMode val="edge"/>
          <c:x val="0.0753947368421053"/>
          <c:y val="0.0138888888888889"/>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[表格转图形.xlsx]Sheet1!$A$2:$A$5</c:f>
              <c:strCache>
                <c:ptCount val="4"/>
                <c:pt idx="0">
                  <c:v>2022年收入</c:v>
                </c:pt>
                <c:pt idx="1">
                  <c:v>2023年收入</c:v>
                </c:pt>
                <c:pt idx="2">
                  <c:v>2022年支出</c:v>
                </c:pt>
                <c:pt idx="3">
                  <c:v>2023年支出</c:v>
                </c:pt>
              </c:strCache>
            </c:strRef>
          </c:cat>
          <c:val>
            <c:numRef>
              <c:f>[表格转图形.xlsx]Sheet1!$B$2:$B$5</c:f>
              <c:numCache>
                <c:formatCode>General</c:formatCode>
                <c:ptCount val="4"/>
                <c:pt idx="0">
                  <c:v>605.35</c:v>
                </c:pt>
                <c:pt idx="1">
                  <c:v>889.93</c:v>
                </c:pt>
                <c:pt idx="2">
                  <c:v>605.35</c:v>
                </c:pt>
                <c:pt idx="3">
                  <c:v>889.93</c:v>
                </c:pt>
              </c:numCache>
            </c:numRef>
          </c:val>
        </c:ser>
        <c:dLbls>
          <c:showLegendKey val="0"/>
          <c:showVal val="1"/>
          <c:showCatName val="0"/>
          <c:showSerName val="0"/>
          <c:showPercent val="0"/>
          <c:showBubbleSize val="0"/>
        </c:dLbls>
        <c:gapWidth val="246"/>
        <c:overlap val="-28"/>
        <c:axId val="198248778"/>
        <c:axId val="170355131"/>
      </c:barChart>
      <c:catAx>
        <c:axId val="1982487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355131"/>
        <c:crosses val="autoZero"/>
        <c:auto val="1"/>
        <c:lblAlgn val="ctr"/>
        <c:lblOffset val="100"/>
        <c:noMultiLvlLbl val="0"/>
      </c:catAx>
      <c:valAx>
        <c:axId val="17035513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2487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图二：收入决算情况说明（单位：万元）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2"/>
              <c:layout>
                <c:manualLayout>
                  <c:x val="0.0517092046343989"/>
                  <c:y val="0.00537387905015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[表格转图形.xlsx]Sheet1!$A$2:$A$4</c:f>
              <c:strCache>
                <c:ptCount val="3"/>
                <c:pt idx="0">
                  <c:v>一般公共预算财政拨款收入</c:v>
                </c:pt>
                <c:pt idx="1">
                  <c:v>政府性基金预算财政拨款收入</c:v>
                </c:pt>
                <c:pt idx="2">
                  <c:v>年初结转和结余</c:v>
                </c:pt>
              </c:strCache>
            </c:strRef>
          </c:cat>
          <c:val>
            <c:numRef>
              <c:f>[表格转图形.xlsx]Sheet1!$B$2:$B$4</c:f>
              <c:numCache>
                <c:formatCode>0.00_ </c:formatCode>
                <c:ptCount val="3"/>
                <c:pt idx="0">
                  <c:v>857.13</c:v>
                </c:pt>
                <c:pt idx="1">
                  <c:v>28.96</c:v>
                </c:pt>
                <c:pt idx="2">
                  <c:v>3.84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图三：支出决算情况说明图（单位：万元）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[表格转图形.xlsx]Sheet1!$A$2:$A$3</c:f>
              <c:strCache>
                <c:ptCount val="2"/>
                <c:pt idx="0" c:formatCode="@">
                  <c:v>基本支出</c:v>
                </c:pt>
                <c:pt idx="1" c:formatCode="@">
                  <c:v>项目支出</c:v>
                </c:pt>
              </c:strCache>
            </c:strRef>
          </c:cat>
          <c:val>
            <c:numRef>
              <c:f>[表格转图形.xlsx]Sheet1!$B$2:$B$3</c:f>
              <c:numCache>
                <c:formatCode>@</c:formatCode>
                <c:ptCount val="2"/>
                <c:pt idx="0">
                  <c:v>401.41</c:v>
                </c:pt>
                <c:pt idx="1">
                  <c:v>488.52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图四：财政拨款收入支出决算总体情况图（单位：万元）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[表格转图形.xlsx]Sheet1!$A$2:$A$5</c:f>
              <c:strCache>
                <c:ptCount val="4"/>
                <c:pt idx="0" c:formatCode="@">
                  <c:v>2022年财政拨款收入</c:v>
                </c:pt>
                <c:pt idx="1" c:formatCode="@">
                  <c:v>2023年财政拨款收入</c:v>
                </c:pt>
                <c:pt idx="2" c:formatCode="@">
                  <c:v>2022年财政拨款支出</c:v>
                </c:pt>
                <c:pt idx="3" c:formatCode="@">
                  <c:v>2023年财政拨款支出</c:v>
                </c:pt>
              </c:strCache>
            </c:strRef>
          </c:cat>
          <c:val>
            <c:numRef>
              <c:f>[表格转图形.xlsx]Sheet1!$B$2:$B$5</c:f>
              <c:numCache>
                <c:formatCode>General</c:formatCode>
                <c:ptCount val="4"/>
                <c:pt idx="0">
                  <c:v>605.35</c:v>
                </c:pt>
                <c:pt idx="1">
                  <c:v>889.93</c:v>
                </c:pt>
                <c:pt idx="2" c:formatCode="@">
                  <c:v>605.35</c:v>
                </c:pt>
                <c:pt idx="3" c:formatCode="@">
                  <c:v>889.93</c:v>
                </c:pt>
              </c:numCache>
            </c:numRef>
          </c:val>
        </c:ser>
        <c:dLbls>
          <c:showLegendKey val="0"/>
          <c:showVal val="1"/>
          <c:showCatName val="0"/>
          <c:showSerName val="0"/>
          <c:showPercent val="0"/>
          <c:showBubbleSize val="0"/>
        </c:dLbls>
        <c:gapWidth val="246"/>
        <c:overlap val="-28"/>
        <c:axId val="229048207"/>
        <c:axId val="632718899"/>
      </c:barChart>
      <c:catAx>
        <c:axId val="2290482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718899"/>
        <c:crosses val="autoZero"/>
        <c:auto val="1"/>
        <c:lblAlgn val="ctr"/>
        <c:lblOffset val="100"/>
        <c:noMultiLvlLbl val="0"/>
      </c:catAx>
      <c:valAx>
        <c:axId val="63271889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90482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图五：一般公共预算财政拨款支出决算总体情况图（单位：万元）</a:t>
            </a:r>
          </a:p>
        </c:rich>
      </c:tx>
      <c:layout>
        <c:manualLayout>
          <c:xMode val="edge"/>
          <c:yMode val="edge"/>
          <c:x val="0.108711643387996"/>
          <c:y val="0.00850822461712989"/>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[表格转图形.xlsx]Sheet1!$A$4:$A$5</c:f>
              <c:strCache>
                <c:ptCount val="2"/>
                <c:pt idx="0" c:formatCode="@">
                  <c:v>2022年一般公共预算财政拨款支出</c:v>
                </c:pt>
                <c:pt idx="1" c:formatCode="@">
                  <c:v>2023年一般公共预算财政拨款支出</c:v>
                </c:pt>
              </c:strCache>
            </c:strRef>
          </c:cat>
          <c:val>
            <c:numRef>
              <c:f>[表格转图形.xlsx]Sheet1!$B$4:$B$5</c:f>
              <c:numCache>
                <c:formatCode>General</c:formatCode>
                <c:ptCount val="2"/>
                <c:pt idx="0">
                  <c:v>560.12</c:v>
                </c:pt>
                <c:pt idx="1">
                  <c:v>857.13</c:v>
                </c:pt>
              </c:numCache>
            </c:numRef>
          </c:val>
        </c:ser>
        <c:dLbls>
          <c:showLegendKey val="0"/>
          <c:showVal val="1"/>
          <c:showCatName val="0"/>
          <c:showSerName val="0"/>
          <c:showPercent val="0"/>
          <c:showBubbleSize val="0"/>
        </c:dLbls>
        <c:gapWidth val="246"/>
        <c:overlap val="-28"/>
        <c:axId val="20185064"/>
        <c:axId val="249546652"/>
      </c:barChart>
      <c:catAx>
        <c:axId val="201850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9546652"/>
        <c:crosses val="autoZero"/>
        <c:auto val="1"/>
        <c:lblAlgn val="ctr"/>
        <c:lblOffset val="100"/>
        <c:noMultiLvlLbl val="0"/>
      </c:catAx>
      <c:valAx>
        <c:axId val="24954665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85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图六：一般公共预算财政拨款支出决算结构情况图（单位：万元）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2"/>
              <c:layout>
                <c:manualLayout>
                  <c:x val="-0.0318268088910659"/>
                  <c:y val="0.02608781103464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[表格转图形.xlsx]Sheet1!$A$4:$A$7</c:f>
              <c:strCache>
                <c:ptCount val="4"/>
                <c:pt idx="0">
                  <c:v>社会保障和就业支出</c:v>
                </c:pt>
                <c:pt idx="1">
                  <c:v>卫生健康支出</c:v>
                </c:pt>
                <c:pt idx="2">
                  <c:v>住房保障支出</c:v>
                </c:pt>
                <c:pt idx="3">
                  <c:v>其他支出</c:v>
                </c:pt>
              </c:strCache>
            </c:strRef>
          </c:cat>
          <c:val>
            <c:numRef>
              <c:f>[表格转图形.xlsx]Sheet1!$B$4:$B$7</c:f>
              <c:numCache>
                <c:formatCode>General</c:formatCode>
                <c:ptCount val="4"/>
                <c:pt idx="0">
                  <c:v>71.75</c:v>
                </c:pt>
                <c:pt idx="1">
                  <c:v>763.31</c:v>
                </c:pt>
                <c:pt idx="2">
                  <c:v>25.91</c:v>
                </c:pt>
                <c:pt idx="3">
                  <c:v>28.96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图七：一般公共预算财政拨款基本支出决算情况说明图（单位：万元）</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[表格转图形.xlsx]Sheet1!$A$4:$A$5</c:f>
              <c:strCache>
                <c:ptCount val="2"/>
                <c:pt idx="0">
                  <c:v>人员经费</c:v>
                </c:pt>
                <c:pt idx="1">
                  <c:v>公用经费</c:v>
                </c:pt>
              </c:strCache>
            </c:strRef>
          </c:cat>
          <c:val>
            <c:numRef>
              <c:f>[表格转图形.xlsx]Sheet1!$B$4:$B$5</c:f>
              <c:numCache>
                <c:formatCode>0.00_ </c:formatCode>
                <c:ptCount val="2"/>
                <c:pt idx="0">
                  <c:v>275.64</c:v>
                </c:pt>
                <c:pt idx="1">
                  <c:v>25.76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图八：政府性基金预算支出决算情况说明</a:t>
            </a:r>
            <a:r>
              <a:rPr lang="en-US" altLang="zh-CN"/>
              <a:t>          </a:t>
            </a:r>
            <a:r>
              <a:rPr altLang="en-US"/>
              <a:t>图（单位：万元）</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[表格转图形.xlsx]Sheet1!$A$4:$A$5</c:f>
              <c:strCache>
                <c:ptCount val="2"/>
                <c:pt idx="0">
                  <c:v>社会福利的彩票公益金支出</c:v>
                </c:pt>
                <c:pt idx="1">
                  <c:v>城乡医疗救助的彩票公益金支出</c:v>
                </c:pt>
              </c:strCache>
            </c:strRef>
          </c:cat>
          <c:val>
            <c:numRef>
              <c:f>[表格转图形.xlsx]Sheet1!$B$4:$B$5</c:f>
              <c:numCache>
                <c:formatCode>0.00_ </c:formatCode>
                <c:ptCount val="2"/>
                <c:pt idx="0">
                  <c:v>24.25</c:v>
                </c:pt>
                <c:pt idx="1">
                  <c:v>4.71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6161</Words>
  <Characters>6775</Characters>
  <Lines>201</Lines>
  <Paragraphs>56</Paragraphs>
  <TotalTime>6</TotalTime>
  <ScaleCrop>false</ScaleCrop>
  <LinksUpToDate>false</LinksUpToDate>
  <CharactersWithSpaces>6835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李佩莲</cp:lastModifiedBy>
  <cp:lastPrinted>2023-07-31T02:35:00Z</cp:lastPrinted>
  <dcterms:modified xsi:type="dcterms:W3CDTF">2024-10-25T11:37:37Z</dcterms:modified>
  <dc:title>四川省***</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4E2223DFD66B42FEAB13052DB7D458F3_13</vt:lpwstr>
  </property>
</Properties>
</file>