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Times New Roman" w:hAnsi="Times New Roman" w:eastAsia="方正小标宋简体" w:cs="Times New Roman"/>
          <w:szCs w:val="21"/>
        </w:rPr>
      </w:pPr>
      <w:bookmarkStart w:id="0" w:name="_Toc15306267"/>
    </w:p>
    <w:p>
      <w:pPr>
        <w:pStyle w:val="2"/>
        <w:spacing w:before="93"/>
        <w:rPr>
          <w:rFonts w:hint="default" w:ascii="Times New Roman" w:hAnsi="Times New Roman" w:cs="Times New Roman"/>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sz w:val="72"/>
          <w:szCs w:val="72"/>
        </w:rPr>
      </w:pPr>
      <w:bookmarkStart w:id="1" w:name="_Toc15396597"/>
      <w:bookmarkStart w:id="2" w:name="_Toc15377193"/>
      <w:bookmarkStart w:id="3" w:name="_Toc15377425"/>
      <w:bookmarkStart w:id="4" w:name="_Toc15378441"/>
      <w:bookmarkStart w:id="5" w:name="_Toc15396475"/>
      <w:r>
        <w:rPr>
          <w:rFonts w:hint="eastAsia" w:ascii="方正小标宋_GBK" w:hAnsi="方正小标宋_GBK" w:eastAsia="方正小标宋_GBK" w:cs="方正小标宋_GBK"/>
          <w:sz w:val="72"/>
          <w:szCs w:val="72"/>
        </w:rPr>
        <w:t>2023年度</w:t>
      </w:r>
      <w:bookmarkEnd w:id="1"/>
      <w:bookmarkEnd w:id="2"/>
      <w:bookmarkEnd w:id="3"/>
      <w:bookmarkEnd w:id="4"/>
      <w:bookmarkEnd w:id="5"/>
    </w:p>
    <w:p>
      <w:pPr>
        <w:adjustRightInd w:val="0"/>
        <w:snapToGrid w:val="0"/>
        <w:spacing w:line="360" w:lineRule="auto"/>
        <w:jc w:val="center"/>
        <w:outlineLvl w:val="0"/>
        <w:rPr>
          <w:rFonts w:hint="eastAsia" w:ascii="方正小标宋_GBK" w:hAnsi="方正小标宋_GBK" w:eastAsia="方正小标宋_GBK" w:cs="方正小标宋_GBK"/>
          <w:sz w:val="72"/>
          <w:szCs w:val="72"/>
        </w:rPr>
      </w:pPr>
      <w:bookmarkStart w:id="6" w:name="_Toc15396598"/>
      <w:bookmarkStart w:id="7" w:name="_Toc15378442"/>
      <w:bookmarkStart w:id="8" w:name="_Toc15377426"/>
      <w:bookmarkStart w:id="9" w:name="_Toc15377194"/>
      <w:bookmarkStart w:id="10" w:name="_Toc15396476"/>
      <w:r>
        <w:rPr>
          <w:rFonts w:hint="eastAsia" w:ascii="方正小标宋_GBK" w:hAnsi="方正小标宋_GBK" w:eastAsia="方正小标宋_GBK" w:cs="方正小标宋_GBK"/>
          <w:sz w:val="72"/>
          <w:szCs w:val="72"/>
        </w:rPr>
        <w:t>四川省</w:t>
      </w:r>
      <w:bookmarkEnd w:id="0"/>
      <w:bookmarkStart w:id="11" w:name="_Toc15306268"/>
      <w:r>
        <w:rPr>
          <w:rFonts w:hint="eastAsia" w:ascii="方正小标宋_GBK" w:hAnsi="方正小标宋_GBK" w:eastAsia="方正小标宋_GBK" w:cs="方正小标宋_GBK"/>
          <w:sz w:val="72"/>
          <w:szCs w:val="72"/>
        </w:rPr>
        <w:t>攀枝花市</w:t>
      </w: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eastAsia" w:ascii="方正小标宋_GBK" w:hAnsi="方正小标宋_GBK" w:eastAsia="方正小标宋_GBK" w:cs="方正小标宋_GBK"/>
          <w:sz w:val="72"/>
          <w:szCs w:val="72"/>
        </w:rPr>
        <w:t>西区财政局单位决算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sectPr>
          <w:headerReference r:id="rId3" w:type="default"/>
          <w:footerReference r:id="rId4" w:type="default"/>
          <w:pgSz w:w="11906" w:h="16838"/>
          <w:pgMar w:top="2098" w:right="1474" w:bottom="1984" w:left="1587" w:header="851" w:footer="1417" w:gutter="0"/>
          <w:pgNumType w:fmt="numberInDash" w:start="1"/>
          <w:cols w:space="0" w:num="1"/>
          <w:titlePg/>
          <w:docGrid w:type="lines" w:linePitch="312" w:charSpace="0"/>
        </w:sectPr>
      </w:pPr>
    </w:p>
    <w:p>
      <w:pPr>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目录</w:t>
      </w:r>
    </w:p>
    <w:p>
      <w:pPr>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黑体" w:cs="Times New Roman"/>
          <w:sz w:val="28"/>
          <w:szCs w:val="28"/>
        </w:rPr>
      </w:pPr>
    </w:p>
    <w:p>
      <w:pPr>
        <w:pStyle w:val="11"/>
        <w:pageBreakBefore w:val="0"/>
        <w:kinsoku/>
        <w:wordWrap/>
        <w:overflowPunct/>
        <w:topLinePunct w:val="0"/>
        <w:autoSpaceDE/>
        <w:autoSpaceDN/>
        <w:bidi w:val="0"/>
        <w:spacing w:before="0" w:line="60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公开时间：2024年10月25日</w:t>
      </w:r>
    </w:p>
    <w:p>
      <w:pPr>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rPr>
      </w:pPr>
    </w:p>
    <w:p>
      <w:pPr>
        <w:pStyle w:val="11"/>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第一部分 单位概况</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一、主要职责</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二、机构设置</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3</w:t>
      </w:r>
    </w:p>
    <w:p>
      <w:pPr>
        <w:pStyle w:val="11"/>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第二部分 2023年度单位决算情况说明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4</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一、收入支出决算总体情况说明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4</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二、收入决算情况说明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4</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三、支出决算情况说明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5</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四、财政拨款收入支出决算总体情况说明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5</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五、一般公共预算财政拨款支出决算情况说明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6</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六、一般公共预算财政拨款基本支出决算情况说明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8</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七、财政拨款“三公”经费支出决算情况说明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9</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八、政府性基金预算支出决算情况说明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10</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九、国有资本经营预算支出决算情况说明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11</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十、其他重要事项的情况说明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11</w:t>
      </w:r>
    </w:p>
    <w:p>
      <w:pPr>
        <w:pStyle w:val="11"/>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第三部分 名词解释</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13</w:t>
      </w:r>
    </w:p>
    <w:p>
      <w:pPr>
        <w:pStyle w:val="11"/>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第四部分 附件</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14</w:t>
      </w:r>
    </w:p>
    <w:p>
      <w:pPr>
        <w:pStyle w:val="11"/>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第五部分 附表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一、收入支出决算总表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二、收入决算表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三、支出决算表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四、财政拨款收入支出决算总表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五、财政拨款支出决算明细表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六、一般公共预算财政拨款支出决算表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七、一般公共预算财政拨款支出决算明细表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八、一般公共预算财政拨款基本支出决算明细表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九、一般公共预算财政拨款项目支出决算表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十、政府性基金预算财政拨款收入支出决算表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十一、国有资本经营预算财政拨款收入支出决算表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十二、国有资本经营预算财政拨款支出决算表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Style w:val="11"/>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cs="Times New Roman"/>
          <w:sz w:val="24"/>
        </w:rPr>
      </w:pPr>
      <w:r>
        <w:rPr>
          <w:rFonts w:hint="default" w:ascii="Times New Roman" w:hAnsi="Times New Roman" w:eastAsia="仿宋_GB2312" w:cs="Times New Roman"/>
          <w:sz w:val="24"/>
        </w:rPr>
        <w:t>十三、财政拨款“三公”经费支出决算表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17</w:t>
      </w:r>
    </w:p>
    <w:p>
      <w:pPr>
        <w:pageBreakBefore w:val="0"/>
        <w:widowControl/>
        <w:kinsoku/>
        <w:wordWrap/>
        <w:overflowPunct/>
        <w:topLinePunct w:val="0"/>
        <w:autoSpaceDE/>
        <w:autoSpaceDN/>
        <w:bidi w:val="0"/>
        <w:adjustRightInd w:val="0"/>
        <w:snapToGrid w:val="0"/>
        <w:spacing w:line="600" w:lineRule="exact"/>
        <w:ind w:firstLine="1320" w:firstLineChars="550"/>
        <w:jc w:val="left"/>
        <w:textAlignment w:val="auto"/>
        <w:rPr>
          <w:rFonts w:hint="default" w:ascii="Times New Roman" w:hAnsi="Times New Roman" w:eastAsia="仿宋" w:cs="Times New Roman"/>
          <w:sz w:val="24"/>
        </w:rPr>
      </w:pPr>
    </w:p>
    <w:p>
      <w:pPr>
        <w:pStyle w:val="3"/>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黑体" w:cs="Times New Roman"/>
          <w:b w:val="0"/>
        </w:rPr>
        <w:sectPr>
          <w:footerReference r:id="rId6" w:type="first"/>
          <w:footerReference r:id="rId5" w:type="default"/>
          <w:pgSz w:w="11906" w:h="16838"/>
          <w:pgMar w:top="2098" w:right="1474" w:bottom="1984" w:left="1587" w:header="851" w:footer="1417" w:gutter="0"/>
          <w:pgNumType w:fmt="numberInDash" w:start="1"/>
          <w:cols w:space="0" w:num="1"/>
          <w:docGrid w:type="lines" w:linePitch="312" w:charSpace="0"/>
        </w:sectPr>
      </w:pPr>
      <w:bookmarkStart w:id="12" w:name="_Toc15377196"/>
      <w:bookmarkStart w:id="13" w:name="_Toc15396599"/>
    </w:p>
    <w:p>
      <w:pPr>
        <w:pStyle w:val="3"/>
        <w:pageBreakBefore w:val="0"/>
        <w:kinsoku/>
        <w:wordWrap/>
        <w:overflowPunct/>
        <w:topLinePunct w:val="0"/>
        <w:autoSpaceDE/>
        <w:autoSpaceDN/>
        <w:bidi w:val="0"/>
        <w:adjustRightInd/>
        <w:snapToGrid/>
        <w:spacing w:before="0" w:after="0" w:line="600" w:lineRule="exact"/>
        <w:jc w:val="center"/>
        <w:textAlignment w:val="auto"/>
        <w:rPr>
          <w:rStyle w:val="27"/>
          <w:rFonts w:hint="default" w:ascii="Times New Roman" w:hAnsi="Times New Roman" w:eastAsia="黑体" w:cs="Times New Roman"/>
          <w:b/>
          <w:bCs w:val="0"/>
        </w:rPr>
      </w:pPr>
      <w:r>
        <w:rPr>
          <w:rFonts w:hint="default" w:ascii="Times New Roman" w:hAnsi="Times New Roman" w:eastAsia="黑体" w:cs="Times New Roman"/>
          <w:b w:val="0"/>
        </w:rPr>
        <w:t>第一部分 单位</w:t>
      </w:r>
      <w:r>
        <w:rPr>
          <w:rStyle w:val="27"/>
          <w:rFonts w:hint="default" w:ascii="Times New Roman" w:hAnsi="Times New Roman" w:eastAsia="黑体" w:cs="Times New Roman"/>
          <w:b w:val="0"/>
          <w:bCs w:val="0"/>
        </w:rPr>
        <w:t>概况</w:t>
      </w:r>
      <w:bookmarkEnd w:id="12"/>
      <w:bookmarkEnd w:id="13"/>
    </w:p>
    <w:p>
      <w:pPr>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p>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Style w:val="28"/>
          <w:rFonts w:hint="default" w:ascii="Times New Roman" w:hAnsi="Times New Roman" w:eastAsia="黑体" w:cs="Times New Roman"/>
          <w:b w:val="0"/>
          <w:bCs w:val="0"/>
        </w:rPr>
      </w:pPr>
      <w:bookmarkStart w:id="14" w:name="_Toc15396600"/>
      <w:bookmarkStart w:id="15" w:name="_Toc15377197"/>
      <w:r>
        <w:rPr>
          <w:rStyle w:val="28"/>
          <w:rFonts w:hint="default" w:ascii="Times New Roman" w:hAnsi="Times New Roman" w:eastAsia="黑体" w:cs="Times New Roman"/>
          <w:b w:val="0"/>
          <w:bCs w:val="0"/>
        </w:rPr>
        <w:t>一、主要职责</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2.贯彻执行财政、税收、财务、会计管理的法律法规和规章。负责组织起草地方性财政政策、规范性文件和制度并组织实施。按照管理权限管理全区税政事项。</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4.按分工负责政府非税收入管理。负责政府性基金管理，按规定管理行政事业性收费等其他非税收入。管理财政票据。贯彻执行彩票管理政策，制定彩票管理有关办法，监管彩票市场，按规定管理彩票资金。</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5.组织制定全区国库管理制度、国库集中收付制度，指导和监督国库业务，按规定开展国库现金管理工作。贯彻执行政府财务报告编制办法并组织实施。监督管理全区政府采购工作。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6.贯彻执行地方政府债务管理制度和政策，制定具体管理办法，编制地方政府债余额限额计划，统一管理政府外债，防范财政风险。</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9.负责审核并汇总编制全区社会保险基金预决算草案，会同有关部门拟订有关资金（基金）财务管理制度，承担社会保险基金财政监管工作。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10.负责办理和监督区级财政的经济发展支出、区级政府性投资项目的财政拨款，负责投资评审管理工作，参与拟订区级基建投资有关政策，制定基建财务管理制度。</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12.管理外国政府和国际金融机构贷（赠）款项目的有关业务，参与财经领域的国际交流与合作。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13.负责管理全区会计工作，监督和规范会计行为，组织实施国家统一的会计制度，指导社会审计。依法管理资产评估有关工作。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14.负责职责范围内的安全生产和职业健康、生态环境保护、审批服务便民化等工作。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15.完成区委和区政府交办的其他任务。</w:t>
      </w:r>
    </w:p>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rPr>
      </w:pPr>
      <w:r>
        <w:rPr>
          <w:rFonts w:hint="default" w:ascii="Times New Roman" w:hAnsi="Times New Roman" w:eastAsia="黑体" w:cs="Times New Roman"/>
          <w:b w:val="0"/>
        </w:rPr>
        <w:t>二、机构设置</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_GB2312" w:cs="Times New Roman"/>
          <w:b/>
          <w:bCs/>
          <w:sz w:val="32"/>
          <w:szCs w:val="32"/>
        </w:rPr>
        <w:t>攀枝花市西区财政局</w:t>
      </w:r>
      <w:r>
        <w:rPr>
          <w:rFonts w:hint="default" w:ascii="Times New Roman" w:hAnsi="Times New Roman" w:eastAsia="仿宋_GB2312" w:cs="Times New Roman"/>
          <w:b/>
          <w:sz w:val="32"/>
          <w:szCs w:val="32"/>
        </w:rPr>
        <w:t>（本级）</w:t>
      </w:r>
      <w:r>
        <w:rPr>
          <w:rFonts w:hint="default" w:ascii="Times New Roman" w:hAnsi="Times New Roman" w:eastAsia="仿宋_GB2312" w:cs="Times New Roman"/>
          <w:sz w:val="32"/>
          <w:szCs w:val="32"/>
        </w:rPr>
        <w:t>有内设职能股室7个，分别是办公室、预算股、国库股、行政政法和社保股、经济建设股、金融与债券债务资金管理股、国有资产办公室。</w:t>
      </w:r>
      <w:bookmarkEnd w:id="14"/>
      <w:bookmarkEnd w:id="15"/>
      <w:r>
        <w:rPr>
          <w:rFonts w:hint="default" w:ascii="Times New Roman" w:hAnsi="Times New Roman" w:eastAsia="仿宋" w:cs="Times New Roman"/>
          <w:sz w:val="32"/>
          <w:szCs w:val="32"/>
        </w:rPr>
        <w:br w:type="page"/>
      </w:r>
    </w:p>
    <w:p>
      <w:pPr>
        <w:pStyle w:val="3"/>
        <w:pageBreakBefore w:val="0"/>
        <w:widowControl w:val="0"/>
        <w:kinsoku/>
        <w:wordWrap/>
        <w:overflowPunct/>
        <w:topLinePunct w:val="0"/>
        <w:autoSpaceDE/>
        <w:autoSpaceDN/>
        <w:bidi w:val="0"/>
        <w:adjustRightInd/>
        <w:snapToGrid/>
        <w:spacing w:before="0" w:after="0" w:line="600" w:lineRule="exact"/>
        <w:ind w:right="25" w:rightChars="0"/>
        <w:jc w:val="center"/>
        <w:textAlignment w:val="auto"/>
        <w:rPr>
          <w:rStyle w:val="27"/>
          <w:rFonts w:hint="default" w:ascii="Times New Roman" w:hAnsi="Times New Roman" w:eastAsia="黑体" w:cs="Times New Roman"/>
          <w:b w:val="0"/>
          <w:bCs/>
        </w:rPr>
      </w:pPr>
      <w:bookmarkStart w:id="16" w:name="_Toc15396602"/>
      <w:bookmarkStart w:id="17" w:name="_Toc15377204"/>
      <w:r>
        <w:rPr>
          <w:rFonts w:hint="eastAsia" w:ascii="方正小标宋_GBK" w:hAnsi="方正小标宋_GBK" w:eastAsia="方正小标宋_GBK" w:cs="方正小标宋_GBK"/>
          <w:b w:val="0"/>
        </w:rPr>
        <w:t>第二部分</w:t>
      </w:r>
      <w:r>
        <w:rPr>
          <w:rFonts w:hint="eastAsia" w:ascii="方正小标宋_GBK" w:hAnsi="方正小标宋_GBK" w:eastAsia="方正小标宋_GBK" w:cs="方正小标宋_GBK"/>
          <w:b w:val="0"/>
          <w:lang w:val="en-US" w:eastAsia="zh-CN"/>
        </w:rPr>
        <w:t xml:space="preserve"> </w:t>
      </w:r>
      <w:r>
        <w:rPr>
          <w:rFonts w:hint="eastAsia" w:ascii="方正小标宋_GBK" w:hAnsi="方正小标宋_GBK" w:eastAsia="方正小标宋_GBK" w:cs="方正小标宋_GBK"/>
          <w:b w:val="0"/>
        </w:rPr>
        <w:t xml:space="preserve"> 2023年度</w:t>
      </w:r>
      <w:r>
        <w:rPr>
          <w:rStyle w:val="27"/>
          <w:rFonts w:hint="eastAsia" w:ascii="方正小标宋_GBK" w:hAnsi="方正小标宋_GBK" w:eastAsia="方正小标宋_GBK" w:cs="方正小标宋_GBK"/>
          <w:b w:val="0"/>
          <w:bCs/>
        </w:rPr>
        <w:t>单位决算情况说明</w:t>
      </w:r>
      <w:bookmarkEnd w:id="16"/>
      <w:bookmarkEnd w:id="17"/>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26"/>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1"/>
        <w:rPr>
          <w:rStyle w:val="28"/>
          <w:rFonts w:hint="default" w:ascii="Times New Roman" w:hAnsi="Times New Roman" w:eastAsia="黑体" w:cs="Times New Roman"/>
          <w:b w:val="0"/>
        </w:rPr>
      </w:pPr>
      <w:bookmarkStart w:id="18" w:name="_Toc15377205"/>
      <w:bookmarkStart w:id="19" w:name="_Toc15396603"/>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rPr>
        <w:t>入支出决算总体情况说明</w:t>
      </w:r>
      <w:bookmarkEnd w:id="18"/>
      <w:bookmarkEnd w:id="1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2023年度收、支总计均为</w:t>
      </w:r>
      <w:r>
        <w:rPr>
          <w:rFonts w:hint="default" w:ascii="Times New Roman" w:hAnsi="Times New Roman" w:eastAsia="仿宋_GB2312" w:cs="Times New Roman"/>
          <w:b/>
          <w:bCs/>
          <w:sz w:val="32"/>
          <w:szCs w:val="32"/>
        </w:rPr>
        <w:t>4,624.49</w:t>
      </w:r>
      <w:r>
        <w:rPr>
          <w:rFonts w:hint="default" w:ascii="Times New Roman" w:hAnsi="Times New Roman" w:eastAsia="仿宋_GB2312" w:cs="Times New Roman"/>
          <w:sz w:val="32"/>
          <w:szCs w:val="32"/>
        </w:rPr>
        <w:t>万元。与2022年度相比，收、支总计各增加</w:t>
      </w:r>
      <w:r>
        <w:rPr>
          <w:rFonts w:hint="default" w:ascii="Times New Roman" w:hAnsi="Times New Roman" w:eastAsia="仿宋_GB2312" w:cs="Times New Roman"/>
          <w:b/>
          <w:bCs/>
          <w:sz w:val="32"/>
          <w:szCs w:val="32"/>
        </w:rPr>
        <w:t>4,019.35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b/>
          <w:bCs/>
          <w:sz w:val="32"/>
          <w:szCs w:val="32"/>
        </w:rPr>
        <w:t>664.20%</w:t>
      </w:r>
      <w:r>
        <w:rPr>
          <w:rFonts w:hint="default" w:ascii="Times New Roman" w:hAnsi="Times New Roman" w:eastAsia="仿宋_GB2312" w:cs="Times New Roman"/>
          <w:sz w:val="32"/>
          <w:szCs w:val="32"/>
        </w:rPr>
        <w:t>。主要变动原因是注入区属国有企业注册资本金4000万元，经费收、支随之增加。</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（图1：收、支决算总计变动情况图）</w:t>
      </w:r>
    </w:p>
    <w:p>
      <w:pPr>
        <w:pStyle w:val="2"/>
        <w:spacing w:before="93"/>
        <w:rPr>
          <w:rFonts w:hint="default" w:ascii="Times New Roman" w:hAnsi="Times New Roman" w:cs="Times New Roman"/>
          <w:sz w:val="32"/>
          <w:szCs w:val="32"/>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4596130" cy="222504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96130" cy="2225040"/>
                    </a:xfrm>
                    <a:prstGeom prst="rect">
                      <a:avLst/>
                    </a:prstGeom>
                    <a:noFill/>
                    <a:ln>
                      <a:noFill/>
                    </a:ln>
                  </pic:spPr>
                </pic:pic>
              </a:graphicData>
            </a:graphic>
          </wp:inline>
        </w:drawing>
      </w:r>
    </w:p>
    <w:p>
      <w:pPr>
        <w:pStyle w:val="26"/>
        <w:numPr>
          <w:ilvl w:val="0"/>
          <w:numId w:val="0"/>
        </w:numPr>
        <w:spacing w:line="600" w:lineRule="exact"/>
        <w:ind w:left="640" w:leftChars="0"/>
        <w:outlineLvl w:val="1"/>
        <w:rPr>
          <w:rStyle w:val="28"/>
          <w:rFonts w:hint="default" w:ascii="Times New Roman" w:hAnsi="Times New Roman" w:eastAsia="黑体" w:cs="Times New Roman"/>
          <w:b w:val="0"/>
          <w:sz w:val="32"/>
          <w:szCs w:val="32"/>
        </w:rPr>
      </w:pPr>
      <w:bookmarkStart w:id="20" w:name="_Toc15377206"/>
      <w:bookmarkStart w:id="21" w:name="_Toc15396604"/>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sz w:val="32"/>
          <w:szCs w:val="32"/>
        </w:rPr>
        <w:t>入决算情况说明</w:t>
      </w:r>
      <w:bookmarkEnd w:id="20"/>
      <w:bookmarkEnd w:id="21"/>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2023年度本年收入合计</w:t>
      </w:r>
      <w:r>
        <w:rPr>
          <w:rFonts w:hint="default" w:ascii="Times New Roman" w:hAnsi="Times New Roman" w:eastAsia="仿宋_GB2312" w:cs="Times New Roman"/>
          <w:b/>
          <w:bCs/>
          <w:sz w:val="32"/>
          <w:szCs w:val="32"/>
        </w:rPr>
        <w:t>270.27</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b/>
          <w:bCs/>
          <w:sz w:val="32"/>
          <w:szCs w:val="32"/>
        </w:rPr>
        <w:t>241.77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bCs/>
          <w:sz w:val="32"/>
          <w:szCs w:val="32"/>
        </w:rPr>
        <w:t>89.45%</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b/>
          <w:bCs/>
          <w:sz w:val="32"/>
          <w:szCs w:val="32"/>
        </w:rPr>
        <w:t>28.48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bCs/>
          <w:sz w:val="32"/>
          <w:szCs w:val="32"/>
        </w:rPr>
        <w:t>10.54</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b/>
          <w:bCs/>
          <w:sz w:val="32"/>
          <w:szCs w:val="32"/>
        </w:rPr>
        <w:t>0.02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bCs/>
          <w:sz w:val="32"/>
          <w:szCs w:val="32"/>
        </w:rPr>
        <w:t>0.01%</w:t>
      </w:r>
      <w:r>
        <w:rPr>
          <w:rFonts w:hint="default" w:ascii="Times New Roman" w:hAnsi="Times New Roman" w:eastAsia="仿宋_GB2312" w:cs="Times New Roman"/>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（图2：收入决算结构图）</w:t>
      </w:r>
    </w:p>
    <w:p>
      <w:pPr>
        <w:pStyle w:val="2"/>
        <w:spacing w:before="93"/>
        <w:rPr>
          <w:rFonts w:hint="default" w:ascii="Times New Roman" w:hAnsi="Times New Roman" w:cs="Times New Roman"/>
          <w:sz w:val="32"/>
          <w:szCs w:val="32"/>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4596130" cy="2212975"/>
            <wp:effectExtent l="0" t="0" r="635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596130" cy="2212975"/>
                    </a:xfrm>
                    <a:prstGeom prst="rect">
                      <a:avLst/>
                    </a:prstGeom>
                    <a:noFill/>
                    <a:ln>
                      <a:noFill/>
                    </a:ln>
                  </pic:spPr>
                </pic:pic>
              </a:graphicData>
            </a:graphic>
          </wp:inline>
        </w:drawing>
      </w:r>
    </w:p>
    <w:p>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1"/>
        <w:rPr>
          <w:rStyle w:val="28"/>
          <w:rFonts w:hint="eastAsia" w:ascii="仿宋_GB2312" w:hAnsi="仿宋_GB2312" w:eastAsia="仿宋_GB2312" w:cs="仿宋_GB2312"/>
          <w:b w:val="0"/>
        </w:rPr>
      </w:pPr>
      <w:bookmarkStart w:id="22" w:name="_Toc15396605"/>
      <w:bookmarkStart w:id="23" w:name="_Toc15377207"/>
      <w:r>
        <w:rPr>
          <w:rFonts w:hint="eastAsia" w:ascii="黑体" w:hAnsi="黑体" w:eastAsia="黑体" w:cs="黑体"/>
          <w:sz w:val="32"/>
          <w:szCs w:val="32"/>
          <w:lang w:val="en-US" w:eastAsia="zh-CN"/>
        </w:rPr>
        <w:t>三、</w:t>
      </w:r>
      <w:r>
        <w:rPr>
          <w:rFonts w:hint="eastAsia" w:ascii="黑体" w:hAnsi="黑体" w:eastAsia="黑体" w:cs="黑体"/>
          <w:sz w:val="32"/>
          <w:szCs w:val="32"/>
        </w:rPr>
        <w:t>支</w:t>
      </w:r>
      <w:r>
        <w:rPr>
          <w:rStyle w:val="28"/>
          <w:rFonts w:hint="eastAsia" w:ascii="黑体" w:hAnsi="黑体" w:eastAsia="黑体" w:cs="黑体"/>
          <w:b w:val="0"/>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2023年度本年支出合计</w:t>
      </w:r>
      <w:r>
        <w:rPr>
          <w:rFonts w:hint="default" w:ascii="Times New Roman" w:hAnsi="Times New Roman" w:eastAsia="仿宋_GB2312" w:cs="Times New Roman"/>
          <w:b/>
          <w:bCs/>
          <w:sz w:val="32"/>
          <w:szCs w:val="32"/>
        </w:rPr>
        <w:t>4,624.32</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b/>
          <w:bCs/>
          <w:sz w:val="32"/>
          <w:szCs w:val="32"/>
        </w:rPr>
        <w:t>433.31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bCs/>
          <w:sz w:val="32"/>
          <w:szCs w:val="32"/>
        </w:rPr>
        <w:t>9.37%</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b/>
          <w:bCs/>
          <w:sz w:val="32"/>
          <w:szCs w:val="32"/>
        </w:rPr>
        <w:t>4,191.01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bCs/>
          <w:sz w:val="32"/>
          <w:szCs w:val="32"/>
        </w:rPr>
        <w:t>90.63%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w:t>
      </w:r>
    </w:p>
    <w:p>
      <w:pPr>
        <w:pStyle w:val="2"/>
        <w:spacing w:before="93"/>
        <w:rPr>
          <w:rFonts w:hint="default" w:ascii="Times New Roman" w:hAnsi="Times New Roman" w:cs="Times New Roman"/>
          <w:sz w:val="32"/>
          <w:szCs w:val="32"/>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4596130" cy="2206625"/>
            <wp:effectExtent l="0" t="0" r="635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596130" cy="2206625"/>
                    </a:xfrm>
                    <a:prstGeom prst="rect">
                      <a:avLst/>
                    </a:prstGeom>
                    <a:noFill/>
                    <a:ln>
                      <a:noFill/>
                    </a:ln>
                  </pic:spPr>
                </pic:pic>
              </a:graphicData>
            </a:graphic>
          </wp:inline>
        </w:drawing>
      </w:r>
    </w:p>
    <w:p>
      <w:pPr>
        <w:spacing w:line="600" w:lineRule="exact"/>
        <w:ind w:firstLine="640" w:firstLineChars="200"/>
        <w:outlineLvl w:val="1"/>
        <w:rPr>
          <w:rStyle w:val="28"/>
          <w:rFonts w:hint="default" w:ascii="Times New Roman" w:hAnsi="Times New Roman" w:eastAsia="黑体" w:cs="Times New Roman"/>
          <w:b w:val="0"/>
        </w:rPr>
      </w:pPr>
      <w:bookmarkStart w:id="24" w:name="_Toc15396606"/>
      <w:bookmarkStart w:id="25" w:name="_Toc15377208"/>
      <w:r>
        <w:rPr>
          <w:rFonts w:hint="default" w:ascii="Times New Roman" w:hAnsi="Times New Roman" w:eastAsia="黑体" w:cs="Times New Roman"/>
          <w:sz w:val="32"/>
          <w:szCs w:val="32"/>
        </w:rPr>
        <w:t>四、财</w:t>
      </w:r>
      <w:r>
        <w:rPr>
          <w:rStyle w:val="28"/>
          <w:rFonts w:hint="default" w:ascii="Times New Roman" w:hAnsi="Times New Roman" w:eastAsia="黑体" w:cs="Times New Roman"/>
          <w:b w:val="0"/>
        </w:rPr>
        <w:t>政拨款收入支出决算总体情况说明</w:t>
      </w:r>
      <w:bookmarkEnd w:id="24"/>
      <w:bookmarkEnd w:id="25"/>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2023年度财政拨款收、支总计均为</w:t>
      </w:r>
      <w:r>
        <w:rPr>
          <w:rFonts w:hint="default" w:ascii="Times New Roman" w:hAnsi="Times New Roman" w:eastAsia="仿宋" w:cs="Times New Roman"/>
          <w:b/>
          <w:bCs/>
          <w:sz w:val="32"/>
          <w:szCs w:val="32"/>
        </w:rPr>
        <w:t>4,624.31</w:t>
      </w:r>
      <w:r>
        <w:rPr>
          <w:rFonts w:hint="default" w:ascii="Times New Roman" w:hAnsi="Times New Roman" w:eastAsia="仿宋" w:cs="Times New Roman"/>
          <w:sz w:val="32"/>
          <w:szCs w:val="32"/>
        </w:rPr>
        <w:t>万元。与2022年度相比，财政拨款收、支总计各增加</w:t>
      </w:r>
      <w:r>
        <w:rPr>
          <w:rFonts w:hint="default" w:ascii="Times New Roman" w:hAnsi="Times New Roman" w:eastAsia="仿宋" w:cs="Times New Roman"/>
          <w:b/>
          <w:bCs/>
          <w:sz w:val="32"/>
          <w:szCs w:val="32"/>
        </w:rPr>
        <w:t>4,019.33</w:t>
      </w:r>
      <w:r>
        <w:rPr>
          <w:rFonts w:hint="default" w:ascii="Times New Roman" w:hAnsi="Times New Roman" w:eastAsia="仿宋" w:cs="Times New Roman"/>
          <w:sz w:val="32"/>
          <w:szCs w:val="32"/>
        </w:rPr>
        <w:t>万元，增长</w:t>
      </w:r>
      <w:r>
        <w:rPr>
          <w:rFonts w:hint="default" w:ascii="Times New Roman" w:hAnsi="Times New Roman" w:eastAsia="仿宋" w:cs="Times New Roman"/>
          <w:b/>
          <w:bCs/>
          <w:sz w:val="32"/>
          <w:szCs w:val="32"/>
        </w:rPr>
        <w:t>664.37%</w:t>
      </w:r>
      <w:r>
        <w:rPr>
          <w:rFonts w:hint="default" w:ascii="Times New Roman" w:hAnsi="Times New Roman" w:eastAsia="仿宋" w:cs="Times New Roman"/>
          <w:sz w:val="32"/>
          <w:szCs w:val="32"/>
        </w:rPr>
        <w:t>。主要变动原因是注入区属国有企业注册资本金4000万元，经费收、支随之增加。</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w:t>
      </w:r>
    </w:p>
    <w:p>
      <w:pPr>
        <w:pStyle w:val="2"/>
        <w:spacing w:before="93"/>
        <w:rPr>
          <w:rFonts w:hint="default" w:ascii="Times New Roman" w:hAnsi="Times New Roman" w:eastAsia="仿宋" w:cs="Times New Roman"/>
          <w:b/>
          <w:sz w:val="32"/>
          <w:szCs w:val="32"/>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4590415" cy="2206625"/>
            <wp:effectExtent l="0" t="0" r="1206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4590415" cy="2206625"/>
                    </a:xfrm>
                    <a:prstGeom prst="rect">
                      <a:avLst/>
                    </a:prstGeom>
                    <a:noFill/>
                    <a:ln>
                      <a:noFill/>
                    </a:ln>
                  </pic:spPr>
                </pic:pic>
              </a:graphicData>
            </a:graphic>
          </wp:inline>
        </w:drawing>
      </w:r>
    </w:p>
    <w:p>
      <w:pPr>
        <w:spacing w:line="600" w:lineRule="exact"/>
        <w:ind w:firstLine="640" w:firstLineChars="200"/>
        <w:outlineLvl w:val="1"/>
        <w:rPr>
          <w:rStyle w:val="28"/>
          <w:rFonts w:hint="default" w:ascii="Times New Roman" w:hAnsi="Times New Roman" w:eastAsia="黑体" w:cs="Times New Roman"/>
          <w:b w:val="0"/>
        </w:rPr>
      </w:pPr>
      <w:bookmarkStart w:id="26" w:name="_Toc15377209"/>
      <w:bookmarkStart w:id="27"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般公共预算财政拨款支出决算情况说明</w:t>
      </w:r>
      <w:bookmarkEnd w:id="26"/>
      <w:bookmarkEnd w:id="27"/>
    </w:p>
    <w:p>
      <w:pPr>
        <w:spacing w:line="600" w:lineRule="exact"/>
        <w:ind w:firstLine="640" w:firstLineChars="200"/>
        <w:outlineLvl w:val="2"/>
        <w:rPr>
          <w:rFonts w:hint="default" w:ascii="Times New Roman" w:hAnsi="Times New Roman" w:eastAsia="楷体_GB2312" w:cs="Times New Roman"/>
          <w:b w:val="0"/>
          <w:bCs/>
          <w:sz w:val="32"/>
          <w:szCs w:val="32"/>
        </w:rPr>
      </w:pPr>
      <w:bookmarkStart w:id="28" w:name="_Toc15377210"/>
      <w:r>
        <w:rPr>
          <w:rFonts w:hint="default" w:ascii="Times New Roman" w:hAnsi="Times New Roman" w:eastAsia="楷体_GB2312" w:cs="Times New Roman"/>
          <w:b w:val="0"/>
          <w:bCs/>
          <w:sz w:val="32"/>
          <w:szCs w:val="32"/>
        </w:rPr>
        <w:t>（一）一般公共预算财政拨款支出决算总体情况</w:t>
      </w:r>
      <w:bookmarkEnd w:id="28"/>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2023年度一般公共预算财政拨款支出</w:t>
      </w:r>
      <w:r>
        <w:rPr>
          <w:rFonts w:hint="default" w:ascii="Times New Roman" w:hAnsi="Times New Roman" w:eastAsia="仿宋_GB2312" w:cs="Times New Roman"/>
          <w:b/>
          <w:bCs/>
          <w:sz w:val="32"/>
          <w:szCs w:val="32"/>
        </w:rPr>
        <w:t>4,553.38</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b/>
          <w:bCs/>
          <w:sz w:val="32"/>
          <w:szCs w:val="32"/>
        </w:rPr>
        <w:t>98.47%</w:t>
      </w:r>
      <w:r>
        <w:rPr>
          <w:rFonts w:hint="default" w:ascii="Times New Roman" w:hAnsi="Times New Roman" w:eastAsia="仿宋_GB2312" w:cs="Times New Roman"/>
          <w:sz w:val="32"/>
          <w:szCs w:val="32"/>
        </w:rPr>
        <w:t>。与2022年度相比，一般公共预算财政拨款支出增加</w:t>
      </w:r>
      <w:r>
        <w:rPr>
          <w:rFonts w:hint="default" w:ascii="Times New Roman" w:hAnsi="Times New Roman" w:eastAsia="仿宋_GB2312" w:cs="Times New Roman"/>
          <w:b/>
          <w:bCs/>
          <w:sz w:val="32"/>
          <w:szCs w:val="32"/>
        </w:rPr>
        <w:t>4,033.27</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b/>
          <w:bCs/>
          <w:sz w:val="32"/>
          <w:szCs w:val="32"/>
        </w:rPr>
        <w:t>775.46%</w:t>
      </w:r>
      <w:r>
        <w:rPr>
          <w:rFonts w:hint="default" w:ascii="Times New Roman" w:hAnsi="Times New Roman" w:eastAsia="仿宋_GB2312" w:cs="Times New Roman"/>
          <w:sz w:val="32"/>
          <w:szCs w:val="32"/>
        </w:rPr>
        <w:t>。主要变动原因是注入区属国有企业注册资本金4000万元，经费收、支随之增加。</w:t>
      </w:r>
    </w:p>
    <w:p>
      <w:pPr>
        <w:spacing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（图5：一般公共预算财政拨款支出决算变动情况）</w:t>
      </w:r>
    </w:p>
    <w:p>
      <w:pPr>
        <w:pStyle w:val="2"/>
        <w:spacing w:before="93"/>
        <w:rPr>
          <w:rFonts w:hint="default" w:ascii="Times New Roman" w:hAnsi="Times New Roman" w:eastAsia="仿宋" w:cs="Times New Roman"/>
          <w:sz w:val="32"/>
          <w:szCs w:val="32"/>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4596130" cy="2099945"/>
            <wp:effectExtent l="0" t="0" r="254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4596130" cy="2099945"/>
                    </a:xfrm>
                    <a:prstGeom prst="rect">
                      <a:avLst/>
                    </a:prstGeom>
                    <a:noFill/>
                    <a:ln>
                      <a:noFill/>
                    </a:ln>
                  </pic:spPr>
                </pic:pic>
              </a:graphicData>
            </a:graphic>
          </wp:inline>
        </w:drawing>
      </w:r>
    </w:p>
    <w:p>
      <w:pPr>
        <w:spacing w:line="600" w:lineRule="exact"/>
        <w:ind w:firstLine="640" w:firstLineChars="200"/>
        <w:outlineLvl w:val="2"/>
        <w:rPr>
          <w:rFonts w:hint="eastAsia" w:ascii="楷体_GB2312" w:hAnsi="楷体_GB2312" w:eastAsia="楷体_GB2312" w:cs="楷体_GB2312"/>
          <w:b w:val="0"/>
          <w:bCs/>
          <w:sz w:val="32"/>
          <w:szCs w:val="32"/>
        </w:rPr>
      </w:pPr>
      <w:bookmarkStart w:id="29" w:name="_Toc15377211"/>
      <w:r>
        <w:rPr>
          <w:rFonts w:hint="eastAsia" w:ascii="楷体_GB2312" w:hAnsi="楷体_GB2312" w:eastAsia="楷体_GB2312" w:cs="楷体_GB2312"/>
          <w:b w:val="0"/>
          <w:bCs/>
          <w:sz w:val="32"/>
          <w:szCs w:val="32"/>
        </w:rPr>
        <w:t>（二）一般公共预算财政拨款支出决算结构情况</w:t>
      </w:r>
      <w:bookmarkEnd w:id="29"/>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2023年度一般公共预算财政拨款支出4,553.38万元，</w:t>
      </w:r>
      <w:r>
        <w:rPr>
          <w:rFonts w:hint="default" w:ascii="Times New Roman" w:hAnsi="Times New Roman" w:eastAsia="仿宋_GB2312" w:cs="Times New Roman"/>
          <w:sz w:val="32"/>
          <w:szCs w:val="32"/>
        </w:rPr>
        <w:t>主要用于以下方面:</w:t>
      </w:r>
      <w:r>
        <w:rPr>
          <w:rFonts w:hint="default" w:ascii="Times New Roman" w:hAnsi="Times New Roman" w:eastAsia="仿宋_GB2312" w:cs="Times New Roman"/>
          <w:b/>
          <w:sz w:val="32"/>
          <w:szCs w:val="32"/>
        </w:rPr>
        <w:t>一般公共服务</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rPr>
        <w:t>4279.55万元，占93.99%；</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rPr>
        <w:t>240.50万元，占5.28%；</w:t>
      </w:r>
      <w:r>
        <w:rPr>
          <w:rFonts w:hint="default" w:ascii="Times New Roman" w:hAnsi="Times New Roman" w:eastAsia="仿宋_GB2312" w:cs="Times New Roman"/>
          <w:b/>
          <w:bCs/>
          <w:sz w:val="32"/>
          <w:szCs w:val="32"/>
        </w:rPr>
        <w:t>卫生健康支出</w:t>
      </w:r>
      <w:r>
        <w:rPr>
          <w:rFonts w:hint="default" w:ascii="Times New Roman" w:hAnsi="Times New Roman" w:eastAsia="仿宋_GB2312" w:cs="Times New Roman"/>
          <w:sz w:val="32"/>
          <w:szCs w:val="32"/>
        </w:rPr>
        <w:t>18.14万元，占0.40%；</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sz w:val="32"/>
          <w:szCs w:val="32"/>
        </w:rPr>
        <w:t>15.19万元，占0.33%。</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w:t>
      </w:r>
    </w:p>
    <w:p>
      <w:pPr>
        <w:pStyle w:val="2"/>
        <w:spacing w:before="93"/>
        <w:rPr>
          <w:rFonts w:hint="default" w:ascii="Times New Roman" w:hAnsi="Times New Roman" w:eastAsia="仿宋" w:cs="Times New Roman"/>
          <w:sz w:val="32"/>
          <w:szCs w:val="32"/>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4590415" cy="2225040"/>
            <wp:effectExtent l="0" t="0" r="1206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4590415" cy="2225040"/>
                    </a:xfrm>
                    <a:prstGeom prst="rect">
                      <a:avLst/>
                    </a:prstGeom>
                    <a:noFill/>
                    <a:ln>
                      <a:noFill/>
                    </a:ln>
                  </pic:spPr>
                </pic:pic>
              </a:graphicData>
            </a:graphic>
          </wp:inline>
        </w:drawing>
      </w:r>
    </w:p>
    <w:p>
      <w:pPr>
        <w:spacing w:line="600" w:lineRule="exact"/>
        <w:ind w:firstLine="640" w:firstLineChars="200"/>
        <w:outlineLvl w:val="2"/>
        <w:rPr>
          <w:rFonts w:hint="default" w:ascii="Times New Roman" w:hAnsi="Times New Roman" w:eastAsia="楷体_GB2312" w:cs="Times New Roman"/>
          <w:b w:val="0"/>
          <w:bCs/>
          <w:sz w:val="32"/>
          <w:szCs w:val="32"/>
        </w:rPr>
      </w:pPr>
      <w:bookmarkStart w:id="30" w:name="_Toc15377212"/>
      <w:r>
        <w:rPr>
          <w:rFonts w:hint="default" w:ascii="Times New Roman" w:hAnsi="Times New Roman" w:eastAsia="楷体_GB2312" w:cs="Times New Roman"/>
          <w:b w:val="0"/>
          <w:bCs/>
          <w:sz w:val="32"/>
          <w:szCs w:val="32"/>
        </w:rPr>
        <w:t>（三）一般公共预算财政拨款支出决算具体情况</w:t>
      </w:r>
      <w:bookmarkEnd w:id="30"/>
    </w:p>
    <w:p>
      <w:pPr>
        <w:spacing w:line="600" w:lineRule="exact"/>
        <w:ind w:firstLine="643" w:firstLineChars="200"/>
        <w:outlineLvl w:val="2"/>
        <w:rPr>
          <w:rFonts w:hint="default" w:ascii="Times New Roman" w:hAnsi="Times New Roman" w:eastAsia="仿宋_GB2312" w:cs="Times New Roman"/>
          <w:sz w:val="32"/>
          <w:szCs w:val="32"/>
        </w:rPr>
      </w:pPr>
      <w:bookmarkStart w:id="31" w:name="_Toc15377444"/>
      <w:bookmarkStart w:id="32" w:name="_Toc15378460"/>
      <w:bookmarkStart w:id="33" w:name="_Toc15377213"/>
      <w:r>
        <w:rPr>
          <w:rFonts w:hint="default" w:ascii="Times New Roman" w:hAnsi="Times New Roman" w:eastAsia="仿宋_GB2312" w:cs="Times New Roman"/>
          <w:b/>
          <w:sz w:val="32"/>
          <w:szCs w:val="32"/>
        </w:rPr>
        <w:t>2023年度一般公共预算支出决算数为4</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553.38万元</w:t>
      </w:r>
      <w:r>
        <w:rPr>
          <w:rFonts w:hint="default" w:ascii="Times New Roman" w:hAnsi="Times New Roman" w:eastAsia="仿宋_GB2312" w:cs="Times New Roman"/>
          <w:sz w:val="32"/>
          <w:szCs w:val="32"/>
        </w:rPr>
        <w:t>，</w:t>
      </w:r>
      <w:r>
        <w:rPr>
          <w:rStyle w:val="16"/>
          <w:rFonts w:hint="default" w:ascii="Times New Roman" w:hAnsi="Times New Roman" w:eastAsia="仿宋_GB2312" w:cs="Times New Roman"/>
          <w:bCs/>
          <w:sz w:val="32"/>
          <w:szCs w:val="32"/>
        </w:rPr>
        <w:t>完成预算100%。其中：</w:t>
      </w:r>
      <w:bookmarkEnd w:id="31"/>
      <w:bookmarkEnd w:id="32"/>
      <w:bookmarkEnd w:id="33"/>
    </w:p>
    <w:p>
      <w:pPr>
        <w:spacing w:line="600" w:lineRule="exact"/>
        <w:ind w:firstLine="643" w:firstLineChars="200"/>
        <w:rPr>
          <w:rFonts w:hint="default" w:ascii="Times New Roman" w:hAnsi="Times New Roman" w:eastAsia="仿宋_GB2312" w:cs="Times New Roman"/>
          <w:b/>
          <w:sz w:val="32"/>
          <w:szCs w:val="32"/>
        </w:rPr>
      </w:pPr>
      <w:r>
        <w:rPr>
          <w:rStyle w:val="16"/>
          <w:rFonts w:hint="default" w:ascii="Times New Roman" w:hAnsi="Times New Roman" w:eastAsia="仿宋_GB2312" w:cs="Times New Roman"/>
          <w:bCs/>
          <w:sz w:val="32"/>
          <w:szCs w:val="32"/>
        </w:rPr>
        <w:t>1.一般公共服务（类）</w:t>
      </w:r>
      <w:r>
        <w:rPr>
          <w:rStyle w:val="16"/>
          <w:rFonts w:hint="default" w:ascii="Times New Roman" w:hAnsi="Times New Roman" w:eastAsia="仿宋_GB2312" w:cs="Times New Roman"/>
          <w:bCs/>
          <w:color w:val="000000"/>
          <w:sz w:val="32"/>
          <w:szCs w:val="32"/>
        </w:rPr>
        <w:t>财政事务（款）行政运行</w:t>
      </w:r>
      <w:r>
        <w:rPr>
          <w:rStyle w:val="16"/>
          <w:rFonts w:hint="default" w:ascii="Times New Roman" w:hAnsi="Times New Roman" w:eastAsia="仿宋_GB2312" w:cs="Times New Roman"/>
          <w:bCs/>
          <w:sz w:val="32"/>
          <w:szCs w:val="32"/>
        </w:rPr>
        <w:t>（项）:</w:t>
      </w:r>
      <w:r>
        <w:rPr>
          <w:rStyle w:val="16"/>
          <w:rFonts w:hint="default" w:ascii="Times New Roman" w:hAnsi="Times New Roman" w:eastAsia="仿宋_GB2312" w:cs="Times New Roman"/>
          <w:b w:val="0"/>
          <w:bCs/>
          <w:sz w:val="32"/>
          <w:szCs w:val="32"/>
        </w:rPr>
        <w:t xml:space="preserve"> 支出决算为159.48万元，完成预算100%；</w:t>
      </w:r>
      <w:r>
        <w:rPr>
          <w:rStyle w:val="16"/>
          <w:rFonts w:hint="default" w:ascii="Times New Roman" w:hAnsi="Times New Roman" w:eastAsia="仿宋_GB2312" w:cs="Times New Roman"/>
          <w:bCs/>
          <w:color w:val="000000"/>
          <w:sz w:val="32"/>
          <w:szCs w:val="32"/>
        </w:rPr>
        <w:t>一般行政管理事务（项）:</w:t>
      </w:r>
      <w:r>
        <w:rPr>
          <w:rStyle w:val="16"/>
          <w:rFonts w:hint="default" w:ascii="Times New Roman" w:hAnsi="Times New Roman" w:eastAsia="仿宋_GB2312" w:cs="Times New Roman"/>
          <w:b w:val="0"/>
          <w:bCs/>
          <w:color w:val="000000"/>
          <w:sz w:val="32"/>
          <w:szCs w:val="32"/>
        </w:rPr>
        <w:t>支出决算为4</w:t>
      </w:r>
      <w:r>
        <w:rPr>
          <w:rFonts w:hint="default" w:ascii="Times New Roman" w:hAnsi="Times New Roman" w:eastAsia="仿宋_GB2312" w:cs="Times New Roman"/>
          <w:sz w:val="32"/>
          <w:szCs w:val="32"/>
        </w:rPr>
        <w:t>,</w:t>
      </w:r>
      <w:r>
        <w:rPr>
          <w:rStyle w:val="16"/>
          <w:rFonts w:hint="default" w:ascii="Times New Roman" w:hAnsi="Times New Roman" w:eastAsia="仿宋_GB2312" w:cs="Times New Roman"/>
          <w:b w:val="0"/>
          <w:bCs/>
          <w:color w:val="000000"/>
          <w:sz w:val="32"/>
          <w:szCs w:val="32"/>
        </w:rPr>
        <w:t>114.07万元，完成预算100%；</w:t>
      </w:r>
      <w:r>
        <w:rPr>
          <w:rStyle w:val="16"/>
          <w:rFonts w:hint="default" w:ascii="Times New Roman" w:hAnsi="Times New Roman" w:eastAsia="仿宋_GB2312" w:cs="Times New Roman"/>
          <w:color w:val="000000"/>
          <w:sz w:val="32"/>
          <w:szCs w:val="32"/>
        </w:rPr>
        <w:t>其他财政事务支出</w:t>
      </w:r>
      <w:r>
        <w:rPr>
          <w:rStyle w:val="16"/>
          <w:rFonts w:hint="default" w:ascii="Times New Roman" w:hAnsi="Times New Roman" w:eastAsia="仿宋_GB2312" w:cs="Times New Roman"/>
          <w:bCs/>
          <w:color w:val="000000"/>
          <w:sz w:val="32"/>
          <w:szCs w:val="32"/>
        </w:rPr>
        <w:t>（项）:</w:t>
      </w:r>
      <w:r>
        <w:rPr>
          <w:rStyle w:val="16"/>
          <w:rFonts w:hint="default" w:ascii="Times New Roman" w:hAnsi="Times New Roman" w:eastAsia="仿宋_GB2312" w:cs="Times New Roman"/>
          <w:b w:val="0"/>
          <w:bCs/>
          <w:color w:val="000000"/>
          <w:sz w:val="32"/>
          <w:szCs w:val="32"/>
        </w:rPr>
        <w:t>支出决算为6万元，完成预算100%</w:t>
      </w:r>
      <w:r>
        <w:rPr>
          <w:rStyle w:val="16"/>
          <w:rFonts w:hint="default" w:ascii="Times New Roman" w:hAnsi="Times New Roman" w:eastAsia="仿宋_GB2312" w:cs="Times New Roman"/>
          <w:b w:val="0"/>
          <w:bCs/>
          <w:sz w:val="32"/>
          <w:szCs w:val="32"/>
        </w:rPr>
        <w:t>。</w:t>
      </w:r>
    </w:p>
    <w:p>
      <w:pPr>
        <w:spacing w:line="600" w:lineRule="exact"/>
        <w:ind w:firstLine="643" w:firstLineChars="200"/>
        <w:rPr>
          <w:rStyle w:val="16"/>
          <w:rFonts w:hint="default" w:ascii="Times New Roman" w:hAnsi="Times New Roman" w:eastAsia="仿宋_GB2312" w:cs="Times New Roman"/>
          <w:b w:val="0"/>
          <w:bCs/>
          <w:color w:val="000000"/>
          <w:sz w:val="32"/>
          <w:szCs w:val="32"/>
        </w:rPr>
      </w:pPr>
      <w:r>
        <w:rPr>
          <w:rStyle w:val="16"/>
          <w:rFonts w:hint="default" w:ascii="Times New Roman" w:hAnsi="Times New Roman" w:eastAsia="仿宋_GB2312" w:cs="Times New Roman"/>
          <w:bCs/>
          <w:color w:val="000000"/>
          <w:sz w:val="32"/>
          <w:szCs w:val="32"/>
        </w:rPr>
        <w:t>2.社会保障和就业支出（类）行政事业单位养老支出（款）行政单位离退休（项）:</w:t>
      </w:r>
      <w:r>
        <w:rPr>
          <w:rStyle w:val="16"/>
          <w:rFonts w:hint="default" w:ascii="Times New Roman" w:hAnsi="Times New Roman" w:eastAsia="仿宋_GB2312" w:cs="Times New Roman"/>
          <w:b w:val="0"/>
          <w:bCs/>
          <w:color w:val="000000"/>
          <w:sz w:val="32"/>
          <w:szCs w:val="32"/>
        </w:rPr>
        <w:t xml:space="preserve"> 支出决算为11万元，完成预算100%；</w:t>
      </w:r>
      <w:r>
        <w:rPr>
          <w:rStyle w:val="16"/>
          <w:rFonts w:hint="default" w:ascii="Times New Roman" w:hAnsi="Times New Roman" w:eastAsia="仿宋_GB2312" w:cs="Times New Roman"/>
          <w:bCs/>
          <w:color w:val="000000"/>
          <w:sz w:val="32"/>
          <w:szCs w:val="32"/>
        </w:rPr>
        <w:t>机关事业单位基本养老保险缴费支出（项）:</w:t>
      </w:r>
      <w:r>
        <w:rPr>
          <w:rStyle w:val="16"/>
          <w:rFonts w:hint="default" w:ascii="Times New Roman" w:hAnsi="Times New Roman" w:eastAsia="仿宋_GB2312" w:cs="Times New Roman"/>
          <w:b w:val="0"/>
          <w:bCs/>
          <w:color w:val="000000"/>
          <w:sz w:val="32"/>
          <w:szCs w:val="32"/>
        </w:rPr>
        <w:t xml:space="preserve"> 支出决算为19.68万元，完成预算100%。</w:t>
      </w:r>
      <w:r>
        <w:rPr>
          <w:rStyle w:val="16"/>
          <w:rFonts w:hint="default" w:ascii="Times New Roman" w:hAnsi="Times New Roman" w:eastAsia="仿宋_GB2312" w:cs="Times New Roman"/>
          <w:bCs/>
          <w:color w:val="000000"/>
          <w:sz w:val="32"/>
          <w:szCs w:val="32"/>
        </w:rPr>
        <w:t>机关事业单位职业年金缴费支出（项）:</w:t>
      </w:r>
      <w:r>
        <w:rPr>
          <w:rStyle w:val="16"/>
          <w:rFonts w:hint="default" w:ascii="Times New Roman" w:hAnsi="Times New Roman" w:eastAsia="仿宋_GB2312" w:cs="Times New Roman"/>
          <w:b w:val="0"/>
          <w:bCs/>
          <w:color w:val="000000"/>
          <w:sz w:val="32"/>
          <w:szCs w:val="32"/>
        </w:rPr>
        <w:t>支出决算为12.29万元，完成预算100%。</w:t>
      </w:r>
      <w:r>
        <w:rPr>
          <w:rStyle w:val="16"/>
          <w:rFonts w:hint="default" w:ascii="Times New Roman" w:hAnsi="Times New Roman" w:eastAsia="仿宋_GB2312" w:cs="Times New Roman"/>
          <w:color w:val="000000"/>
          <w:sz w:val="32"/>
          <w:szCs w:val="32"/>
        </w:rPr>
        <w:t>残疾人事业</w:t>
      </w:r>
      <w:r>
        <w:rPr>
          <w:rStyle w:val="16"/>
          <w:rFonts w:hint="default" w:ascii="Times New Roman" w:hAnsi="Times New Roman" w:eastAsia="仿宋_GB2312" w:cs="Times New Roman"/>
          <w:bCs/>
          <w:color w:val="000000"/>
          <w:sz w:val="32"/>
          <w:szCs w:val="32"/>
        </w:rPr>
        <w:t>（款）其他残疾人事业支出（项）:</w:t>
      </w:r>
      <w:r>
        <w:rPr>
          <w:rStyle w:val="16"/>
          <w:rFonts w:hint="default" w:ascii="Times New Roman" w:hAnsi="Times New Roman" w:eastAsia="仿宋_GB2312" w:cs="Times New Roman"/>
          <w:b w:val="0"/>
          <w:bCs/>
          <w:color w:val="000000"/>
          <w:sz w:val="32"/>
          <w:szCs w:val="32"/>
        </w:rPr>
        <w:t>支出决算为197.53万元，完成预算100%。</w:t>
      </w:r>
    </w:p>
    <w:p>
      <w:pPr>
        <w:spacing w:line="600" w:lineRule="exact"/>
        <w:ind w:firstLine="643" w:firstLineChars="200"/>
        <w:rPr>
          <w:rStyle w:val="16"/>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bCs/>
          <w:color w:val="000000"/>
          <w:sz w:val="32"/>
          <w:szCs w:val="32"/>
        </w:rPr>
        <w:t>3.卫生健康支出</w:t>
      </w:r>
      <w:r>
        <w:rPr>
          <w:rStyle w:val="16"/>
          <w:rFonts w:hint="default" w:ascii="Times New Roman" w:hAnsi="Times New Roman" w:eastAsia="仿宋_GB2312" w:cs="Times New Roman"/>
          <w:bCs/>
          <w:color w:val="000000"/>
          <w:sz w:val="32"/>
          <w:szCs w:val="32"/>
        </w:rPr>
        <w:t>（类）行政事业单位医疗（款）行政单位医疗（项）:</w:t>
      </w:r>
      <w:r>
        <w:rPr>
          <w:rStyle w:val="16"/>
          <w:rFonts w:hint="default" w:ascii="Times New Roman" w:hAnsi="Times New Roman" w:eastAsia="仿宋_GB2312" w:cs="Times New Roman"/>
          <w:b w:val="0"/>
          <w:bCs/>
          <w:color w:val="000000"/>
          <w:sz w:val="32"/>
          <w:szCs w:val="32"/>
        </w:rPr>
        <w:t>支出决算为10.61万元，完成预算100%；</w:t>
      </w:r>
      <w:r>
        <w:rPr>
          <w:rStyle w:val="16"/>
          <w:rFonts w:hint="default" w:ascii="Times New Roman" w:hAnsi="Times New Roman" w:eastAsia="仿宋_GB2312" w:cs="Times New Roman"/>
          <w:color w:val="000000"/>
          <w:sz w:val="32"/>
          <w:szCs w:val="32"/>
        </w:rPr>
        <w:t>公务员医疗补助</w:t>
      </w:r>
      <w:r>
        <w:rPr>
          <w:rStyle w:val="16"/>
          <w:rFonts w:hint="default" w:ascii="Times New Roman" w:hAnsi="Times New Roman" w:eastAsia="仿宋_GB2312" w:cs="Times New Roman"/>
          <w:bCs/>
          <w:color w:val="000000"/>
          <w:sz w:val="32"/>
          <w:szCs w:val="32"/>
        </w:rPr>
        <w:t>（项）:</w:t>
      </w:r>
      <w:r>
        <w:rPr>
          <w:rStyle w:val="16"/>
          <w:rFonts w:hint="default" w:ascii="Times New Roman" w:hAnsi="Times New Roman" w:eastAsia="仿宋_GB2312" w:cs="Times New Roman"/>
          <w:b w:val="0"/>
          <w:bCs/>
          <w:color w:val="000000"/>
          <w:sz w:val="32"/>
          <w:szCs w:val="32"/>
        </w:rPr>
        <w:t>支出决算为7.53万元，完成预算100%。</w:t>
      </w:r>
    </w:p>
    <w:p>
      <w:pPr>
        <w:spacing w:line="600" w:lineRule="exact"/>
        <w:ind w:firstLine="643" w:firstLineChars="200"/>
        <w:rPr>
          <w:rFonts w:hint="default" w:ascii="Times New Roman" w:hAnsi="Times New Roman" w:eastAsia="仿宋_GB2312" w:cs="Times New Roman"/>
          <w:sz w:val="32"/>
          <w:szCs w:val="32"/>
        </w:rPr>
      </w:pPr>
      <w:r>
        <w:rPr>
          <w:rStyle w:val="16"/>
          <w:rFonts w:hint="default" w:ascii="Times New Roman" w:hAnsi="Times New Roman" w:eastAsia="仿宋_GB2312" w:cs="Times New Roman"/>
          <w:bCs/>
          <w:sz w:val="32"/>
          <w:szCs w:val="32"/>
        </w:rPr>
        <w:t>4</w:t>
      </w:r>
      <w:r>
        <w:rPr>
          <w:rFonts w:hint="default" w:ascii="Times New Roman" w:hAnsi="Times New Roman" w:eastAsia="仿宋_GB2312" w:cs="Times New Roman"/>
          <w:sz w:val="32"/>
          <w:szCs w:val="32"/>
        </w:rPr>
        <w:t>.</w:t>
      </w:r>
      <w:r>
        <w:rPr>
          <w:rStyle w:val="16"/>
          <w:rFonts w:hint="default" w:ascii="Times New Roman" w:hAnsi="Times New Roman" w:eastAsia="仿宋_GB2312" w:cs="Times New Roman"/>
          <w:bCs/>
          <w:color w:val="000000"/>
          <w:sz w:val="32"/>
          <w:szCs w:val="32"/>
        </w:rPr>
        <w:t>住房保障支出（类）住房改革支出（款）住房公积金（项）:</w:t>
      </w:r>
      <w:r>
        <w:rPr>
          <w:rStyle w:val="16"/>
          <w:rFonts w:hint="default" w:ascii="Times New Roman" w:hAnsi="Times New Roman" w:eastAsia="仿宋_GB2312" w:cs="Times New Roman"/>
          <w:b w:val="0"/>
          <w:bCs/>
          <w:color w:val="000000"/>
          <w:sz w:val="32"/>
          <w:szCs w:val="32"/>
        </w:rPr>
        <w:t>支出决算为15.19万元，完成预算100%。</w:t>
      </w:r>
    </w:p>
    <w:p>
      <w:pPr>
        <w:tabs>
          <w:tab w:val="right" w:pos="8306"/>
        </w:tabs>
        <w:spacing w:line="600" w:lineRule="exact"/>
        <w:ind w:firstLine="640"/>
        <w:outlineLvl w:val="1"/>
        <w:rPr>
          <w:rStyle w:val="28"/>
          <w:rFonts w:hint="default" w:ascii="Times New Roman" w:hAnsi="Times New Roman" w:cs="Times New Roman"/>
        </w:rPr>
      </w:pPr>
      <w:bookmarkStart w:id="34" w:name="_Toc15377214"/>
      <w:bookmarkStart w:id="35"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般公共预算财政拨款基本支出决算情况说明</w:t>
      </w:r>
      <w:bookmarkEnd w:id="34"/>
      <w:bookmarkEnd w:id="35"/>
      <w:r>
        <w:rPr>
          <w:rStyle w:val="28"/>
          <w:rFonts w:hint="default" w:ascii="Times New Roman" w:hAnsi="Times New Roman" w:eastAsia="黑体" w:cs="Times New Roman"/>
          <w:b w:val="0"/>
        </w:rPr>
        <w:tab/>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2023年度一般公共预算财政拨款基本支出</w:t>
      </w:r>
      <w:r>
        <w:rPr>
          <w:rFonts w:hint="default" w:ascii="Times New Roman" w:hAnsi="Times New Roman" w:eastAsia="仿宋_GB2312" w:cs="Times New Roman"/>
          <w:b/>
          <w:sz w:val="32"/>
          <w:szCs w:val="32"/>
        </w:rPr>
        <w:t>433.31</w:t>
      </w:r>
      <w:r>
        <w:rPr>
          <w:rFonts w:hint="default" w:ascii="Times New Roman" w:hAnsi="Times New Roman" w:eastAsia="仿宋_GB2312" w:cs="Times New Roman"/>
          <w:sz w:val="32"/>
          <w:szCs w:val="32"/>
        </w:rPr>
        <w:t>万元，其中：</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b/>
          <w:sz w:val="32"/>
          <w:szCs w:val="32"/>
        </w:rPr>
        <w:t>414.43</w:t>
      </w:r>
      <w:r>
        <w:rPr>
          <w:rFonts w:hint="default" w:ascii="Times New Roman" w:hAnsi="Times New Roman" w:eastAsia="仿宋_GB2312" w:cs="Times New Roman"/>
          <w:sz w:val="32"/>
          <w:szCs w:val="32"/>
        </w:rPr>
        <w:t>万元，主要包括：基本工资、津贴补贴、奖金、机关事业单位基本养老保险缴费、职业年金缴费、职工基本医疗保险缴费、公务员医疗补助缴费、其他社会保障缴费、其他工资福利支出、生活补助、医疗费补助、住房公积金。</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default" w:ascii="Times New Roman" w:hAnsi="Times New Roman" w:eastAsia="仿宋_GB2312" w:cs="Times New Roman"/>
          <w:b/>
          <w:sz w:val="32"/>
          <w:szCs w:val="32"/>
        </w:rPr>
        <w:t>18.87</w:t>
      </w:r>
      <w:r>
        <w:rPr>
          <w:rFonts w:hint="default" w:ascii="Times New Roman" w:hAnsi="Times New Roman" w:eastAsia="仿宋_GB2312" w:cs="Times New Roman"/>
          <w:sz w:val="32"/>
          <w:szCs w:val="32"/>
        </w:rPr>
        <w:t>万元，主要包括：办公费、水费、差旅费、因公出国（境）费用、维修（护）费、培训费、公务接待费、专用材料费、劳务费、工会经费、福利费、其他交通费、其他商品和服务支出、办公设备购置。</w:t>
      </w:r>
    </w:p>
    <w:p>
      <w:pPr>
        <w:spacing w:line="600" w:lineRule="exact"/>
        <w:ind w:firstLine="640"/>
        <w:outlineLvl w:val="1"/>
        <w:rPr>
          <w:rStyle w:val="28"/>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28"/>
          <w:rFonts w:hint="default" w:ascii="Times New Roman" w:hAnsi="Times New Roman" w:eastAsia="黑体" w:cs="Times New Roman"/>
          <w:b w:val="0"/>
        </w:rPr>
        <w:t>财政拨款</w:t>
      </w:r>
      <w:r>
        <w:rPr>
          <w:rStyle w:val="28"/>
          <w:rFonts w:hint="default" w:ascii="Times New Roman" w:hAnsi="Times New Roman" w:eastAsia="黑体" w:cs="Times New Roman"/>
        </w:rPr>
        <w:t>“</w:t>
      </w:r>
      <w:r>
        <w:rPr>
          <w:rStyle w:val="28"/>
          <w:rFonts w:hint="default" w:ascii="Times New Roman" w:hAnsi="Times New Roman" w:eastAsia="黑体" w:cs="Times New Roman"/>
          <w:b w:val="0"/>
        </w:rPr>
        <w:t>三公”经费支出决算情况说明</w:t>
      </w:r>
      <w:bookmarkEnd w:id="36"/>
      <w:bookmarkEnd w:id="37"/>
    </w:p>
    <w:p>
      <w:pPr>
        <w:spacing w:line="600" w:lineRule="exact"/>
        <w:ind w:firstLine="640"/>
        <w:outlineLvl w:val="2"/>
        <w:rPr>
          <w:rFonts w:hint="default" w:ascii="Times New Roman" w:hAnsi="Times New Roman" w:eastAsia="楷体_GB2312" w:cs="Times New Roman"/>
          <w:b w:val="0"/>
          <w:bCs/>
          <w:sz w:val="32"/>
          <w:szCs w:val="32"/>
        </w:rPr>
      </w:pPr>
      <w:bookmarkStart w:id="38" w:name="_Toc15377216"/>
      <w:r>
        <w:rPr>
          <w:rFonts w:hint="default" w:ascii="Times New Roman" w:hAnsi="Times New Roman" w:eastAsia="楷体_GB2312" w:cs="Times New Roman"/>
          <w:b w:val="0"/>
          <w:bCs/>
          <w:sz w:val="32"/>
          <w:szCs w:val="32"/>
        </w:rPr>
        <w:t>（一）“三公”经费财政拨款支出决算总体情况说明</w:t>
      </w:r>
      <w:bookmarkEnd w:id="38"/>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2023年度“三公”经费财政拨款支出决算为</w:t>
      </w:r>
      <w:r>
        <w:rPr>
          <w:rFonts w:hint="default" w:ascii="Times New Roman" w:hAnsi="Times New Roman" w:eastAsia="仿宋_GB2312" w:cs="Times New Roman"/>
          <w:b/>
          <w:sz w:val="32"/>
          <w:szCs w:val="32"/>
        </w:rPr>
        <w:t>0.19</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b/>
          <w:sz w:val="32"/>
          <w:szCs w:val="32"/>
        </w:rPr>
        <w:t>100</w:t>
      </w:r>
      <w:r>
        <w:rPr>
          <w:rFonts w:hint="default" w:ascii="Times New Roman" w:hAnsi="Times New Roman" w:eastAsia="仿宋_GB2312" w:cs="Times New Roman"/>
          <w:sz w:val="32"/>
          <w:szCs w:val="32"/>
        </w:rPr>
        <w:t>%，较上年度减少0.89万元，下降82.41%。主要原因是严格控制接待范围、接待标准和接待人次。决算数与预算数持平的主要原因也是严格控制接待范围、接待标准和接待人次。</w:t>
      </w:r>
    </w:p>
    <w:p>
      <w:pPr>
        <w:spacing w:line="600" w:lineRule="exact"/>
        <w:ind w:firstLine="640"/>
        <w:outlineLvl w:val="2"/>
        <w:rPr>
          <w:rFonts w:hint="default" w:ascii="Times New Roman" w:hAnsi="Times New Roman" w:eastAsia="楷体_GB2312" w:cs="Times New Roman"/>
          <w:b w:val="0"/>
          <w:bCs/>
          <w:sz w:val="32"/>
          <w:szCs w:val="32"/>
        </w:rPr>
      </w:pPr>
      <w:bookmarkStart w:id="39" w:name="_Toc15377217"/>
      <w:r>
        <w:rPr>
          <w:rFonts w:hint="default" w:ascii="Times New Roman" w:hAnsi="Times New Roman" w:eastAsia="楷体_GB2312" w:cs="Times New Roman"/>
          <w:b w:val="0"/>
          <w:bCs/>
          <w:sz w:val="32"/>
          <w:szCs w:val="32"/>
        </w:rPr>
        <w:t>（二）“三公”经费财政拨款支出决算具体情况说明</w:t>
      </w:r>
      <w:bookmarkEnd w:id="39"/>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2023年度“三公”经费财政拨款支出决算中，因公出国（境）费支出决算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b/>
          <w:sz w:val="32"/>
          <w:szCs w:val="32"/>
        </w:rPr>
        <w:t>0.19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100</w:t>
      </w:r>
      <w:r>
        <w:rPr>
          <w:rFonts w:hint="default" w:ascii="Times New Roman" w:hAnsi="Times New Roman" w:eastAsia="仿宋_GB2312" w:cs="Times New Roman"/>
          <w:sz w:val="32"/>
          <w:szCs w:val="32"/>
        </w:rPr>
        <w:t>%。具体情况如下：</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w:t>
      </w:r>
    </w:p>
    <w:p>
      <w:pPr>
        <w:pStyle w:val="2"/>
        <w:spacing w:before="93"/>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4596130" cy="221869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4596130" cy="2218690"/>
                    </a:xfrm>
                    <a:prstGeom prst="rect">
                      <a:avLst/>
                    </a:prstGeom>
                    <a:noFill/>
                    <a:ln>
                      <a:noFill/>
                    </a:ln>
                  </pic:spPr>
                </pic:pic>
              </a:graphicData>
            </a:graphic>
          </wp:inline>
        </w:drawing>
      </w:r>
    </w:p>
    <w:p>
      <w:pPr>
        <w:spacing w:line="600" w:lineRule="exact"/>
        <w:ind w:firstLine="640"/>
        <w:rPr>
          <w:rFonts w:hint="default" w:ascii="Times New Roman" w:hAnsi="Times New Roman" w:eastAsia="仿宋_GB2312" w:cs="Times New Roman"/>
          <w:b/>
          <w:sz w:val="32"/>
          <w:szCs w:val="32"/>
        </w:rPr>
      </w:pPr>
      <w:bookmarkStart w:id="40" w:name="_Toc15377218"/>
      <w:bookmarkStart w:id="41" w:name="_Toc15396610"/>
      <w:r>
        <w:rPr>
          <w:rFonts w:hint="default" w:ascii="Times New Roman" w:hAnsi="Times New Roman" w:eastAsia="仿宋_GB2312" w:cs="Times New Roman"/>
          <w:b/>
          <w:sz w:val="32"/>
          <w:szCs w:val="32"/>
        </w:rPr>
        <w:t>1.因公出国（境）经费支出0</w:t>
      </w:r>
      <w:r>
        <w:rPr>
          <w:rFonts w:hint="default" w:ascii="Times New Roman" w:hAnsi="Times New Roman" w:eastAsia="仿宋_GB2312" w:cs="Times New Roman"/>
          <w:sz w:val="32"/>
          <w:szCs w:val="32"/>
        </w:rPr>
        <w:t>万元，</w:t>
      </w:r>
      <w:r>
        <w:rPr>
          <w:rStyle w:val="16"/>
          <w:rFonts w:hint="default" w:ascii="Times New Roman" w:hAnsi="Times New Roman" w:eastAsia="仿宋_GB2312" w:cs="Times New Roman"/>
          <w:b w:val="0"/>
          <w:bCs/>
          <w:sz w:val="32"/>
          <w:szCs w:val="32"/>
        </w:rPr>
        <w:t>完成预算</w:t>
      </w:r>
      <w:r>
        <w:rPr>
          <w:rStyle w:val="16"/>
          <w:rFonts w:hint="default" w:ascii="Times New Roman" w:hAnsi="Times New Roman" w:eastAsia="仿宋_GB2312" w:cs="Times New Roman"/>
          <w:bCs/>
          <w:sz w:val="32"/>
          <w:szCs w:val="32"/>
        </w:rPr>
        <w:t>0</w:t>
      </w:r>
      <w:r>
        <w:rPr>
          <w:rStyle w:val="16"/>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人。因公出国（境）支出决算因公出国（境）支出决算与2022年度持平。</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2.公务用车购置及运行维护费支出0</w:t>
      </w:r>
      <w:r>
        <w:rPr>
          <w:rFonts w:hint="default" w:ascii="Times New Roman" w:hAnsi="Times New Roman" w:eastAsia="仿宋_GB2312" w:cs="Times New Roman"/>
          <w:sz w:val="32"/>
          <w:szCs w:val="32"/>
        </w:rPr>
        <w:t>万元,</w:t>
      </w:r>
      <w:r>
        <w:rPr>
          <w:rStyle w:val="16"/>
          <w:rFonts w:hint="default" w:ascii="Times New Roman" w:hAnsi="Times New Roman" w:eastAsia="仿宋_GB2312" w:cs="Times New Roman"/>
          <w:b w:val="0"/>
          <w:bCs/>
          <w:sz w:val="32"/>
          <w:szCs w:val="32"/>
        </w:rPr>
        <w:t>完成预算</w:t>
      </w:r>
      <w:r>
        <w:rPr>
          <w:rStyle w:val="16"/>
          <w:rFonts w:hint="default" w:ascii="Times New Roman" w:hAnsi="Times New Roman" w:eastAsia="仿宋_GB2312" w:cs="Times New Roman"/>
          <w:bCs/>
          <w:sz w:val="32"/>
          <w:szCs w:val="32"/>
        </w:rPr>
        <w:t>0</w:t>
      </w:r>
      <w:r>
        <w:rPr>
          <w:rStyle w:val="16"/>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公务用车购置及运行维护费支出决算与2022年度持平。</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公务用车购置支出0</w:t>
      </w:r>
      <w:r>
        <w:rPr>
          <w:rFonts w:hint="default" w:ascii="Times New Roman" w:hAnsi="Times New Roman" w:eastAsia="仿宋_GB2312" w:cs="Times New Roman"/>
          <w:sz w:val="32"/>
          <w:szCs w:val="32"/>
        </w:rPr>
        <w:t>万元。全年按规定更新购置公务用车0辆，其中：轿车0辆、金额0万元，越野车0辆、金额0万元，载客汽车0辆、金额0万元。截至2023年12月31日，单位共有公务用车0辆，其中：轿车0辆、越野车0辆、载客汽车0辆。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公务用车运行维护费支出0</w:t>
      </w:r>
      <w:r>
        <w:rPr>
          <w:rFonts w:hint="default" w:ascii="Times New Roman" w:hAnsi="Times New Roman" w:eastAsia="仿宋_GB2312" w:cs="Times New Roman"/>
          <w:sz w:val="32"/>
          <w:szCs w:val="32"/>
        </w:rPr>
        <w:t>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3.公务接待费支出0.19</w:t>
      </w:r>
      <w:r>
        <w:rPr>
          <w:rFonts w:hint="default" w:ascii="Times New Roman" w:hAnsi="Times New Roman" w:eastAsia="仿宋_GB2312" w:cs="Times New Roman"/>
          <w:sz w:val="32"/>
          <w:szCs w:val="32"/>
        </w:rPr>
        <w:t>万元，</w:t>
      </w:r>
      <w:r>
        <w:rPr>
          <w:rStyle w:val="16"/>
          <w:rFonts w:hint="default" w:ascii="Times New Roman" w:hAnsi="Times New Roman" w:eastAsia="仿宋_GB2312" w:cs="Times New Roman"/>
          <w:b w:val="0"/>
          <w:bCs/>
          <w:sz w:val="32"/>
          <w:szCs w:val="32"/>
        </w:rPr>
        <w:t>完成预算100%。</w:t>
      </w:r>
      <w:r>
        <w:rPr>
          <w:rFonts w:hint="default" w:ascii="Times New Roman" w:hAnsi="Times New Roman" w:eastAsia="仿宋_GB2312" w:cs="Times New Roman"/>
          <w:sz w:val="32"/>
          <w:szCs w:val="32"/>
        </w:rPr>
        <w:t>公务接待费支出决算比2022年度减少0.89万元，下降82.41%。主要原因是严格控制接待范围、接待标准和接待人次。其中：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国内公务接待支出0.19</w:t>
      </w:r>
      <w:r>
        <w:rPr>
          <w:rFonts w:hint="default" w:ascii="Times New Roman" w:hAnsi="Times New Roman" w:eastAsia="仿宋_GB2312" w:cs="Times New Roman"/>
          <w:sz w:val="32"/>
          <w:szCs w:val="32"/>
        </w:rPr>
        <w:t>万元，主要用于执行公务、开展业务活动开支的用餐费。国内公务接待1批次，14人次，共计支出0.19万元，具体内容包括：地方财经纪律重点问题专项整治复查工作支出0.19万元。</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外事接待支出0</w:t>
      </w:r>
      <w:r>
        <w:rPr>
          <w:rFonts w:hint="default" w:ascii="Times New Roman" w:hAnsi="Times New Roman" w:eastAsia="仿宋_GB2312" w:cs="Times New Roman"/>
          <w:sz w:val="32"/>
          <w:szCs w:val="32"/>
        </w:rPr>
        <w:t>万元。外事接待0批次，0人次，共计支出0万元。</w:t>
      </w:r>
    </w:p>
    <w:p>
      <w:pPr>
        <w:spacing w:line="600" w:lineRule="exact"/>
        <w:ind w:firstLine="640"/>
        <w:outlineLvl w:val="1"/>
        <w:rPr>
          <w:rStyle w:val="28"/>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8"/>
          <w:rFonts w:hint="default" w:ascii="Times New Roman" w:hAnsi="Times New Roman" w:eastAsia="黑体" w:cs="Times New Roman"/>
          <w:b w:val="0"/>
        </w:rPr>
        <w:t>政府性基金预算支出决算情况说明</w:t>
      </w:r>
      <w:bookmarkEnd w:id="40"/>
      <w:bookmarkEnd w:id="4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eastAsia="仿宋_GB2312" w:cs="Times New Roman"/>
          <w:b/>
          <w:sz w:val="32"/>
          <w:szCs w:val="32"/>
        </w:rPr>
        <w:t>70.93</w:t>
      </w:r>
      <w:r>
        <w:rPr>
          <w:rFonts w:hint="default" w:ascii="Times New Roman" w:hAnsi="Times New Roman" w:eastAsia="仿宋_GB2312" w:cs="Times New Roman"/>
          <w:sz w:val="32"/>
          <w:szCs w:val="32"/>
        </w:rPr>
        <w:t>万元。</w:t>
      </w:r>
    </w:p>
    <w:p>
      <w:pPr>
        <w:numPr>
          <w:ilvl w:val="0"/>
          <w:numId w:val="1"/>
        </w:numPr>
        <w:spacing w:line="600" w:lineRule="exact"/>
        <w:ind w:firstLine="640"/>
        <w:outlineLvl w:val="1"/>
        <w:rPr>
          <w:rStyle w:val="28"/>
          <w:rFonts w:hint="default" w:ascii="Times New Roman" w:hAnsi="Times New Roman" w:eastAsia="黑体" w:cs="Times New Roman"/>
          <w:b w:val="0"/>
        </w:rPr>
      </w:pPr>
      <w:bookmarkStart w:id="42" w:name="_Toc15396611"/>
      <w:bookmarkStart w:id="43" w:name="_Toc15377219"/>
      <w:r>
        <w:rPr>
          <w:rStyle w:val="28"/>
          <w:rFonts w:hint="default" w:ascii="Times New Roman" w:hAnsi="Times New Roman" w:eastAsia="黑体" w:cs="Times New Roman"/>
          <w:b w:val="0"/>
        </w:rPr>
        <w:t>国有资本经营预算支出决算情况说明</w:t>
      </w:r>
      <w:bookmarkEnd w:id="42"/>
      <w:bookmarkEnd w:id="43"/>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w:t>
      </w:r>
    </w:p>
    <w:p>
      <w:pPr>
        <w:numPr>
          <w:ilvl w:val="0"/>
          <w:numId w:val="1"/>
        </w:numPr>
        <w:spacing w:line="600" w:lineRule="exact"/>
        <w:ind w:firstLine="640"/>
        <w:outlineLvl w:val="1"/>
        <w:rPr>
          <w:rStyle w:val="28"/>
          <w:rFonts w:hint="default" w:ascii="Times New Roman" w:hAnsi="Times New Roman" w:eastAsia="黑体" w:cs="Times New Roman"/>
          <w:b w:val="0"/>
        </w:rPr>
      </w:pPr>
      <w:bookmarkStart w:id="44" w:name="_Toc15396612"/>
      <w:bookmarkStart w:id="45" w:name="_Toc15377221"/>
      <w:r>
        <w:rPr>
          <w:rStyle w:val="28"/>
          <w:rFonts w:hint="default" w:ascii="Times New Roman" w:hAnsi="Times New Roman" w:eastAsia="黑体" w:cs="Times New Roman"/>
          <w:b w:val="0"/>
        </w:rPr>
        <w:t>其他重要事项的情况说明</w:t>
      </w:r>
      <w:bookmarkEnd w:id="44"/>
      <w:bookmarkEnd w:id="45"/>
    </w:p>
    <w:p>
      <w:pPr>
        <w:spacing w:line="600" w:lineRule="exact"/>
        <w:ind w:firstLine="640" w:firstLineChars="200"/>
        <w:outlineLvl w:val="2"/>
        <w:rPr>
          <w:rFonts w:hint="default" w:ascii="Times New Roman" w:hAnsi="Times New Roman" w:eastAsia="楷体_GB2312" w:cs="Times New Roman"/>
          <w:b w:val="0"/>
          <w:bCs/>
          <w:sz w:val="32"/>
          <w:szCs w:val="32"/>
        </w:rPr>
      </w:pPr>
      <w:bookmarkStart w:id="46" w:name="_Toc15377222"/>
      <w:r>
        <w:rPr>
          <w:rFonts w:hint="default" w:ascii="Times New Roman" w:hAnsi="Times New Roman" w:eastAsia="楷体_GB2312" w:cs="Times New Roman"/>
          <w:b w:val="0"/>
          <w:bCs/>
          <w:sz w:val="32"/>
          <w:szCs w:val="32"/>
        </w:rPr>
        <w:t>（一）机关运行经费支出情况</w:t>
      </w:r>
      <w:bookmarkEnd w:id="4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攀枝花市西区财政局（本级）</w:t>
      </w:r>
      <w:r>
        <w:rPr>
          <w:rFonts w:hint="default" w:ascii="Times New Roman" w:hAnsi="Times New Roman" w:eastAsia="仿宋_GB2312" w:cs="Times New Roman"/>
          <w:sz w:val="32"/>
          <w:szCs w:val="32"/>
        </w:rPr>
        <w:t>机关运行经费支出</w:t>
      </w:r>
      <w:r>
        <w:rPr>
          <w:rFonts w:hint="default" w:ascii="Times New Roman" w:hAnsi="Times New Roman" w:eastAsia="仿宋_GB2312" w:cs="Times New Roman"/>
          <w:b/>
          <w:sz w:val="32"/>
          <w:szCs w:val="32"/>
        </w:rPr>
        <w:t>18.87</w:t>
      </w:r>
      <w:r>
        <w:rPr>
          <w:rFonts w:hint="default" w:ascii="Times New Roman" w:hAnsi="Times New Roman" w:eastAsia="仿宋_GB2312" w:cs="Times New Roman"/>
          <w:sz w:val="32"/>
          <w:szCs w:val="32"/>
        </w:rPr>
        <w:t>万元，比2022年度增加</w:t>
      </w:r>
      <w:r>
        <w:rPr>
          <w:rFonts w:hint="default" w:ascii="Times New Roman" w:hAnsi="Times New Roman" w:eastAsia="仿宋_GB2312" w:cs="Times New Roman"/>
          <w:b/>
          <w:bCs/>
          <w:sz w:val="32"/>
          <w:szCs w:val="32"/>
        </w:rPr>
        <w:t>5.40</w:t>
      </w:r>
      <w:r>
        <w:rPr>
          <w:rFonts w:hint="default" w:ascii="Times New Roman" w:hAnsi="Times New Roman" w:eastAsia="仿宋_GB2312" w:cs="Times New Roman"/>
          <w:sz w:val="32"/>
          <w:szCs w:val="32"/>
        </w:rPr>
        <w:t>万元，增长40.01%。主要原因是差旅费、其他交通费用等增加。</w:t>
      </w:r>
    </w:p>
    <w:p>
      <w:pPr>
        <w:spacing w:line="600" w:lineRule="exact"/>
        <w:ind w:firstLine="640" w:firstLineChars="200"/>
        <w:outlineLvl w:val="2"/>
        <w:rPr>
          <w:rFonts w:hint="default" w:ascii="Times New Roman" w:hAnsi="Times New Roman" w:eastAsia="楷体_GB2312" w:cs="Times New Roman"/>
          <w:b w:val="0"/>
          <w:bCs/>
          <w:sz w:val="32"/>
          <w:szCs w:val="32"/>
        </w:rPr>
      </w:pPr>
      <w:bookmarkStart w:id="47" w:name="_Toc15377223"/>
      <w:r>
        <w:rPr>
          <w:rFonts w:hint="default" w:ascii="Times New Roman" w:hAnsi="Times New Roman" w:eastAsia="楷体_GB2312" w:cs="Times New Roman"/>
          <w:b w:val="0"/>
          <w:bCs/>
          <w:sz w:val="32"/>
          <w:szCs w:val="32"/>
        </w:rPr>
        <w:t>（二）政府采购支出情况</w:t>
      </w:r>
      <w:bookmarkEnd w:id="47"/>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攀枝花市西区财政局（本级）</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b/>
          <w:sz w:val="32"/>
          <w:szCs w:val="32"/>
        </w:rPr>
        <w:t>5</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b/>
          <w:sz w:val="32"/>
          <w:szCs w:val="32"/>
        </w:rPr>
        <w:t>5</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万元。主要用于办公室搬迁。授予中小企业合同金额</w:t>
      </w:r>
      <w:r>
        <w:rPr>
          <w:rFonts w:hint="default" w:ascii="Times New Roman" w:hAnsi="Times New Roman" w:eastAsia="仿宋_GB2312" w:cs="Times New Roman"/>
          <w:b/>
          <w:sz w:val="32"/>
          <w:szCs w:val="32"/>
        </w:rPr>
        <w:t>5</w:t>
      </w:r>
      <w:r>
        <w:rPr>
          <w:rFonts w:hint="default" w:ascii="Times New Roman" w:hAnsi="Times New Roman" w:eastAsia="仿宋_GB2312" w:cs="Times New Roman"/>
          <w:sz w:val="32"/>
          <w:szCs w:val="32"/>
        </w:rPr>
        <w:t>万元，占政府采购支出总额的1%，其中：授予小微企业合同金额</w:t>
      </w:r>
      <w:r>
        <w:rPr>
          <w:rFonts w:hint="default" w:ascii="Times New Roman" w:hAnsi="Times New Roman" w:eastAsia="仿宋_GB2312" w:cs="Times New Roman"/>
          <w:b/>
          <w:sz w:val="32"/>
          <w:szCs w:val="32"/>
        </w:rPr>
        <w:t>5</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b/>
          <w:sz w:val="32"/>
          <w:szCs w:val="32"/>
        </w:rPr>
        <w:t>100</w:t>
      </w:r>
      <w:r>
        <w:rPr>
          <w:rFonts w:hint="default" w:ascii="Times New Roman" w:hAnsi="Times New Roman" w:eastAsia="仿宋_GB2312" w:cs="Times New Roman"/>
          <w:sz w:val="32"/>
          <w:szCs w:val="32"/>
        </w:rPr>
        <w:t>%。</w:t>
      </w:r>
    </w:p>
    <w:p>
      <w:pPr>
        <w:spacing w:line="600" w:lineRule="exact"/>
        <w:ind w:firstLine="640" w:firstLineChars="200"/>
        <w:outlineLvl w:val="2"/>
        <w:rPr>
          <w:rFonts w:hint="default" w:ascii="Times New Roman" w:hAnsi="Times New Roman" w:eastAsia="楷体_GB2312" w:cs="Times New Roman"/>
          <w:b w:val="0"/>
          <w:bCs/>
          <w:sz w:val="32"/>
          <w:szCs w:val="32"/>
        </w:rPr>
      </w:pPr>
      <w:bookmarkStart w:id="48" w:name="_Toc15377224"/>
      <w:r>
        <w:rPr>
          <w:rFonts w:hint="default" w:ascii="Times New Roman" w:hAnsi="Times New Roman" w:eastAsia="楷体_GB2312" w:cs="Times New Roman"/>
          <w:b w:val="0"/>
          <w:bCs/>
          <w:sz w:val="32"/>
          <w:szCs w:val="32"/>
        </w:rPr>
        <w:t>（三）国有资产占有使用情况</w:t>
      </w:r>
      <w:bookmarkEnd w:id="48"/>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截至2023年12月31日，攀枝花市西区财政局（本级）共有车辆0辆，其中：主要领导干部用车0辆、机要通信用车0辆、应急保障用车0辆、其他用车0辆。单价100万元以上设备（不含车辆）0台（套）。</w:t>
      </w:r>
    </w:p>
    <w:p>
      <w:pPr>
        <w:spacing w:line="600" w:lineRule="exact"/>
        <w:ind w:firstLine="640" w:firstLineChars="200"/>
        <w:outlineLvl w:val="2"/>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（四）预算绩效管理情况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2023年度预算编制阶段，组织对绩效评价体系建设、全区金财网建设、财政软件及业务经费项目等3个项目开展了预算事前绩效评估，对3个项目编制了绩效目标，预算执行过程中，选取3个项目开展绩效监控，组织对3个项目开展绩效自评，绩效自评表详见第四部分附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numPr>
          <w:ilvl w:val="0"/>
          <w:numId w:val="2"/>
        </w:numPr>
        <w:kinsoku/>
        <w:wordWrap/>
        <w:overflowPunct/>
        <w:topLinePunct w:val="0"/>
        <w:bidi w:val="0"/>
        <w:snapToGrid/>
        <w:spacing w:line="600" w:lineRule="exact"/>
        <w:ind w:left="0" w:leftChars="0" w:firstLine="0" w:firstLineChars="0"/>
        <w:jc w:val="center"/>
        <w:textAlignment w:val="auto"/>
        <w:outlineLvl w:val="0"/>
        <w:rPr>
          <w:rStyle w:val="27"/>
          <w:rFonts w:hint="eastAsia" w:ascii="仿宋_GB2312" w:hAnsi="仿宋_GB2312" w:eastAsia="仿宋_GB2312" w:cs="仿宋_GB2312"/>
          <w:b w:val="0"/>
        </w:rPr>
      </w:pPr>
      <w:bookmarkStart w:id="49" w:name="_Toc15396613"/>
      <w:bookmarkStart w:id="50" w:name="_Toc15377225"/>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名</w:t>
      </w:r>
      <w:r>
        <w:rPr>
          <w:rStyle w:val="27"/>
          <w:rFonts w:hint="eastAsia" w:ascii="方正小标宋_GBK" w:hAnsi="方正小标宋_GBK" w:eastAsia="方正小标宋_GBK" w:cs="方正小标宋_GBK"/>
          <w:b w:val="0"/>
        </w:rPr>
        <w:t>词解释</w:t>
      </w:r>
      <w:bookmarkEnd w:id="49"/>
      <w:bookmarkEnd w:id="50"/>
    </w:p>
    <w:p>
      <w:pPr>
        <w:keepNext w:val="0"/>
        <w:keepLines w:val="0"/>
        <w:pageBreakBefore w:val="0"/>
        <w:widowControl w:val="0"/>
        <w:kinsoku/>
        <w:wordWrap/>
        <w:overflowPunct/>
        <w:topLinePunct w:val="0"/>
        <w:bidi w:val="0"/>
        <w:snapToGrid/>
        <w:spacing w:line="600" w:lineRule="exact"/>
        <w:jc w:val="left"/>
        <w:textAlignment w:val="auto"/>
        <w:rPr>
          <w:rFonts w:hint="eastAsia" w:ascii="仿宋_GB2312" w:hAnsi="仿宋_GB2312" w:eastAsia="仿宋_GB2312" w:cs="仿宋_GB2312"/>
          <w:b/>
          <w:sz w:val="44"/>
          <w:szCs w:val="44"/>
        </w:rPr>
      </w:pP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4.其他收入：指单位取得的除上述收入以外的各项收入。主要是银行存款利息。 </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sz w:val="32"/>
          <w:szCs w:val="32"/>
        </w:rPr>
        <w:t>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一般公共服务（类）财政事务（款）行政运行（项）：反映行政单位（包括实行公务员管理的事业单位）的基本支出；一般行政管理事务（项）：反映行政单位（包括实行公务员管理的事业单位）未单独设置项级科目的其他项目支出；其他财政事务支出（项）：反映除上述项目以外其他财政事务方面的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社会保障和就业支出（类）行政事业单位养老支出（款）行政单位离退休（项）：反映行政单位（包括实行公务员管理的事业单位）开支的离退休经费；机关事业单位基本养老保险缴费支出（项）：反映机关事业单位实施养老保险制度由单位缴纳的基本养老保险费支出；机关事业单位职业年金缴费支出（项）：反映机关事业单位实施养老保险制度由单位实际缴纳的职业年金支出。残疾人事业（款）其他残疾人事业支出（项）：反映其他用于残疾人事业方面的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12.城乡社区支出（类）国有土地使用权出让收入及对应专项债务收入安排的支出（款）土地开发支出（项）：反映新疆生产建设兵团和地方政府用于前期土地开发性支出以及与前期土地开发相关的费用等支出。</w:t>
      </w:r>
      <w:r>
        <w:rPr>
          <w:rFonts w:hint="default" w:ascii="Times New Roman" w:hAnsi="Times New Roman" w:eastAsia="仿宋_GB2312" w:cs="Times New Roman"/>
          <w:color w:val="000000"/>
          <w:sz w:val="32"/>
          <w:szCs w:val="32"/>
        </w:rPr>
        <w:tab/>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15.项目支出：指在基本支出之外为完成特定行政任务和事业发展目标所发生的支出。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16.经营支出：指事业单位在专业业务活动及其辅助活动之外开展非独立核算经营活动发生的支出。</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hint="default" w:ascii="Times New Roman" w:hAnsi="Times New Roman" w:eastAsia="仿宋_GB2312" w:cs="Times New Roman"/>
          <w:color w:val="auto"/>
          <w:sz w:val="32"/>
          <w:szCs w:val="32"/>
        </w:rPr>
      </w:pPr>
    </w:p>
    <w:p>
      <w:pPr>
        <w:pStyle w:val="25"/>
        <w:spacing w:line="560" w:lineRule="exact"/>
        <w:ind w:firstLine="640" w:firstLineChars="200"/>
        <w:rPr>
          <w:rFonts w:hint="default" w:ascii="Times New Roman" w:hAnsi="Times New Roman" w:eastAsia="仿宋_GB2312" w:cs="Times New Roman"/>
          <w:color w:val="auto"/>
          <w:sz w:val="32"/>
          <w:szCs w:val="32"/>
        </w:rPr>
      </w:pPr>
    </w:p>
    <w:p>
      <w:pPr>
        <w:spacing w:line="600" w:lineRule="exact"/>
        <w:jc w:val="center"/>
        <w:outlineLvl w:val="0"/>
        <w:rPr>
          <w:rStyle w:val="27"/>
          <w:rFonts w:hint="default" w:ascii="Times New Roman" w:hAnsi="Times New Roman" w:eastAsia="黑体" w:cs="Times New Roman"/>
          <w:b w:val="0"/>
        </w:rPr>
      </w:pPr>
      <w:bookmarkStart w:id="51" w:name="_Toc15377226"/>
      <w:r>
        <w:rPr>
          <w:rFonts w:hint="default" w:ascii="Times New Roman" w:hAnsi="Times New Roman" w:cs="Times New Roman"/>
          <w:b/>
          <w:sz w:val="44"/>
          <w:szCs w:val="44"/>
        </w:rPr>
        <w:br w:type="page"/>
      </w:r>
      <w:bookmarkStart w:id="52" w:name="_Toc15396614"/>
      <w:r>
        <w:rPr>
          <w:rFonts w:hint="default" w:ascii="Times New Roman" w:hAnsi="Times New Roman" w:eastAsia="方正小标宋_GBK" w:cs="Times New Roman"/>
          <w:sz w:val="44"/>
          <w:szCs w:val="44"/>
        </w:rPr>
        <w:t>第</w:t>
      </w:r>
      <w:r>
        <w:rPr>
          <w:rStyle w:val="27"/>
          <w:rFonts w:hint="default" w:ascii="Times New Roman" w:hAnsi="Times New Roman" w:eastAsia="方正小标宋_GBK" w:cs="Times New Roman"/>
          <w:b w:val="0"/>
        </w:rPr>
        <w:t xml:space="preserve">四部分 </w:t>
      </w:r>
      <w:r>
        <w:rPr>
          <w:rStyle w:val="27"/>
          <w:rFonts w:hint="default" w:ascii="Times New Roman" w:hAnsi="Times New Roman" w:eastAsia="方正小标宋_GBK" w:cs="Times New Roman"/>
          <w:b w:val="0"/>
          <w:lang w:val="en-US" w:eastAsia="zh-CN"/>
        </w:rPr>
        <w:t xml:space="preserve"> </w:t>
      </w:r>
      <w:r>
        <w:rPr>
          <w:rStyle w:val="27"/>
          <w:rFonts w:hint="default" w:ascii="Times New Roman" w:hAnsi="Times New Roman" w:eastAsia="方正小标宋_GBK" w:cs="Times New Roman"/>
          <w:b w:val="0"/>
        </w:rPr>
        <w:t>附件</w:t>
      </w:r>
      <w:bookmarkEnd w:id="52"/>
    </w:p>
    <w:p>
      <w:pPr>
        <w:spacing w:line="572" w:lineRule="exact"/>
        <w:jc w:val="left"/>
        <w:outlineLvl w:val="0"/>
        <w:rPr>
          <w:rFonts w:hint="default" w:ascii="Times New Roman" w:hAnsi="Times New Roman" w:eastAsia="仿宋_GB2312" w:cs="Times New Roman"/>
          <w:sz w:val="32"/>
          <w:szCs w:val="32"/>
        </w:rPr>
      </w:pPr>
    </w:p>
    <w:p>
      <w:pPr>
        <w:spacing w:line="600" w:lineRule="exact"/>
        <w:jc w:val="center"/>
        <w:outlineLvl w:val="0"/>
        <w:rPr>
          <w:rFonts w:hint="default" w:ascii="Times New Roman" w:hAnsi="Times New Roman" w:eastAsia="楷体_GB2312" w:cs="Times New Roman"/>
          <w:b w:val="0"/>
          <w:bCs w:val="0"/>
          <w:color w:val="FF0000"/>
          <w:sz w:val="44"/>
          <w:szCs w:val="44"/>
        </w:rPr>
      </w:pPr>
      <w:bookmarkStart w:id="53" w:name="_Toc15396618"/>
      <w:r>
        <w:rPr>
          <w:rFonts w:hint="default" w:ascii="Times New Roman" w:hAnsi="Times New Roman" w:eastAsia="楷体_GB2312" w:cs="Times New Roman"/>
          <w:b w:val="0"/>
          <w:bCs w:val="0"/>
          <w:sz w:val="32"/>
          <w:szCs w:val="32"/>
        </w:rPr>
        <w:t>部门预算项目支出绩效自评表（2023年度）</w:t>
      </w: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Style w:val="27"/>
          <w:rFonts w:hint="eastAsia" w:ascii="方正小标宋_GBK" w:hAnsi="方正小标宋_GBK" w:eastAsia="方正小标宋_GBK" w:cs="方正小标宋_GBK"/>
          <w:b w:val="0"/>
        </w:rPr>
      </w:pPr>
      <w:r>
        <w:rPr>
          <w:rFonts w:hint="eastAsia" w:ascii="方正小标宋_GBK" w:hAnsi="方正小标宋_GBK" w:eastAsia="方正小标宋_GBK" w:cs="方正小标宋_GBK"/>
          <w:sz w:val="44"/>
          <w:szCs w:val="44"/>
        </w:rPr>
        <w:t>第</w:t>
      </w:r>
      <w:r>
        <w:rPr>
          <w:rStyle w:val="27"/>
          <w:rFonts w:hint="eastAsia" w:ascii="方正小标宋_GBK" w:hAnsi="方正小标宋_GBK" w:eastAsia="方正小标宋_GBK" w:cs="方正小标宋_GBK"/>
          <w:b w:val="0"/>
        </w:rPr>
        <w:t xml:space="preserve">五部分 </w:t>
      </w:r>
      <w:r>
        <w:rPr>
          <w:rStyle w:val="27"/>
          <w:rFonts w:hint="eastAsia" w:ascii="方正小标宋_GBK" w:hAnsi="方正小标宋_GBK" w:eastAsia="方正小标宋_GBK" w:cs="方正小标宋_GBK"/>
          <w:b w:val="0"/>
          <w:lang w:val="en-US" w:eastAsia="zh-CN"/>
        </w:rPr>
        <w:t xml:space="preserve"> </w:t>
      </w:r>
      <w:r>
        <w:rPr>
          <w:rStyle w:val="27"/>
          <w:rFonts w:hint="eastAsia" w:ascii="方正小标宋_GBK" w:hAnsi="方正小标宋_GBK" w:eastAsia="方正小标宋_GBK" w:cs="方正小标宋_GBK"/>
          <w:b w:val="0"/>
        </w:rPr>
        <w:t>附表</w:t>
      </w:r>
      <w:bookmarkEnd w:id="51"/>
      <w:bookmarkEnd w:id="53"/>
      <w:bookmarkStart w:id="54" w:name="_Toc15396619"/>
    </w:p>
    <w:p>
      <w:pPr>
        <w:pStyle w:val="2"/>
        <w:rPr>
          <w:rFonts w:hint="default"/>
        </w:rPr>
      </w:pPr>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r>
        <w:rPr>
          <w:rFonts w:hint="default" w:ascii="Times New Roman" w:hAnsi="Times New Roman" w:eastAsia="仿宋" w:cs="Times New Roman"/>
          <w:b w:val="0"/>
        </w:rPr>
        <w:t>一、收</w:t>
      </w:r>
      <w:r>
        <w:rPr>
          <w:rStyle w:val="28"/>
          <w:rFonts w:hint="default" w:ascii="Times New Roman" w:hAnsi="Times New Roman" w:eastAsia="仿宋" w:cs="Times New Roman"/>
          <w:b w:val="0"/>
          <w:bCs w:val="0"/>
        </w:rPr>
        <w:t>入支出决算总表</w:t>
      </w:r>
      <w:bookmarkEnd w:id="54"/>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bookmarkStart w:id="55" w:name="_Toc15396620"/>
      <w:r>
        <w:rPr>
          <w:rFonts w:hint="default" w:ascii="Times New Roman" w:hAnsi="Times New Roman" w:eastAsia="仿宋" w:cs="Times New Roman"/>
          <w:b w:val="0"/>
        </w:rPr>
        <w:t>二、收</w:t>
      </w:r>
      <w:r>
        <w:rPr>
          <w:rStyle w:val="28"/>
          <w:rFonts w:hint="default" w:ascii="Times New Roman" w:hAnsi="Times New Roman" w:eastAsia="仿宋" w:cs="Times New Roman"/>
          <w:b w:val="0"/>
          <w:bCs w:val="0"/>
        </w:rPr>
        <w:t>入决算表</w:t>
      </w:r>
      <w:bookmarkEnd w:id="55"/>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bookmarkStart w:id="56" w:name="_Toc15396621"/>
      <w:r>
        <w:rPr>
          <w:rStyle w:val="28"/>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8"/>
          <w:rFonts w:hint="default" w:ascii="Times New Roman" w:hAnsi="Times New Roman" w:eastAsia="仿宋" w:cs="Times New Roman"/>
          <w:b w:val="0"/>
          <w:bCs w:val="0"/>
        </w:rPr>
        <w:t>出决算表</w:t>
      </w:r>
      <w:bookmarkEnd w:id="56"/>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b w:val="0"/>
        </w:rPr>
      </w:pPr>
      <w:bookmarkStart w:id="57" w:name="_Toc15396622"/>
      <w:r>
        <w:rPr>
          <w:rStyle w:val="28"/>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8"/>
          <w:rFonts w:hint="default" w:ascii="Times New Roman" w:hAnsi="Times New Roman" w:eastAsia="仿宋" w:cs="Times New Roman"/>
          <w:b w:val="0"/>
          <w:bCs w:val="0"/>
        </w:rPr>
        <w:t>政拨款收入支出决算总表</w:t>
      </w:r>
      <w:bookmarkEnd w:id="57"/>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Style w:val="28"/>
          <w:rFonts w:hint="default" w:ascii="Times New Roman" w:hAnsi="Times New Roman" w:eastAsia="仿宋" w:cs="Times New Roman"/>
          <w:b w:val="0"/>
          <w:bCs w:val="0"/>
        </w:rPr>
      </w:pPr>
      <w:bookmarkStart w:id="58" w:name="_Toc15396623"/>
      <w:r>
        <w:rPr>
          <w:rStyle w:val="28"/>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8"/>
          <w:rFonts w:hint="default" w:ascii="Times New Roman" w:hAnsi="Times New Roman" w:eastAsia="仿宋" w:cs="Times New Roman"/>
          <w:b w:val="0"/>
          <w:bCs w:val="0"/>
        </w:rPr>
        <w:t>政拨款支出决算明细表</w:t>
      </w:r>
      <w:bookmarkEnd w:id="58"/>
      <w:bookmarkStart w:id="59" w:name="_Toc15396624"/>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r>
        <w:rPr>
          <w:rStyle w:val="28"/>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般公共预算财政拨款支出决算表</w:t>
      </w:r>
      <w:bookmarkEnd w:id="59"/>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bookmarkStart w:id="60" w:name="_Toc15396625"/>
      <w:r>
        <w:rPr>
          <w:rStyle w:val="28"/>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般公共预算财政拨款支出决算明细表</w:t>
      </w:r>
      <w:bookmarkEnd w:id="60"/>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bookmarkStart w:id="61" w:name="_Toc15396626"/>
      <w:r>
        <w:rPr>
          <w:rStyle w:val="28"/>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般公共预算财政拨款基本支出决算表</w:t>
      </w:r>
      <w:bookmarkEnd w:id="61"/>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bookmarkStart w:id="62" w:name="_Toc15396627"/>
      <w:r>
        <w:rPr>
          <w:rStyle w:val="28"/>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8"/>
          <w:rFonts w:hint="default" w:ascii="Times New Roman" w:hAnsi="Times New Roman" w:eastAsia="仿宋" w:cs="Times New Roman"/>
          <w:b w:val="0"/>
          <w:bCs w:val="0"/>
        </w:rPr>
        <w:t>般公共预算财政拨款项目支出决算表</w:t>
      </w:r>
      <w:bookmarkEnd w:id="62"/>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bookmarkStart w:id="63" w:name="_Toc15396628"/>
      <w:r>
        <w:rPr>
          <w:rStyle w:val="28"/>
          <w:rFonts w:hint="default" w:ascii="Times New Roman" w:hAnsi="Times New Roman" w:eastAsia="仿宋" w:cs="Times New Roman"/>
          <w:b w:val="0"/>
          <w:bCs w:val="0"/>
        </w:rPr>
        <w:t>十、</w:t>
      </w:r>
      <w:bookmarkEnd w:id="63"/>
      <w:r>
        <w:rPr>
          <w:rFonts w:hint="default" w:ascii="Times New Roman" w:hAnsi="Times New Roman" w:eastAsia="仿宋" w:cs="Times New Roman"/>
          <w:b w:val="0"/>
        </w:rPr>
        <w:t>政</w:t>
      </w:r>
      <w:r>
        <w:rPr>
          <w:rStyle w:val="28"/>
          <w:rFonts w:hint="default" w:ascii="Times New Roman" w:hAnsi="Times New Roman" w:eastAsia="仿宋" w:cs="Times New Roman"/>
          <w:b w:val="0"/>
          <w:bCs w:val="0"/>
        </w:rPr>
        <w:t>府性基金预算财政拨款收入支出决算表</w:t>
      </w:r>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bookmarkStart w:id="64" w:name="_Toc15396629"/>
      <w:r>
        <w:rPr>
          <w:rStyle w:val="28"/>
          <w:rFonts w:hint="default" w:ascii="Times New Roman" w:hAnsi="Times New Roman" w:eastAsia="仿宋" w:cs="Times New Roman"/>
          <w:b w:val="0"/>
          <w:bCs w:val="0"/>
        </w:rPr>
        <w:t>十一、</w:t>
      </w:r>
      <w:bookmarkEnd w:id="64"/>
      <w:r>
        <w:rPr>
          <w:rFonts w:hint="default" w:ascii="Times New Roman" w:hAnsi="Times New Roman" w:eastAsia="仿宋" w:cs="Times New Roman"/>
          <w:b w:val="0"/>
        </w:rPr>
        <w:t>国</w:t>
      </w:r>
      <w:r>
        <w:rPr>
          <w:rStyle w:val="28"/>
          <w:rFonts w:hint="default" w:ascii="Times New Roman" w:hAnsi="Times New Roman" w:eastAsia="仿宋" w:cs="Times New Roman"/>
          <w:b w:val="0"/>
          <w:bCs w:val="0"/>
        </w:rPr>
        <w:t>有资本经营预算财政拨款收入支出决算表</w:t>
      </w:r>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bookmarkStart w:id="65" w:name="_Toc15396630"/>
      <w:r>
        <w:rPr>
          <w:rStyle w:val="28"/>
          <w:rFonts w:hint="default" w:ascii="Times New Roman" w:hAnsi="Times New Roman" w:eastAsia="仿宋" w:cs="Times New Roman"/>
          <w:b w:val="0"/>
          <w:bCs w:val="0"/>
        </w:rPr>
        <w:t>十二、</w:t>
      </w:r>
      <w:bookmarkEnd w:id="65"/>
      <w:r>
        <w:rPr>
          <w:rStyle w:val="28"/>
          <w:rFonts w:hint="default" w:ascii="Times New Roman" w:hAnsi="Times New Roman" w:eastAsia="仿宋" w:cs="Times New Roman"/>
          <w:b w:val="0"/>
          <w:bCs w:val="0"/>
        </w:rPr>
        <w:t>国有资本经营预算财政拨款支出决算表</w:t>
      </w:r>
    </w:p>
    <w:p>
      <w:pPr>
        <w:pStyle w:val="4"/>
        <w:pageBreakBefore w:val="0"/>
        <w:widowControl w:val="0"/>
        <w:kinsoku/>
        <w:wordWrap/>
        <w:overflowPunct/>
        <w:topLinePunct w:val="0"/>
        <w:autoSpaceDE/>
        <w:autoSpaceDN/>
        <w:bidi w:val="0"/>
        <w:adjustRightInd/>
        <w:snapToGrid/>
        <w:spacing w:before="0" w:after="0" w:line="600" w:lineRule="exact"/>
        <w:ind w:left="0" w:leftChars="0" w:firstLine="464" w:firstLineChars="145"/>
        <w:textAlignment w:val="auto"/>
        <w:rPr>
          <w:rFonts w:hint="default" w:ascii="Times New Roman" w:hAnsi="Times New Roman" w:eastAsia="仿宋" w:cs="Times New Roman"/>
        </w:rPr>
      </w:pPr>
      <w:bookmarkStart w:id="66" w:name="_Toc15396631"/>
      <w:r>
        <w:rPr>
          <w:rStyle w:val="28"/>
          <w:rFonts w:hint="default" w:ascii="Times New Roman" w:hAnsi="Times New Roman" w:eastAsia="仿宋" w:cs="Times New Roman"/>
          <w:b w:val="0"/>
          <w:bCs w:val="0"/>
        </w:rPr>
        <w:t>十三、</w:t>
      </w:r>
      <w:bookmarkEnd w:id="66"/>
      <w:r>
        <w:rPr>
          <w:rStyle w:val="28"/>
          <w:rFonts w:hint="default" w:ascii="Times New Roman" w:hAnsi="Times New Roman" w:eastAsia="仿宋" w:cs="Times New Roman"/>
          <w:b w:val="0"/>
          <w:bCs w:val="0"/>
        </w:rPr>
        <w:t>财政拨款“三公”经费支出决算</w:t>
      </w:r>
      <w:bookmarkStart w:id="67" w:name="_GoBack"/>
      <w:bookmarkEnd w:id="67"/>
      <w:r>
        <w:rPr>
          <w:rStyle w:val="28"/>
          <w:rFonts w:hint="default" w:ascii="Times New Roman" w:hAnsi="Times New Roman" w:eastAsia="仿宋" w:cs="Times New Roman"/>
          <w:b w:val="0"/>
          <w:bCs w:val="0"/>
        </w:rPr>
        <w:t>表</w:t>
      </w:r>
    </w:p>
    <w:sectPr>
      <w:footerReference r:id="rId7" w:type="default"/>
      <w:pgSz w:w="11906" w:h="16838"/>
      <w:pgMar w:top="2098" w:right="1474" w:bottom="1984" w:left="1587" w:header="851"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94781956"/>
                          </w:sdtPr>
                          <w:sdtContent>
                            <w:p>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p>
                          </w:sdtContent>
                        </w:sdt>
                        <w:p>
                          <w:pPr>
                            <w:pStyle w:val="2"/>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sdt>
                    <w:sdtPr>
                      <w:id w:val="-1994781956"/>
                    </w:sdtPr>
                    <w:sdtContent>
                      <w:p>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9"/>
      <w:tabs>
        <w:tab w:val="left" w:pos="746"/>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tabs>
        <w:tab w:val="left" w:pos="746"/>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52548"/>
                          </w:sdtPr>
                          <w:sdtContent>
                            <w:p>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p>
                          </w:sdtContent>
                        </w:sdt>
                        <w:p>
                          <w:pPr>
                            <w:pStyle w:val="2"/>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sdt>
                    <w:sdtPr>
                      <w:id w:val="147452548"/>
                    </w:sdtPr>
                    <w:sdtContent>
                      <w:p>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9"/>
      <w:tabs>
        <w:tab w:val="left" w:pos="746"/>
        <w:tab w:val="clear" w:pos="4153"/>
      </w:tabs>
      <w:rPr>
        <w:rFonts w:hint="eastAsia" w:eastAsia="宋体"/>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ZGZiNjhhNTJkMTlmZDk4Yzg3ZjAxMzUwYWMzOTIifQ=="/>
  </w:docVars>
  <w:rsids>
    <w:rsidRoot w:val="00F1361C"/>
    <w:rsid w:val="000222C6"/>
    <w:rsid w:val="0002549F"/>
    <w:rsid w:val="000468DB"/>
    <w:rsid w:val="00050094"/>
    <w:rsid w:val="0006487A"/>
    <w:rsid w:val="00065F8F"/>
    <w:rsid w:val="00070A43"/>
    <w:rsid w:val="000768F2"/>
    <w:rsid w:val="00077219"/>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4527"/>
    <w:rsid w:val="00114E9B"/>
    <w:rsid w:val="00142216"/>
    <w:rsid w:val="00144D6A"/>
    <w:rsid w:val="0014729F"/>
    <w:rsid w:val="001538F4"/>
    <w:rsid w:val="00157BAB"/>
    <w:rsid w:val="001654D1"/>
    <w:rsid w:val="00166BA7"/>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54F0C"/>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63A12"/>
    <w:rsid w:val="00465812"/>
    <w:rsid w:val="00471401"/>
    <w:rsid w:val="00473F31"/>
    <w:rsid w:val="0048263A"/>
    <w:rsid w:val="00487E5D"/>
    <w:rsid w:val="004A711F"/>
    <w:rsid w:val="004B199D"/>
    <w:rsid w:val="004B4690"/>
    <w:rsid w:val="004E0A2D"/>
    <w:rsid w:val="004E206B"/>
    <w:rsid w:val="004E6DF7"/>
    <w:rsid w:val="004F0FBD"/>
    <w:rsid w:val="00505A47"/>
    <w:rsid w:val="00506172"/>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1360"/>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17DF8"/>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4F73"/>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70D6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906D3"/>
    <w:rsid w:val="00EA010F"/>
    <w:rsid w:val="00ED1B63"/>
    <w:rsid w:val="00ED2FC2"/>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86816DF"/>
    <w:rsid w:val="1BE8440E"/>
    <w:rsid w:val="1D155CEE"/>
    <w:rsid w:val="1FDBBF84"/>
    <w:rsid w:val="20F57F95"/>
    <w:rsid w:val="240371BF"/>
    <w:rsid w:val="25711CC6"/>
    <w:rsid w:val="25C741E6"/>
    <w:rsid w:val="276F80C0"/>
    <w:rsid w:val="27842671"/>
    <w:rsid w:val="29253FFB"/>
    <w:rsid w:val="29FD04D3"/>
    <w:rsid w:val="2A006DD4"/>
    <w:rsid w:val="2ABE7A3E"/>
    <w:rsid w:val="2AFF09B6"/>
    <w:rsid w:val="2B3A055D"/>
    <w:rsid w:val="2CA234A8"/>
    <w:rsid w:val="2EFA178C"/>
    <w:rsid w:val="2EFDF86C"/>
    <w:rsid w:val="2F9D17E1"/>
    <w:rsid w:val="30B46D73"/>
    <w:rsid w:val="319F7F4E"/>
    <w:rsid w:val="323611A9"/>
    <w:rsid w:val="346D368C"/>
    <w:rsid w:val="356A28F1"/>
    <w:rsid w:val="357C035A"/>
    <w:rsid w:val="368E000D"/>
    <w:rsid w:val="383D272C"/>
    <w:rsid w:val="39AE70AB"/>
    <w:rsid w:val="3A287454"/>
    <w:rsid w:val="3A4DCE41"/>
    <w:rsid w:val="3AA20633"/>
    <w:rsid w:val="3BCB56FA"/>
    <w:rsid w:val="3C0C0783"/>
    <w:rsid w:val="3EE7C2F4"/>
    <w:rsid w:val="3F280606"/>
    <w:rsid w:val="3F371B56"/>
    <w:rsid w:val="3F792ED8"/>
    <w:rsid w:val="3F9F3A96"/>
    <w:rsid w:val="3FECA4B2"/>
    <w:rsid w:val="3FF58C48"/>
    <w:rsid w:val="42FF6694"/>
    <w:rsid w:val="48BF60AB"/>
    <w:rsid w:val="493C27E9"/>
    <w:rsid w:val="496F39ED"/>
    <w:rsid w:val="49FF41D3"/>
    <w:rsid w:val="4AAB757D"/>
    <w:rsid w:val="4BE068DB"/>
    <w:rsid w:val="4BF6002B"/>
    <w:rsid w:val="4BFFC6BE"/>
    <w:rsid w:val="4CFF7513"/>
    <w:rsid w:val="4ECE2238"/>
    <w:rsid w:val="51DB4B86"/>
    <w:rsid w:val="51F64DB0"/>
    <w:rsid w:val="55333C3E"/>
    <w:rsid w:val="5F575AAD"/>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6111</Words>
  <Characters>6618</Characters>
  <Lines>48</Lines>
  <Paragraphs>13</Paragraphs>
  <TotalTime>2</TotalTime>
  <ScaleCrop>false</ScaleCrop>
  <LinksUpToDate>false</LinksUpToDate>
  <CharactersWithSpaces>6702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cp:lastModifiedBy>
  <cp:lastPrinted>2023-08-03T02:35:00Z</cp:lastPrinted>
  <dcterms:modified xsi:type="dcterms:W3CDTF">2024-10-25T10:45:27Z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EFFA761E7F994984B072207427FA75C3_13</vt:lpwstr>
  </property>
</Properties>
</file>