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77426"/>
      <w:bookmarkStart w:id="8" w:name="_Toc15378442"/>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信访局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 xml:space="preserve"> </w:t>
      </w:r>
      <w:r>
        <w:rPr>
          <w:rFonts w:hint="eastAsia"/>
        </w:rPr>
        <w:t>日</w:t>
      </w:r>
    </w:p>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2"/>
        <w:adjustRightInd w:val="0"/>
        <w:snapToGrid w:val="0"/>
        <w:spacing w:line="440" w:lineRule="exact"/>
        <w:jc w:val="left"/>
        <w:rPr>
          <w:rFonts w:hint="eastAsia" w:ascii="仿宋" w:hAnsi="仿宋" w:eastAsia="仿宋" w:cstheme="minorBidi"/>
          <w:kern w:val="2"/>
          <w:sz w:val="24"/>
          <w:szCs w:val="24"/>
          <w:lang w:val="en-US" w:eastAsia="zh-CN" w:bidi="ar-SA"/>
        </w:rPr>
      </w:pPr>
      <w:r>
        <w:rPr>
          <w:rFonts w:hint="eastAsia"/>
          <w:sz w:val="24"/>
        </w:rPr>
        <w:t>一、主要职责</w:t>
      </w:r>
      <w:r>
        <w:rPr>
          <w:rFonts w:cstheme="minorBidi"/>
          <w:sz w:val="24"/>
          <w:szCs w:val="24"/>
        </w:rPr>
        <w:tab/>
      </w:r>
      <w:r>
        <w:rPr>
          <w:rFonts w:hint="eastAsia" w:ascii="仿宋" w:hAnsi="仿宋" w:eastAsia="仿宋" w:cstheme="minorBidi"/>
          <w:kern w:val="2"/>
          <w:sz w:val="24"/>
          <w:szCs w:val="24"/>
          <w:lang w:val="en-US" w:eastAsia="zh-CN" w:bidi="ar-SA"/>
        </w:rPr>
        <w:t>4</w:t>
      </w:r>
    </w:p>
    <w:p>
      <w:pPr>
        <w:pStyle w:val="12"/>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szCs w:val="24"/>
        </w:rPr>
        <w:tab/>
      </w:r>
      <w:r>
        <w:rPr>
          <w:rFonts w:hint="eastAsia" w:ascii="仿宋" w:hAnsi="仿宋" w:eastAsia="仿宋" w:cstheme="minorBidi"/>
          <w:kern w:val="2"/>
          <w:sz w:val="24"/>
          <w:szCs w:val="24"/>
          <w:lang w:val="en-US" w:eastAsia="zh-CN" w:bidi="ar-SA"/>
        </w:rPr>
        <w:t>5</w:t>
      </w:r>
    </w:p>
    <w:p>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rPr>
          <w:rFonts w:cstheme="minorBidi"/>
          <w:sz w:val="24"/>
          <w:szCs w:val="24"/>
        </w:rPr>
        <w:tab/>
      </w:r>
      <w:r>
        <w:rPr>
          <w:rFonts w:hint="eastAsia" w:ascii="仿宋" w:hAnsi="仿宋" w:eastAsia="仿宋" w:cstheme="minorBidi"/>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ascii="仿宋" w:hAnsi="仿宋" w:eastAsia="仿宋" w:cstheme="minorBidi"/>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ascii="仿宋" w:hAnsi="仿宋" w:eastAsia="仿宋" w:cstheme="minorBidi"/>
          <w:kern w:val="2"/>
          <w:sz w:val="24"/>
          <w:szCs w:val="24"/>
          <w:lang w:val="en-US" w:eastAsia="zh-CN" w:bidi="ar-SA"/>
        </w:rPr>
        <w:t>7</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7</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ascii="仿宋" w:hAnsi="仿宋" w:eastAsia="仿宋" w:cstheme="minorBidi"/>
          <w:kern w:val="2"/>
          <w:sz w:val="24"/>
          <w:szCs w:val="24"/>
          <w:lang w:val="en-US" w:eastAsia="zh-CN" w:bidi="ar-SA"/>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ascii="仿宋" w:hAnsi="仿宋" w:eastAsia="仿宋" w:cstheme="minorBidi"/>
          <w:kern w:val="2"/>
          <w:sz w:val="24"/>
          <w:szCs w:val="24"/>
          <w:lang w:val="en-US" w:eastAsia="zh-CN" w:bidi="ar-SA"/>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ascii="仿宋" w:hAnsi="仿宋" w:eastAsia="仿宋" w:cstheme="minorBidi"/>
          <w:kern w:val="2"/>
          <w:sz w:val="24"/>
          <w:szCs w:val="24"/>
          <w:lang w:val="en-US" w:eastAsia="zh-CN" w:bidi="ar-SA"/>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12</w:t>
      </w:r>
    </w:p>
    <w:p>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12</w:t>
      </w:r>
    </w:p>
    <w:p>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ascii="仿宋" w:hAnsi="仿宋" w:eastAsia="仿宋" w:cstheme="minorBidi"/>
          <w:kern w:val="2"/>
          <w:sz w:val="24"/>
          <w:szCs w:val="24"/>
          <w:lang w:val="en-US" w:eastAsia="zh-CN" w:bidi="ar-SA"/>
        </w:rPr>
        <w:t>12</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14</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17</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45</w:t>
      </w:r>
    </w:p>
    <w:p>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45</w:t>
      </w:r>
      <w:bookmarkStart w:id="66" w:name="_GoBack"/>
      <w:bookmarkEnd w:id="66"/>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ind w:firstLine="640" w:firstLineChars="200"/>
        <w:rPr>
          <w:rStyle w:val="29"/>
          <w:rFonts w:hint="eastAsia"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pPr>
        <w:autoSpaceDE w:val="0"/>
        <w:autoSpaceDN w:val="0"/>
        <w:adjustRightInd w:val="0"/>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hint="eastAsia" w:ascii="仿宋_GB2312" w:hAnsi="仿宋" w:eastAsia="仿宋_GB2312"/>
          <w:sz w:val="32"/>
          <w:szCs w:val="32"/>
        </w:rPr>
        <w:t>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w:t>
      </w:r>
      <w:r>
        <w:rPr>
          <w:rFonts w:hint="eastAsia" w:ascii="仿宋_GB2312" w:hAnsi="仿宋" w:eastAsia="仿宋_GB2312"/>
          <w:sz w:val="32"/>
          <w:szCs w:val="32"/>
        </w:rPr>
        <w:t>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6.</w:t>
      </w:r>
      <w:r>
        <w:rPr>
          <w:rFonts w:hint="eastAsia" w:ascii="仿宋_GB2312" w:hAnsi="仿宋" w:eastAsia="仿宋_GB2312"/>
          <w:sz w:val="32"/>
          <w:szCs w:val="32"/>
        </w:rPr>
        <w:t>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7.</w:t>
      </w:r>
      <w:r>
        <w:rPr>
          <w:rFonts w:hint="eastAsia" w:ascii="仿宋_GB2312" w:hAnsi="仿宋" w:eastAsia="仿宋_GB2312"/>
          <w:sz w:val="32"/>
          <w:szCs w:val="32"/>
        </w:rPr>
        <w:t>制定信访信息汇集分析机制，指导全区信访信息化建设和应用。</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8.</w:t>
      </w:r>
      <w:r>
        <w:rPr>
          <w:rFonts w:hint="eastAsia" w:ascii="仿宋_GB2312" w:hAnsi="仿宋" w:eastAsia="仿宋_GB2312"/>
          <w:sz w:val="32"/>
          <w:szCs w:val="32"/>
        </w:rPr>
        <w:t>承担区信访工作联席会议、区政府信访事项复查复核委员会日常工作，监督落实有关事项。</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负责职责范围内的安全生产和职业健康、生态环境保护、审批服务便民化工作。</w:t>
      </w:r>
    </w:p>
    <w:p>
      <w:pPr>
        <w:numPr>
          <w:ilvl w:val="0"/>
          <w:numId w:val="0"/>
        </w:num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完成区委和区政府交办的其他任务。</w:t>
      </w:r>
    </w:p>
    <w:p>
      <w:pPr>
        <w:pStyle w:val="4"/>
        <w:ind w:firstLine="640" w:firstLineChars="200"/>
        <w:rPr>
          <w:rFonts w:ascii="黑体" w:hAnsi="黑体" w:eastAsia="黑体"/>
          <w:b w:val="0"/>
        </w:rPr>
      </w:pPr>
      <w:r>
        <w:rPr>
          <w:rFonts w:hint="eastAsia" w:ascii="黑体" w:hAnsi="黑体" w:eastAsia="黑体"/>
          <w:b w:val="0"/>
        </w:rPr>
        <w:t>二、机构设置</w:t>
      </w:r>
    </w:p>
    <w:bookmarkEnd w:id="14"/>
    <w:bookmarkEnd w:id="15"/>
    <w:p>
      <w:pPr>
        <w:widowControl/>
        <w:ind w:firstLine="640" w:firstLineChars="200"/>
        <w:jc w:val="left"/>
        <w:rPr>
          <w:rFonts w:ascii="仿宋" w:hAnsi="仿宋" w:eastAsia="仿宋"/>
          <w:kern w:val="0"/>
          <w:sz w:val="32"/>
          <w:szCs w:val="32"/>
        </w:rPr>
      </w:pPr>
      <w:r>
        <w:rPr>
          <w:rFonts w:hint="eastAsia" w:ascii="仿宋_GB2312" w:hAnsi="仿宋" w:eastAsia="仿宋_GB2312" w:cs="Times New Roman"/>
          <w:sz w:val="32"/>
          <w:szCs w:val="32"/>
          <w:lang w:val="en-US" w:eastAsia="zh-CN"/>
        </w:rPr>
        <w:t>攀枝花市西区信访局</w:t>
      </w:r>
      <w:r>
        <w:rPr>
          <w:rFonts w:hint="eastAsia" w:ascii="仿宋_GB2312" w:hAnsi="仿宋" w:eastAsia="仿宋_GB2312"/>
          <w:sz w:val="32"/>
          <w:szCs w:val="32"/>
        </w:rPr>
        <w:t>内设办公室和业务股，下设二级单位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w:t>
      </w:r>
      <w:r>
        <w:rPr>
          <w:rFonts w:hint="eastAsia" w:ascii="仿宋" w:hAnsi="仿宋" w:eastAsia="仿宋"/>
          <w:sz w:val="32"/>
          <w:szCs w:val="32"/>
        </w:rPr>
        <w:t>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（攀枝花市</w:t>
      </w:r>
      <w:r>
        <w:rPr>
          <w:rFonts w:hint="eastAsia" w:ascii="仿宋_GB2312" w:hAnsi="仿宋" w:eastAsia="仿宋_GB2312"/>
          <w:sz w:val="32"/>
          <w:szCs w:val="32"/>
        </w:rPr>
        <w:t>西区群众工作中心</w:t>
      </w:r>
      <w:r>
        <w:rPr>
          <w:rFonts w:hint="eastAsia" w:ascii="仿宋_GB2312" w:hAnsi="仿宋" w:eastAsia="仿宋_GB2312"/>
          <w:sz w:val="32"/>
          <w:szCs w:val="32"/>
          <w:lang w:eastAsia="zh-CN"/>
        </w:rPr>
        <w:t>）</w:t>
      </w:r>
      <w:r>
        <w:rPr>
          <w:rFonts w:hint="eastAsia" w:ascii="仿宋" w:hAnsi="仿宋" w:eastAsia="仿宋"/>
          <w:sz w:val="32"/>
          <w:szCs w:val="32"/>
        </w:rPr>
        <w:t>。</w:t>
      </w: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cs="Times New Roman"/>
          <w:b/>
          <w:sz w:val="32"/>
          <w:szCs w:val="32"/>
        </w:rPr>
        <w:t>235.68</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cs="Times New Roman"/>
          <w:b/>
          <w:sz w:val="32"/>
          <w:szCs w:val="32"/>
          <w:lang w:val="en-US" w:eastAsia="zh-CN"/>
        </w:rPr>
        <w:t>12.75</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5.72%</w:t>
      </w:r>
      <w:r>
        <w:rPr>
          <w:rFonts w:hint="eastAsia" w:ascii="仿宋" w:hAnsi="仿宋" w:eastAsia="仿宋"/>
          <w:sz w:val="32"/>
          <w:szCs w:val="32"/>
        </w:rPr>
        <w:t>。主要变动原因是人员经费</w:t>
      </w:r>
      <w:r>
        <w:rPr>
          <w:rFonts w:hint="eastAsia" w:ascii="仿宋" w:hAnsi="仿宋" w:eastAsia="仿宋"/>
          <w:sz w:val="32"/>
          <w:szCs w:val="32"/>
          <w:lang w:eastAsia="zh-CN"/>
        </w:rPr>
        <w:t>收、支</w:t>
      </w:r>
      <w:r>
        <w:rPr>
          <w:rFonts w:hint="eastAsia" w:ascii="仿宋" w:hAnsi="仿宋" w:eastAsia="仿宋"/>
          <w:sz w:val="32"/>
          <w:szCs w:val="32"/>
        </w:rPr>
        <w:t>增加。</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13"/>
      </w:pPr>
      <w:r>
        <w:rPr>
          <w:rFonts w:hint="eastAsia"/>
          <w:lang w:val="en-US" w:eastAsia="zh-CN"/>
        </w:rPr>
        <w:t xml:space="preserve"> </w:t>
      </w:r>
      <w:r>
        <w:drawing>
          <wp:inline distT="0" distB="0" distL="114300" distR="114300">
            <wp:extent cx="4590415" cy="22129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2212975"/>
                    </a:xfrm>
                    <a:prstGeom prst="rect">
                      <a:avLst/>
                    </a:prstGeom>
                    <a:noFill/>
                    <a:ln>
                      <a:noFill/>
                    </a:ln>
                  </pic:spPr>
                </pic:pic>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2023年度本年收入合计</w:t>
      </w:r>
      <w:r>
        <w:rPr>
          <w:rFonts w:ascii="仿宋" w:hAnsi="仿宋" w:eastAsia="仿宋"/>
          <w:b/>
          <w:sz w:val="32"/>
          <w:szCs w:val="32"/>
        </w:rPr>
        <w:t>218.3</w:t>
      </w:r>
      <w:r>
        <w:rPr>
          <w:rFonts w:hint="eastAsia" w:ascii="仿宋" w:hAnsi="仿宋" w:eastAsia="仿宋"/>
          <w:b/>
          <w:sz w:val="32"/>
          <w:szCs w:val="32"/>
          <w:lang w:val="en-US" w:eastAsia="zh-CN"/>
        </w:rPr>
        <w:t>9</w:t>
      </w:r>
      <w:r>
        <w:rPr>
          <w:rFonts w:hint="eastAsia" w:ascii="仿宋" w:hAnsi="仿宋" w:eastAsia="仿宋"/>
          <w:sz w:val="32"/>
          <w:szCs w:val="32"/>
        </w:rPr>
        <w:t>万元，其中：一般公共预算财政拨款收入</w:t>
      </w:r>
      <w:r>
        <w:rPr>
          <w:rFonts w:ascii="仿宋" w:hAnsi="仿宋" w:eastAsia="仿宋"/>
          <w:b/>
          <w:sz w:val="32"/>
          <w:szCs w:val="32"/>
        </w:rPr>
        <w:t>203.62</w:t>
      </w:r>
      <w:r>
        <w:rPr>
          <w:rFonts w:hint="eastAsia" w:ascii="仿宋" w:hAnsi="仿宋" w:eastAsia="仿宋"/>
          <w:sz w:val="32"/>
          <w:szCs w:val="32"/>
        </w:rPr>
        <w:t>万元，占</w:t>
      </w:r>
      <w:r>
        <w:rPr>
          <w:rFonts w:ascii="仿宋" w:hAnsi="仿宋" w:eastAsia="仿宋"/>
          <w:b/>
          <w:sz w:val="32"/>
          <w:szCs w:val="32"/>
        </w:rPr>
        <w:t>93.2</w:t>
      </w:r>
      <w:r>
        <w:rPr>
          <w:rFonts w:hint="eastAsia" w:ascii="仿宋" w:hAnsi="仿宋" w:eastAsia="仿宋"/>
          <w:b/>
          <w:sz w:val="32"/>
          <w:szCs w:val="32"/>
          <w:lang w:val="en-US" w:eastAsia="zh-CN"/>
        </w:rPr>
        <w:t>4</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14.76</w:t>
      </w:r>
      <w:r>
        <w:rPr>
          <w:rFonts w:hint="eastAsia" w:ascii="仿宋" w:hAnsi="仿宋" w:eastAsia="仿宋"/>
          <w:sz w:val="32"/>
          <w:szCs w:val="32"/>
        </w:rPr>
        <w:t>万元，占</w:t>
      </w:r>
      <w:r>
        <w:rPr>
          <w:rFonts w:ascii="仿宋" w:hAnsi="仿宋" w:eastAsia="仿宋"/>
          <w:b/>
          <w:sz w:val="32"/>
          <w:szCs w:val="32"/>
        </w:rPr>
        <w:t>6.7</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0.01</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13"/>
      </w:pPr>
      <w:r>
        <w:drawing>
          <wp:inline distT="0" distB="0" distL="114300" distR="114300">
            <wp:extent cx="4596130" cy="2200910"/>
            <wp:effectExtent l="0" t="0" r="6350"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596130" cy="2200910"/>
                    </a:xfrm>
                    <a:prstGeom prst="rect">
                      <a:avLst/>
                    </a:prstGeom>
                    <a:noFill/>
                    <a:ln>
                      <a:noFill/>
                    </a:ln>
                  </pic:spPr>
                </pic:pic>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235.52</w:t>
      </w:r>
      <w:r>
        <w:rPr>
          <w:rFonts w:hint="eastAsia" w:ascii="仿宋" w:hAnsi="仿宋" w:eastAsia="仿宋"/>
          <w:sz w:val="32"/>
          <w:szCs w:val="32"/>
        </w:rPr>
        <w:t>万元，其中：基本支出</w:t>
      </w:r>
      <w:r>
        <w:rPr>
          <w:rFonts w:ascii="仿宋" w:hAnsi="仿宋" w:eastAsia="仿宋"/>
          <w:b/>
          <w:sz w:val="32"/>
          <w:szCs w:val="32"/>
        </w:rPr>
        <w:t>199.62</w:t>
      </w:r>
      <w:r>
        <w:rPr>
          <w:rFonts w:hint="eastAsia" w:ascii="仿宋" w:hAnsi="仿宋" w:eastAsia="仿宋"/>
          <w:sz w:val="32"/>
          <w:szCs w:val="32"/>
        </w:rPr>
        <w:t>万元，占</w:t>
      </w:r>
      <w:r>
        <w:rPr>
          <w:rFonts w:ascii="仿宋" w:hAnsi="仿宋" w:eastAsia="仿宋"/>
          <w:b/>
          <w:sz w:val="32"/>
          <w:szCs w:val="32"/>
        </w:rPr>
        <w:t>84.7</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35.9</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ascii="仿宋" w:hAnsi="仿宋" w:eastAsia="仿宋"/>
          <w:b/>
          <w:sz w:val="32"/>
          <w:szCs w:val="32"/>
        </w:rPr>
        <w:t>15.24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13"/>
      </w:pPr>
      <w:r>
        <w:rPr>
          <w:rFonts w:hint="eastAsia"/>
          <w:lang w:val="en-US" w:eastAsia="zh-CN"/>
        </w:rPr>
        <w:t xml:space="preserve"> </w:t>
      </w:r>
      <w:r>
        <w:drawing>
          <wp:inline distT="0" distB="0" distL="114300" distR="114300">
            <wp:extent cx="4596130" cy="2237105"/>
            <wp:effectExtent l="0" t="0" r="635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596130" cy="2237105"/>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235.64</w:t>
      </w:r>
      <w:r>
        <w:rPr>
          <w:rFonts w:hint="eastAsia" w:ascii="仿宋" w:hAnsi="仿宋" w:eastAsia="仿宋"/>
          <w:sz w:val="32"/>
          <w:szCs w:val="32"/>
        </w:rPr>
        <w:t>万元。与2022年度相比，财政拨款收、支总计各增加</w:t>
      </w:r>
      <w:r>
        <w:rPr>
          <w:rFonts w:hint="eastAsia" w:ascii="仿宋" w:hAnsi="仿宋" w:eastAsia="仿宋" w:cs="Times New Roman"/>
          <w:b/>
          <w:sz w:val="32"/>
          <w:szCs w:val="32"/>
          <w:lang w:val="en-US" w:eastAsia="zh-CN"/>
        </w:rPr>
        <w:t>12.74</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cs="Times New Roman"/>
          <w:b/>
          <w:sz w:val="32"/>
          <w:szCs w:val="32"/>
          <w:lang w:val="en-US" w:eastAsia="zh-CN"/>
        </w:rPr>
        <w:t>5.72%</w:t>
      </w:r>
      <w:r>
        <w:rPr>
          <w:rFonts w:hint="eastAsia" w:ascii="仿宋" w:hAnsi="仿宋" w:eastAsia="仿宋"/>
          <w:sz w:val="32"/>
          <w:szCs w:val="32"/>
        </w:rPr>
        <w:t>。主要变动原因是人员经费</w:t>
      </w:r>
      <w:r>
        <w:rPr>
          <w:rFonts w:hint="eastAsia" w:ascii="仿宋" w:hAnsi="仿宋" w:eastAsia="仿宋"/>
          <w:sz w:val="32"/>
          <w:szCs w:val="32"/>
          <w:lang w:eastAsia="zh-CN"/>
        </w:rPr>
        <w:t>收、支</w:t>
      </w:r>
      <w:r>
        <w:rPr>
          <w:rFonts w:hint="eastAsia" w:ascii="仿宋" w:hAnsi="仿宋" w:eastAsia="仿宋"/>
          <w:sz w:val="32"/>
          <w:szCs w:val="32"/>
        </w:rPr>
        <w:t>增加</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pStyle w:val="13"/>
      </w:pPr>
      <w:r>
        <w:rPr>
          <w:rFonts w:hint="eastAsia"/>
          <w:lang w:val="en-US" w:eastAsia="zh-CN"/>
        </w:rPr>
        <w:t xml:space="preserve"> </w:t>
      </w:r>
      <w:r>
        <w:drawing>
          <wp:inline distT="0" distB="0" distL="114300" distR="114300">
            <wp:extent cx="4596130" cy="221869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596130" cy="2218690"/>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214.96</w:t>
      </w:r>
      <w:r>
        <w:rPr>
          <w:rFonts w:hint="eastAsia" w:ascii="仿宋" w:hAnsi="仿宋" w:eastAsia="仿宋"/>
          <w:sz w:val="32"/>
          <w:szCs w:val="32"/>
        </w:rPr>
        <w:t>万元，占本年支出合计的</w:t>
      </w:r>
      <w:r>
        <w:rPr>
          <w:rFonts w:ascii="仿宋" w:hAnsi="仿宋" w:eastAsia="仿宋"/>
          <w:b/>
          <w:sz w:val="32"/>
          <w:szCs w:val="32"/>
        </w:rPr>
        <w:t>91.27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cs="Times New Roman"/>
          <w:b/>
          <w:sz w:val="32"/>
          <w:szCs w:val="32"/>
          <w:lang w:val="en-US" w:eastAsia="zh-CN"/>
        </w:rPr>
        <w:t>1.97</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0.92%</w:t>
      </w:r>
      <w:r>
        <w:rPr>
          <w:rFonts w:hint="eastAsia" w:ascii="仿宋" w:hAnsi="仿宋" w:eastAsia="仿宋"/>
          <w:sz w:val="32"/>
          <w:szCs w:val="32"/>
        </w:rPr>
        <w:t>。主要变动原因是人员经费</w:t>
      </w:r>
      <w:r>
        <w:rPr>
          <w:rFonts w:hint="eastAsia" w:ascii="仿宋" w:hAnsi="仿宋" w:eastAsia="仿宋"/>
          <w:sz w:val="32"/>
          <w:szCs w:val="32"/>
          <w:lang w:eastAsia="zh-CN"/>
        </w:rPr>
        <w:t>支出</w:t>
      </w:r>
      <w:r>
        <w:rPr>
          <w:rFonts w:hint="eastAsia" w:ascii="仿宋" w:hAnsi="仿宋" w:eastAsia="仿宋"/>
          <w:sz w:val="32"/>
          <w:szCs w:val="32"/>
        </w:rPr>
        <w:t>增加</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13"/>
        <w:jc w:val="both"/>
      </w:pPr>
      <w:r>
        <w:rPr>
          <w:rFonts w:hint="eastAsia"/>
          <w:lang w:val="en-US" w:eastAsia="zh-CN"/>
        </w:rPr>
        <w:t xml:space="preserve">    </w:t>
      </w:r>
      <w:r>
        <w:drawing>
          <wp:inline distT="0" distB="0" distL="114300" distR="114300">
            <wp:extent cx="4596130" cy="221869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596130"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214.96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163.68</w:t>
      </w:r>
      <w:r>
        <w:rPr>
          <w:rFonts w:hint="eastAsia" w:ascii="仿宋" w:hAnsi="仿宋" w:eastAsia="仿宋"/>
          <w:sz w:val="32"/>
          <w:szCs w:val="32"/>
        </w:rPr>
        <w:t>万元，占</w:t>
      </w:r>
      <w:r>
        <w:rPr>
          <w:rFonts w:hint="eastAsia" w:ascii="仿宋" w:hAnsi="仿宋" w:eastAsia="仿宋"/>
          <w:sz w:val="32"/>
          <w:szCs w:val="32"/>
          <w:lang w:val="en-US" w:eastAsia="zh-CN"/>
        </w:rPr>
        <w:t>76.14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21.86</w:t>
      </w:r>
      <w:r>
        <w:rPr>
          <w:rFonts w:hint="eastAsia" w:ascii="仿宋" w:hAnsi="仿宋" w:eastAsia="仿宋"/>
          <w:sz w:val="32"/>
          <w:szCs w:val="32"/>
        </w:rPr>
        <w:t>万元，占</w:t>
      </w:r>
      <w:r>
        <w:rPr>
          <w:rFonts w:hint="eastAsia" w:ascii="仿宋" w:hAnsi="仿宋" w:eastAsia="仿宋"/>
          <w:sz w:val="32"/>
          <w:szCs w:val="32"/>
          <w:lang w:val="en-US" w:eastAsia="zh-CN"/>
        </w:rPr>
        <w:t>10.17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17.07</w:t>
      </w:r>
      <w:r>
        <w:rPr>
          <w:rFonts w:hint="eastAsia" w:ascii="仿宋" w:hAnsi="仿宋" w:eastAsia="仿宋"/>
          <w:sz w:val="32"/>
          <w:szCs w:val="32"/>
        </w:rPr>
        <w:t>万元，占</w:t>
      </w:r>
      <w:r>
        <w:rPr>
          <w:rFonts w:hint="eastAsia" w:ascii="仿宋" w:hAnsi="仿宋" w:eastAsia="仿宋"/>
          <w:sz w:val="32"/>
          <w:szCs w:val="32"/>
          <w:lang w:val="en-US" w:eastAsia="zh-CN"/>
        </w:rPr>
        <w:t>7.94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12.35</w:t>
      </w:r>
      <w:r>
        <w:rPr>
          <w:rFonts w:hint="eastAsia" w:ascii="仿宋" w:hAnsi="仿宋" w:eastAsia="仿宋"/>
          <w:sz w:val="32"/>
          <w:szCs w:val="32"/>
        </w:rPr>
        <w:t>万元，占</w:t>
      </w:r>
      <w:r>
        <w:rPr>
          <w:rFonts w:hint="eastAsia" w:ascii="仿宋" w:hAnsi="仿宋" w:eastAsia="仿宋"/>
          <w:sz w:val="32"/>
          <w:szCs w:val="32"/>
          <w:lang w:val="en-US" w:eastAsia="zh-CN"/>
        </w:rPr>
        <w:t>5.75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13"/>
      </w:pPr>
      <w:r>
        <w:rPr>
          <w:rFonts w:hint="eastAsia"/>
          <w:lang w:val="en-US" w:eastAsia="zh-CN"/>
        </w:rPr>
        <w:t xml:space="preserve">  </w:t>
      </w:r>
      <w:r>
        <w:drawing>
          <wp:inline distT="0" distB="0" distL="114300" distR="114300">
            <wp:extent cx="4590415" cy="2225040"/>
            <wp:effectExtent l="0" t="0" r="1206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4590415" cy="222504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214.96</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color w:val="000000"/>
          <w:sz w:val="32"/>
          <w:szCs w:val="32"/>
        </w:rPr>
      </w:pPr>
      <w:bookmarkStart w:id="34" w:name="_Toc15396608"/>
      <w:bookmarkStart w:id="35" w:name="_Toc15377214"/>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政府办公厅（室）及相关机构事务（款）行政运行（项）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71.27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bCs w:val="0"/>
          <w:color w:val="000000"/>
          <w:sz w:val="32"/>
          <w:szCs w:val="32"/>
        </w:rPr>
        <w:t>信访事务</w:t>
      </w:r>
      <w:r>
        <w:rPr>
          <w:rStyle w:val="17"/>
          <w:rFonts w:hint="eastAsia" w:ascii="仿宋" w:hAnsi="仿宋" w:eastAsia="仿宋"/>
          <w:b/>
          <w:bCs w:val="0"/>
          <w:color w:val="000000"/>
          <w:sz w:val="32"/>
          <w:szCs w:val="32"/>
          <w:lang w:eastAsia="zh-CN"/>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15.34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bCs w:val="0"/>
          <w:color w:val="000000"/>
          <w:sz w:val="32"/>
          <w:szCs w:val="32"/>
        </w:rPr>
        <w:t>事业运行</w:t>
      </w:r>
      <w:r>
        <w:rPr>
          <w:rStyle w:val="17"/>
          <w:rFonts w:hint="eastAsia" w:ascii="仿宋" w:hAnsi="仿宋" w:eastAsia="仿宋"/>
          <w:b/>
          <w:bCs w:val="0"/>
          <w:color w:val="000000"/>
          <w:sz w:val="32"/>
          <w:szCs w:val="32"/>
          <w:lang w:eastAsia="zh-CN"/>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w:t>
      </w:r>
      <w:r>
        <w:rPr>
          <w:rStyle w:val="17"/>
          <w:rFonts w:hint="eastAsia" w:ascii="仿宋" w:hAnsi="仿宋" w:eastAsia="仿宋"/>
          <w:b w:val="0"/>
          <w:bCs/>
          <w:color w:val="000000"/>
          <w:sz w:val="32"/>
          <w:szCs w:val="32"/>
          <w:lang w:val="en-US" w:eastAsia="zh-CN"/>
        </w:rPr>
        <w:t>77.07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_GB2312" w:hAnsi="仿宋" w:eastAsia="仿宋_GB2312"/>
          <w:b w:val="0"/>
          <w:bCs w:val="0"/>
          <w:color w:val="000000"/>
          <w:sz w:val="32"/>
          <w:szCs w:val="32"/>
          <w:lang w:eastAsia="zh-CN"/>
        </w:rPr>
      </w:pPr>
      <w:r>
        <w:rPr>
          <w:rStyle w:val="17"/>
          <w:rFonts w:hint="eastAsia" w:ascii="仿宋_GB2312" w:hAnsi="仿宋" w:eastAsia="仿宋_GB2312"/>
          <w:bCs/>
          <w:color w:val="000000"/>
          <w:sz w:val="32"/>
          <w:szCs w:val="32"/>
        </w:rPr>
        <w:t xml:space="preserve">2.社会保障和就业支出（类）行政事业单位养老支出（款）行政单位离退休（项）: </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5.08</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Cs/>
          <w:color w:val="000000"/>
          <w:sz w:val="32"/>
          <w:szCs w:val="32"/>
        </w:rPr>
        <w:t xml:space="preserve">机关事业单位基本养老保险缴费支出（项）: </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16.7</w:t>
      </w:r>
      <w:r>
        <w:rPr>
          <w:rStyle w:val="17"/>
          <w:rFonts w:hint="eastAsia" w:ascii="仿宋_GB2312" w:hAnsi="仿宋" w:eastAsia="仿宋_GB2312"/>
          <w:b w:val="0"/>
          <w:bCs w:val="0"/>
          <w:color w:val="000000"/>
          <w:sz w:val="32"/>
          <w:szCs w:val="32"/>
        </w:rPr>
        <w:t>8万元，完成预算100%</w:t>
      </w:r>
      <w:r>
        <w:rPr>
          <w:rStyle w:val="17"/>
          <w:rFonts w:hint="eastAsia" w:ascii="仿宋_GB2312" w:hAnsi="仿宋" w:eastAsia="仿宋_GB2312"/>
          <w:b w:val="0"/>
          <w:bCs w:val="0"/>
          <w:color w:val="000000"/>
          <w:sz w:val="32"/>
          <w:szCs w:val="32"/>
          <w:lang w:eastAsia="zh-CN"/>
        </w:rPr>
        <w:t>。</w:t>
      </w:r>
    </w:p>
    <w:p>
      <w:pPr>
        <w:spacing w:line="600" w:lineRule="exact"/>
        <w:ind w:firstLine="643" w:firstLineChars="200"/>
        <w:rPr>
          <w:rStyle w:val="17"/>
          <w:rFonts w:hint="eastAsia" w:ascii="仿宋_GB2312" w:hAnsi="仿宋" w:eastAsia="仿宋_GB2312"/>
          <w:bCs/>
          <w:color w:val="000000"/>
          <w:sz w:val="32"/>
          <w:szCs w:val="32"/>
          <w:lang w:eastAsia="zh-CN"/>
        </w:rPr>
      </w:pPr>
      <w:r>
        <w:rPr>
          <w:rStyle w:val="17"/>
          <w:rFonts w:hint="eastAsia" w:ascii="仿宋_GB2312" w:hAnsi="仿宋" w:eastAsia="仿宋_GB2312"/>
          <w:bCs/>
          <w:color w:val="000000"/>
          <w:sz w:val="32"/>
          <w:szCs w:val="32"/>
        </w:rPr>
        <w:t>3.</w:t>
      </w:r>
      <w:r>
        <w:rPr>
          <w:rFonts w:hint="eastAsia" w:ascii="仿宋_GB2312" w:hAnsi="仿宋" w:eastAsia="仿宋_GB2312"/>
          <w:b/>
          <w:bCs/>
          <w:color w:val="000000"/>
          <w:sz w:val="32"/>
          <w:szCs w:val="32"/>
        </w:rPr>
        <w:t>卫生健康支出</w:t>
      </w:r>
      <w:r>
        <w:rPr>
          <w:rStyle w:val="17"/>
          <w:rFonts w:hint="eastAsia" w:ascii="仿宋_GB2312" w:hAnsi="仿宋" w:eastAsia="仿宋_GB2312"/>
          <w:bCs/>
          <w:color w:val="000000"/>
          <w:sz w:val="32"/>
          <w:szCs w:val="32"/>
        </w:rPr>
        <w:t>（类）行政事业单位医疗（款）行政单位医疗（项）: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4.73</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bCs/>
          <w:color w:val="000000"/>
          <w:sz w:val="32"/>
          <w:szCs w:val="32"/>
          <w:lang w:eastAsia="zh-CN"/>
        </w:rPr>
        <w:t>事业</w:t>
      </w:r>
      <w:r>
        <w:rPr>
          <w:rStyle w:val="17"/>
          <w:rFonts w:hint="eastAsia" w:ascii="仿宋_GB2312" w:hAnsi="仿宋" w:eastAsia="仿宋_GB2312"/>
          <w:bCs/>
          <w:color w:val="000000"/>
          <w:sz w:val="32"/>
          <w:szCs w:val="32"/>
        </w:rPr>
        <w:t>单位医疗（项）: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5.36</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olor w:val="000000"/>
          <w:sz w:val="32"/>
          <w:szCs w:val="32"/>
        </w:rPr>
        <w:t>公务员医疗补助</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4.32</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s="Times New Roman"/>
          <w:color w:val="000000"/>
          <w:sz w:val="32"/>
          <w:szCs w:val="32"/>
          <w:lang w:eastAsia="zh-CN"/>
        </w:rPr>
        <w:t>其他行政事业单位医疗支出</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2.66</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p>
    <w:p>
      <w:pPr>
        <w:tabs>
          <w:tab w:val="right" w:pos="8306"/>
        </w:tabs>
        <w:spacing w:line="600" w:lineRule="exact"/>
        <w:ind w:firstLine="640"/>
        <w:outlineLvl w:val="1"/>
        <w:rPr>
          <w:rStyle w:val="17"/>
          <w:rFonts w:hint="eastAsia" w:ascii="仿宋_GB2312" w:hAnsi="仿宋" w:eastAsia="仿宋_GB2312"/>
          <w:b w:val="0"/>
          <w:bCs w:val="0"/>
          <w:color w:val="000000"/>
          <w:sz w:val="32"/>
          <w:szCs w:val="32"/>
        </w:rPr>
      </w:pPr>
      <w:r>
        <w:rPr>
          <w:rStyle w:val="17"/>
          <w:rFonts w:hint="eastAsia" w:ascii="仿宋_GB2312" w:hAnsi="仿宋" w:eastAsia="仿宋_GB2312"/>
          <w:bCs/>
          <w:color w:val="000000"/>
          <w:sz w:val="32"/>
          <w:szCs w:val="32"/>
        </w:rPr>
        <w:t>4.住房保障支出（类）住房改革支出（款）住房公积金（项）:</w:t>
      </w:r>
      <w:r>
        <w:rPr>
          <w:rStyle w:val="17"/>
          <w:rFonts w:hint="eastAsia" w:ascii="仿宋_GB2312" w:hAnsi="仿宋" w:eastAsia="仿宋_GB2312"/>
          <w:b w:val="0"/>
          <w:bCs w:val="0"/>
          <w:color w:val="000000"/>
          <w:sz w:val="32"/>
          <w:szCs w:val="32"/>
        </w:rPr>
        <w:t>支出决算为1</w:t>
      </w:r>
      <w:r>
        <w:rPr>
          <w:rStyle w:val="17"/>
          <w:rFonts w:hint="eastAsia" w:ascii="仿宋_GB2312" w:hAnsi="仿宋" w:eastAsia="仿宋_GB2312"/>
          <w:b w:val="0"/>
          <w:bCs w:val="0"/>
          <w:color w:val="000000"/>
          <w:sz w:val="32"/>
          <w:szCs w:val="32"/>
          <w:lang w:val="en-US" w:eastAsia="zh-CN"/>
        </w:rPr>
        <w:t>2.35</w:t>
      </w:r>
      <w:r>
        <w:rPr>
          <w:rStyle w:val="17"/>
          <w:rFonts w:hint="eastAsia" w:ascii="仿宋_GB2312" w:hAnsi="仿宋" w:eastAsia="仿宋_GB2312"/>
          <w:b w:val="0"/>
          <w:bCs w:val="0"/>
          <w:color w:val="000000"/>
          <w:sz w:val="32"/>
          <w:szCs w:val="32"/>
        </w:rPr>
        <w:t>万元，完成预算100%。</w:t>
      </w:r>
    </w:p>
    <w:p>
      <w:pPr>
        <w:tabs>
          <w:tab w:val="right" w:pos="8306"/>
        </w:tabs>
        <w:spacing w:line="600" w:lineRule="exact"/>
        <w:ind w:firstLine="64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199.62</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bCs w:val="0"/>
          <w:sz w:val="32"/>
          <w:szCs w:val="32"/>
        </w:rPr>
        <w:t>188.78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主要包括</w:t>
      </w:r>
      <w:r>
        <w:rPr>
          <w:rFonts w:hint="eastAsia" w:ascii="仿宋" w:hAnsi="仿宋" w:eastAsia="仿宋"/>
          <w:sz w:val="32"/>
          <w:szCs w:val="32"/>
          <w:lang w:eastAsia="zh-CN"/>
        </w:rPr>
        <w:t>：</w:t>
      </w:r>
      <w:r>
        <w:rPr>
          <w:rFonts w:hint="eastAsia" w:ascii="仿宋" w:hAnsi="仿宋" w:eastAsia="仿宋"/>
          <w:sz w:val="32"/>
          <w:szCs w:val="32"/>
        </w:rPr>
        <w:t>基本工资、津贴补贴、奖金、绩效工资、机关事业单位基本养老保险缴费、职工基本医疗保险缴费</w:t>
      </w:r>
      <w:r>
        <w:rPr>
          <w:rFonts w:hint="eastAsia" w:ascii="仿宋" w:hAnsi="仿宋" w:eastAsia="仿宋"/>
          <w:sz w:val="32"/>
          <w:szCs w:val="32"/>
          <w:lang w:eastAsia="zh-CN"/>
        </w:rPr>
        <w:t>、</w:t>
      </w:r>
      <w:r>
        <w:rPr>
          <w:rFonts w:hint="eastAsia" w:ascii="仿宋" w:hAnsi="仿宋" w:eastAsia="仿宋"/>
          <w:sz w:val="32"/>
          <w:szCs w:val="32"/>
        </w:rPr>
        <w:t>公务员医疗补助缴费、其他社会保障缴费、其他工资福利支出、生活补助、医疗费补助、住房公积金等。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sz w:val="32"/>
          <w:szCs w:val="32"/>
        </w:rPr>
        <w:t>10.84</w:t>
      </w:r>
      <w:r>
        <w:rPr>
          <w:rFonts w:hint="eastAsia" w:ascii="仿宋" w:hAnsi="仿宋" w:eastAsia="仿宋"/>
          <w:sz w:val="32"/>
          <w:szCs w:val="32"/>
        </w:rPr>
        <w:t>万元，主要包括：办公费、邮电费、差旅费、维修（护）费、委托业务费、工会经费、福利费、其他交通费、其他商品和服务支出等。</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outlineLvl w:val="2"/>
        <w:rPr>
          <w:rFonts w:hint="eastAsia" w:ascii="仿宋" w:hAnsi="仿宋" w:eastAsia="仿宋"/>
          <w:sz w:val="32"/>
          <w:szCs w:val="32"/>
        </w:rPr>
      </w:pPr>
      <w:bookmarkStart w:id="39" w:name="_Toc15377217"/>
      <w:r>
        <w:rPr>
          <w:rFonts w:hint="eastAsia" w:ascii="仿宋" w:hAnsi="仿宋" w:eastAsia="仿宋"/>
          <w:sz w:val="32"/>
          <w:szCs w:val="32"/>
        </w:rPr>
        <w:t>2023年度“三公”经费财政拨款支出决算为</w:t>
      </w:r>
      <w:r>
        <w:rPr>
          <w:rFonts w:ascii="仿宋" w:hAnsi="仿宋" w:eastAsia="仿宋" w:cs="Times New Roman"/>
          <w:b/>
          <w:sz w:val="32"/>
          <w:szCs w:val="32"/>
        </w:rPr>
        <w:t>0</w:t>
      </w:r>
      <w:r>
        <w:rPr>
          <w:rFonts w:hint="eastAsia" w:ascii="仿宋" w:hAnsi="仿宋" w:eastAsia="仿宋"/>
          <w:sz w:val="32"/>
          <w:szCs w:val="32"/>
        </w:rPr>
        <w:t>万元，完成预算</w:t>
      </w:r>
      <w:r>
        <w:rPr>
          <w:rFonts w:ascii="仿宋" w:hAnsi="仿宋" w:eastAsia="仿宋" w:cs="Times New Roman"/>
          <w:b/>
          <w:sz w:val="32"/>
          <w:szCs w:val="32"/>
        </w:rPr>
        <w:t>0%</w:t>
      </w:r>
      <w:r>
        <w:rPr>
          <w:rFonts w:hint="eastAsia" w:ascii="仿宋" w:hAnsi="仿宋" w:eastAsia="仿宋"/>
          <w:sz w:val="32"/>
          <w:szCs w:val="32"/>
        </w:rPr>
        <w:t>，较上年度减少</w:t>
      </w:r>
      <w:r>
        <w:rPr>
          <w:rFonts w:hint="eastAsia" w:ascii="仿宋" w:hAnsi="仿宋" w:eastAsia="仿宋" w:cs="Times New Roman"/>
          <w:b/>
          <w:sz w:val="32"/>
          <w:szCs w:val="32"/>
          <w:lang w:val="en-US" w:eastAsia="zh-CN"/>
        </w:rPr>
        <w:t>0.12</w:t>
      </w:r>
      <w:r>
        <w:rPr>
          <w:rFonts w:hint="eastAsia" w:ascii="仿宋" w:hAnsi="仿宋" w:eastAsia="仿宋"/>
          <w:sz w:val="32"/>
          <w:szCs w:val="32"/>
        </w:rPr>
        <w:t>万元，下降</w:t>
      </w:r>
      <w:r>
        <w:rPr>
          <w:rFonts w:hint="eastAsia" w:ascii="仿宋" w:hAnsi="仿宋" w:eastAsia="仿宋" w:cs="Times New Roman"/>
          <w:b/>
          <w:sz w:val="32"/>
          <w:szCs w:val="32"/>
          <w:lang w:val="en-US" w:eastAsia="zh-CN"/>
        </w:rPr>
        <w:t>100%</w:t>
      </w:r>
      <w:r>
        <w:rPr>
          <w:rFonts w:hint="eastAsia" w:ascii="仿宋" w:hAnsi="仿宋" w:eastAsia="仿宋"/>
          <w:sz w:val="32"/>
          <w:szCs w:val="32"/>
          <w:lang w:eastAsia="zh-CN"/>
        </w:rPr>
        <w:t>，</w:t>
      </w:r>
      <w:r>
        <w:rPr>
          <w:rFonts w:hint="eastAsia" w:ascii="仿宋" w:hAnsi="仿宋" w:eastAsia="仿宋"/>
          <w:sz w:val="32"/>
          <w:szCs w:val="32"/>
        </w:rPr>
        <w:t>今年没有“三公”经费支出。决算数与预算数持平。</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bookmarkStart w:id="40" w:name="_Toc15396610"/>
      <w:bookmarkStart w:id="41" w:name="_Toc15377218"/>
      <w:r>
        <w:rPr>
          <w:rFonts w:hint="eastAsia" w:ascii="仿宋" w:hAnsi="仿宋" w:eastAsia="仿宋"/>
          <w:sz w:val="32"/>
          <w:szCs w:val="32"/>
        </w:rPr>
        <w:t>2023年度“三公”经费财政拨款支出决算中，因公出国（境）费支出决算</w:t>
      </w:r>
      <w:r>
        <w:rPr>
          <w:rFonts w:ascii="仿宋" w:hAnsi="仿宋" w:eastAsia="仿宋" w:cs="Times New Roman"/>
          <w:b/>
          <w:sz w:val="32"/>
          <w:szCs w:val="32"/>
        </w:rPr>
        <w:t>0</w:t>
      </w:r>
      <w:r>
        <w:rPr>
          <w:rFonts w:hint="eastAsia" w:ascii="仿宋" w:hAnsi="仿宋" w:eastAsia="仿宋"/>
          <w:sz w:val="32"/>
          <w:szCs w:val="32"/>
        </w:rPr>
        <w:t>万元，占</w:t>
      </w:r>
      <w:r>
        <w:rPr>
          <w:rFonts w:ascii="仿宋" w:hAnsi="仿宋" w:eastAsia="仿宋" w:cs="Times New Roman"/>
          <w:b/>
          <w:sz w:val="32"/>
          <w:szCs w:val="32"/>
        </w:rPr>
        <w:t>0%</w:t>
      </w:r>
      <w:r>
        <w:rPr>
          <w:rFonts w:hint="eastAsia" w:ascii="仿宋" w:hAnsi="仿宋" w:eastAsia="仿宋"/>
          <w:sz w:val="32"/>
          <w:szCs w:val="32"/>
        </w:rPr>
        <w:t>；公务用车购置及运行维护费支出决算</w:t>
      </w:r>
      <w:r>
        <w:rPr>
          <w:rFonts w:ascii="仿宋" w:hAnsi="仿宋" w:eastAsia="仿宋" w:cs="Times New Roman"/>
          <w:b/>
          <w:sz w:val="32"/>
          <w:szCs w:val="32"/>
        </w:rPr>
        <w:t>0</w:t>
      </w:r>
      <w:r>
        <w:rPr>
          <w:rFonts w:hint="eastAsia" w:ascii="仿宋" w:hAnsi="仿宋" w:eastAsia="仿宋"/>
          <w:sz w:val="32"/>
          <w:szCs w:val="32"/>
        </w:rPr>
        <w:t>万元，占</w:t>
      </w:r>
      <w:r>
        <w:rPr>
          <w:rFonts w:ascii="仿宋" w:hAnsi="仿宋" w:eastAsia="仿宋" w:cs="Times New Roman"/>
          <w:b/>
          <w:sz w:val="32"/>
          <w:szCs w:val="32"/>
        </w:rPr>
        <w:t>0%</w:t>
      </w:r>
      <w:r>
        <w:rPr>
          <w:rFonts w:hint="eastAsia" w:ascii="仿宋" w:hAnsi="仿宋" w:eastAsia="仿宋"/>
          <w:sz w:val="32"/>
          <w:szCs w:val="32"/>
        </w:rPr>
        <w:t>；公务接待费支出决算</w:t>
      </w:r>
      <w:r>
        <w:rPr>
          <w:rFonts w:ascii="仿宋" w:hAnsi="仿宋" w:eastAsia="仿宋" w:cs="Times New Roman"/>
          <w:b/>
          <w:sz w:val="32"/>
          <w:szCs w:val="32"/>
        </w:rPr>
        <w:t>0</w:t>
      </w:r>
      <w:r>
        <w:rPr>
          <w:rFonts w:hint="eastAsia" w:ascii="仿宋" w:hAnsi="仿宋" w:eastAsia="仿宋"/>
          <w:sz w:val="32"/>
          <w:szCs w:val="32"/>
        </w:rPr>
        <w:t>万元，占</w:t>
      </w:r>
      <w:r>
        <w:rPr>
          <w:rFonts w:ascii="仿宋" w:hAnsi="仿宋" w:eastAsia="仿宋" w:cs="Times New Roman"/>
          <w:b/>
          <w:sz w:val="32"/>
          <w:szCs w:val="32"/>
        </w:rPr>
        <w:t>0%</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cs="Times New Roman"/>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Fonts w:ascii="仿宋" w:hAnsi="仿宋" w:eastAsia="仿宋" w:cs="Times New Roman"/>
          <w:b/>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cs="Times New Roman"/>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Fonts w:ascii="仿宋" w:hAnsi="仿宋" w:eastAsia="仿宋" w:cs="Times New Roman"/>
          <w:b/>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cs="Times New Roman"/>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cs="Times New Roman"/>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cs="Times New Roman"/>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Fonts w:ascii="仿宋" w:hAnsi="仿宋" w:eastAsia="仿宋" w:cs="Times New Roman"/>
          <w:b/>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 w:hAnsi="仿宋" w:eastAsia="仿宋" w:cs="Times New Roman"/>
          <w:b/>
          <w:sz w:val="32"/>
          <w:szCs w:val="32"/>
          <w:lang w:val="en-US" w:eastAsia="zh-CN"/>
        </w:rPr>
        <w:t>0.12</w:t>
      </w:r>
      <w:r>
        <w:rPr>
          <w:rFonts w:hint="eastAsia" w:ascii="仿宋_GB2312" w:eastAsia="仿宋_GB2312"/>
          <w:sz w:val="32"/>
          <w:szCs w:val="32"/>
        </w:rPr>
        <w:t>万元，下降</w:t>
      </w:r>
      <w:r>
        <w:rPr>
          <w:rFonts w:hint="eastAsia" w:ascii="仿宋" w:hAnsi="仿宋" w:eastAsia="仿宋" w:cs="Times New Roman"/>
          <w:b/>
          <w:sz w:val="32"/>
          <w:szCs w:val="32"/>
          <w:lang w:val="en-US" w:eastAsia="zh-CN"/>
        </w:rPr>
        <w:t>100%</w:t>
      </w:r>
      <w:r>
        <w:rPr>
          <w:rFonts w:hint="eastAsia" w:ascii="仿宋_GB2312" w:eastAsia="仿宋_GB2312"/>
          <w:sz w:val="32"/>
          <w:szCs w:val="32"/>
        </w:rPr>
        <w:t>。主要原因是今年没有发生公务接待费支出。其中：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hint="eastAsia"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pPr>
      <w:r>
        <w:rPr>
          <w:rFonts w:hint="eastAsia" w:ascii="仿宋_GB2312" w:eastAsia="仿宋_GB2312"/>
          <w:sz w:val="32"/>
          <w:szCs w:val="32"/>
        </w:rPr>
        <w:t>2023年度政府性基金预算财政拨款支出</w:t>
      </w:r>
      <w:r>
        <w:rPr>
          <w:rFonts w:ascii="仿宋" w:hAnsi="仿宋" w:eastAsia="仿宋"/>
          <w:b/>
          <w:sz w:val="32"/>
          <w:szCs w:val="32"/>
        </w:rPr>
        <w:t>20.56</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攀枝花市西区信访局</w:t>
      </w:r>
      <w:r>
        <w:rPr>
          <w:rFonts w:hint="eastAsia" w:ascii="仿宋_GB2312" w:eastAsia="仿宋_GB2312"/>
          <w:sz w:val="32"/>
          <w:szCs w:val="32"/>
        </w:rPr>
        <w:t>机关运行经费支出</w:t>
      </w:r>
      <w:r>
        <w:rPr>
          <w:rFonts w:ascii="仿宋" w:hAnsi="仿宋" w:eastAsia="仿宋"/>
          <w:b/>
          <w:sz w:val="32"/>
          <w:szCs w:val="32"/>
        </w:rPr>
        <w:t>10.84</w:t>
      </w:r>
      <w:r>
        <w:rPr>
          <w:rFonts w:hint="eastAsia" w:ascii="仿宋_GB2312" w:eastAsia="仿宋_GB2312"/>
          <w:sz w:val="32"/>
          <w:szCs w:val="32"/>
        </w:rPr>
        <w:t>万元，与2022年度决算数持平。主要原因是</w:t>
      </w:r>
      <w:r>
        <w:rPr>
          <w:rFonts w:hint="eastAsia" w:ascii="仿宋_GB2312" w:eastAsia="仿宋_GB2312"/>
          <w:sz w:val="32"/>
          <w:szCs w:val="32"/>
          <w:lang w:eastAsia="zh-CN"/>
        </w:rPr>
        <w:t>严格控制各项办公经费支出</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攀枝花市西区信访局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攀枝花市西区信访局</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ascii="仿宋" w:hAnsi="仿宋" w:eastAsia="仿宋"/>
          <w:b/>
          <w:sz w:val="32"/>
          <w:szCs w:val="32"/>
        </w:rPr>
        <w:t>0</w:t>
      </w:r>
      <w:r>
        <w:rPr>
          <w:rFonts w:hint="eastAsia" w:ascii="仿宋_GB2312" w:eastAsia="仿宋_GB2312"/>
          <w:sz w:val="32"/>
          <w:szCs w:val="32"/>
        </w:rPr>
        <w:t>辆、机要通信用车</w:t>
      </w:r>
      <w:r>
        <w:rPr>
          <w:rFonts w:ascii="仿宋" w:hAnsi="仿宋" w:eastAsia="仿宋"/>
          <w:b/>
          <w:sz w:val="32"/>
          <w:szCs w:val="32"/>
        </w:rPr>
        <w:t>0</w:t>
      </w:r>
      <w:r>
        <w:rPr>
          <w:rFonts w:hint="eastAsia" w:ascii="仿宋_GB2312" w:eastAsia="仿宋_GB2312"/>
          <w:sz w:val="32"/>
          <w:szCs w:val="32"/>
        </w:rPr>
        <w:t>辆、应急保障用车</w:t>
      </w:r>
      <w:r>
        <w:rPr>
          <w:rFonts w:ascii="仿宋" w:hAnsi="仿宋" w:eastAsia="仿宋"/>
          <w:b/>
          <w:sz w:val="32"/>
          <w:szCs w:val="32"/>
        </w:rPr>
        <w:t>0</w:t>
      </w:r>
      <w:r>
        <w:rPr>
          <w:rFonts w:hint="eastAsia" w:ascii="仿宋_GB2312" w:eastAsia="仿宋_GB2312"/>
          <w:sz w:val="32"/>
          <w:szCs w:val="32"/>
        </w:rPr>
        <w:t>辆、其他用车</w:t>
      </w:r>
      <w:r>
        <w:rPr>
          <w:rFonts w:ascii="仿宋" w:hAnsi="仿宋" w:eastAsia="仿宋"/>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sz w:val="32"/>
          <w:szCs w:val="32"/>
          <w:lang w:eastAsia="zh-CN"/>
        </w:rPr>
        <w:t>银行存款利息收入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color w:val="000000"/>
          <w:sz w:val="32"/>
          <w:szCs w:val="32"/>
        </w:rPr>
        <w:t>一般公共服务（类）</w:t>
      </w:r>
      <w:r>
        <w:rPr>
          <w:rFonts w:hint="eastAsia" w:ascii="仿宋" w:hAnsi="仿宋" w:eastAsia="仿宋"/>
          <w:color w:val="000000"/>
          <w:sz w:val="32"/>
          <w:szCs w:val="32"/>
        </w:rPr>
        <w:t>政府办公厅（室）及相关机构事务（款）行政运行（项）：反映行政单位（包括实行公务员管理的事业单位）的基本支出；信访事务（项）：反映各级政府用于接待群众来信来访方面的支出；事业运行（项）：反映事业单位的基本支出，不包括行政单位（包括实行公务员管理的事业单位）后勤服务中心、医务室等附属事业单位。</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r>
        <w:rPr>
          <w:rFonts w:hint="eastAsia" w:ascii="仿宋_GB2312" w:eastAsia="仿宋_GB2312"/>
          <w:color w:val="000000"/>
          <w:sz w:val="32"/>
          <w:szCs w:val="32"/>
          <w:lang w:eastAsia="zh-CN"/>
        </w:rPr>
        <w:t>；其他行政事业单位医疗支出</w:t>
      </w:r>
      <w:r>
        <w:rPr>
          <w:rFonts w:hint="eastAsia" w:ascii="仿宋" w:hAnsi="仿宋" w:eastAsia="仿宋"/>
          <w:color w:val="000000"/>
          <w:sz w:val="32"/>
          <w:szCs w:val="32"/>
        </w:rPr>
        <w:t>（项）：反映</w:t>
      </w:r>
      <w:r>
        <w:rPr>
          <w:rFonts w:hint="eastAsia" w:ascii="仿宋" w:hAnsi="仿宋" w:eastAsia="仿宋"/>
          <w:color w:val="000000"/>
          <w:sz w:val="32"/>
          <w:szCs w:val="32"/>
          <w:lang w:eastAsia="zh-CN"/>
        </w:rPr>
        <w:t>除上述项目以外其他用于行政事业单位医疗方面的支出。</w:t>
      </w:r>
      <w:r>
        <w:rPr>
          <w:rFonts w:hint="eastAsia" w:ascii="仿宋" w:hAnsi="仿宋" w:eastAsia="仿宋"/>
          <w:color w:val="000000"/>
          <w:sz w:val="32"/>
          <w:szCs w:val="32"/>
          <w:lang w:val="en-US" w:eastAsia="zh-CN"/>
        </w:rPr>
        <w:t xml:space="preserve">                                 </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pPr>
        <w:spacing w:line="600" w:lineRule="exact"/>
        <w:ind w:firstLine="640"/>
        <w:rPr>
          <w:rFonts w:ascii="仿宋" w:hAnsi="仿宋" w:eastAsia="仿宋"/>
          <w:b/>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pStyle w:val="3"/>
        <w:jc w:val="center"/>
        <w:rPr>
          <w:rFonts w:ascii="黑体" w:hAnsi="黑体" w:eastAsia="黑体"/>
          <w:b w:val="0"/>
        </w:rPr>
      </w:pPr>
      <w:bookmarkStart w:id="51" w:name="_Toc15377226"/>
      <w:r>
        <w:rPr>
          <w:rFonts w:ascii="宋体"/>
          <w:b/>
          <w:sz w:val="44"/>
          <w:szCs w:val="44"/>
        </w:rPr>
        <w:br w:type="page"/>
      </w:r>
      <w:bookmarkStart w:id="52" w:name="_Toc15396618"/>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
      <w:pPr>
        <w:ind w:firstLine="640" w:firstLineChars="200"/>
        <w:rPr>
          <w:rFonts w:ascii="黑体" w:hAnsi="黑体" w:eastAsia="黑体"/>
          <w:sz w:val="32"/>
          <w:szCs w:val="32"/>
        </w:rPr>
      </w:pPr>
      <w:r>
        <w:rPr>
          <w:rFonts w:hint="eastAsia" w:ascii="黑体" w:hAnsi="黑体" w:eastAsia="黑体"/>
          <w:sz w:val="32"/>
          <w:szCs w:val="32"/>
        </w:rPr>
        <w:t>一、部门（单位）基本情况</w:t>
      </w:r>
    </w:p>
    <w:p>
      <w:pPr>
        <w:ind w:firstLine="643" w:firstLineChars="200"/>
        <w:rPr>
          <w:rFonts w:hint="eastAsia" w:ascii="仿宋_GB2312" w:eastAsia="仿宋_GB2312"/>
          <w:sz w:val="32"/>
          <w:szCs w:val="32"/>
        </w:rPr>
      </w:pPr>
      <w:r>
        <w:rPr>
          <w:rFonts w:hint="eastAsia" w:ascii="楷体_GB2312" w:eastAsia="楷体_GB2312"/>
          <w:b/>
          <w:sz w:val="32"/>
          <w:szCs w:val="32"/>
        </w:rPr>
        <w:t>（一）机构组成。</w:t>
      </w:r>
    </w:p>
    <w:p>
      <w:pPr>
        <w:pStyle w:val="2"/>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本部门</w:t>
      </w:r>
      <w:r>
        <w:rPr>
          <w:rFonts w:hint="eastAsia" w:ascii="方正仿宋简体" w:hAnsi="Times New Roman" w:eastAsia="方正仿宋简体" w:cs="方正仿宋简体"/>
          <w:color w:val="auto"/>
          <w:kern w:val="2"/>
          <w:sz w:val="33"/>
          <w:szCs w:val="33"/>
          <w:u w:val="none"/>
          <w:lang w:val="zh-CN" w:eastAsia="zh-CN" w:bidi="ar-SA"/>
        </w:rPr>
        <w:t>内设办公室和业务股，下设西区群众工作中心一个二级单位。</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val="zh-CN" w:eastAsia="zh-CN"/>
        </w:rPr>
        <w:t>）机构职能。</w:t>
      </w:r>
    </w:p>
    <w:p>
      <w:pPr>
        <w:autoSpaceDE w:val="0"/>
        <w:autoSpaceDN w:val="0"/>
        <w:adjustRightInd w:val="0"/>
        <w:ind w:firstLine="660" w:firstLineChars="20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指导全区信访工作，督促检查镇、街道和区级各部门（单位）的信访工作，并总结推广信访工作经验，牵头完成信访工作宣传和信息发布。</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负责处理区内外群众、境外人士、法人及其他组织通过信访渠道给区委、区政府及领导同志涉及本辖区权限内的来信来电，接待来访。</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5.</w:t>
      </w:r>
      <w:r>
        <w:rPr>
          <w:rFonts w:hint="eastAsia" w:ascii="方正仿宋简体" w:hAnsi="Times New Roman" w:eastAsia="方正仿宋简体" w:cs="方正仿宋简体"/>
          <w:color w:val="auto"/>
          <w:kern w:val="2"/>
          <w:sz w:val="33"/>
          <w:szCs w:val="33"/>
          <w:u w:val="none"/>
          <w:lang w:val="zh-CN" w:eastAsia="zh-CN" w:bidi="ar-SA"/>
        </w:rPr>
        <w:t>承担处理群众进京赴省到市、区集体上访和非接待场所上访的责任。</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6.</w:t>
      </w:r>
      <w:r>
        <w:rPr>
          <w:rFonts w:hint="eastAsia" w:ascii="方正仿宋简体" w:hAnsi="Times New Roman" w:eastAsia="方正仿宋简体" w:cs="方正仿宋简体"/>
          <w:color w:val="auto"/>
          <w:kern w:val="2"/>
          <w:sz w:val="33"/>
          <w:szCs w:val="33"/>
          <w:u w:val="none"/>
          <w:lang w:val="zh-CN" w:eastAsia="zh-CN" w:bidi="ar-SA"/>
        </w:rPr>
        <w:t>承担上级批示交办信访事项，向镇、街道及区级各部门（单位）转办、交办信访事项，督促检查重要信访事项的处理和落实。</w:t>
      </w:r>
    </w:p>
    <w:p>
      <w:pPr>
        <w:autoSpaceDE w:val="0"/>
        <w:autoSpaceDN w:val="0"/>
        <w:adjustRightInd w:val="0"/>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7.</w:t>
      </w:r>
      <w:r>
        <w:rPr>
          <w:rFonts w:hint="eastAsia" w:ascii="方正仿宋简体" w:hAnsi="Times New Roman" w:eastAsia="方正仿宋简体" w:cs="方正仿宋简体"/>
          <w:color w:val="auto"/>
          <w:kern w:val="2"/>
          <w:sz w:val="33"/>
          <w:szCs w:val="33"/>
          <w:u w:val="none"/>
          <w:lang w:val="zh-CN" w:eastAsia="zh-CN" w:bidi="ar-SA"/>
        </w:rPr>
        <w:t>制定信访信息汇集分析机制，指导全区信访信息化建设和应用。</w:t>
      </w:r>
    </w:p>
    <w:p>
      <w:pPr>
        <w:autoSpaceDE w:val="0"/>
        <w:autoSpaceDN w:val="0"/>
        <w:adjustRightInd w:val="0"/>
        <w:spacing w:line="360" w:lineRule="auto"/>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8.</w:t>
      </w:r>
      <w:r>
        <w:rPr>
          <w:rFonts w:hint="eastAsia" w:ascii="方正仿宋简体" w:hAnsi="Times New Roman" w:eastAsia="方正仿宋简体" w:cs="方正仿宋简体"/>
          <w:color w:val="auto"/>
          <w:kern w:val="2"/>
          <w:sz w:val="33"/>
          <w:szCs w:val="33"/>
          <w:u w:val="none"/>
          <w:lang w:val="zh-CN" w:eastAsia="zh-CN" w:bidi="ar-SA"/>
        </w:rPr>
        <w:t>承担区信访工作联席会议、区政府信访事项复查复核委员会日常工作，监督落实有关事项。</w:t>
      </w:r>
    </w:p>
    <w:p>
      <w:pPr>
        <w:autoSpaceDE w:val="0"/>
        <w:autoSpaceDN w:val="0"/>
        <w:adjustRightInd w:val="0"/>
        <w:spacing w:line="360" w:lineRule="auto"/>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 xml:space="preserve">    </w:t>
      </w:r>
      <w:r>
        <w:rPr>
          <w:rFonts w:hint="eastAsia" w:ascii="方正仿宋简体" w:hAnsi="Times New Roman" w:eastAsia="方正仿宋简体" w:cs="方正仿宋简体"/>
          <w:color w:val="auto"/>
          <w:kern w:val="2"/>
          <w:sz w:val="33"/>
          <w:szCs w:val="33"/>
          <w:u w:val="none"/>
          <w:lang w:val="en-US" w:eastAsia="zh-CN" w:bidi="ar-SA"/>
        </w:rPr>
        <w:t>9.</w:t>
      </w:r>
      <w:r>
        <w:rPr>
          <w:rFonts w:hint="eastAsia" w:ascii="方正仿宋简体" w:hAnsi="Times New Roman" w:eastAsia="方正仿宋简体" w:cs="方正仿宋简体"/>
          <w:color w:val="auto"/>
          <w:kern w:val="2"/>
          <w:sz w:val="33"/>
          <w:szCs w:val="33"/>
          <w:u w:val="none"/>
          <w:lang w:val="zh-CN" w:eastAsia="zh-CN" w:bidi="ar-SA"/>
        </w:rPr>
        <w:t>负责职责范围内的安全生产和职业健康、生态环境保护、审批服务便民化工作。</w:t>
      </w:r>
    </w:p>
    <w:p>
      <w:pPr>
        <w:pStyle w:val="2"/>
        <w:numPr>
          <w:ilvl w:val="0"/>
          <w:numId w:val="0"/>
        </w:numPr>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10.</w:t>
      </w:r>
      <w:r>
        <w:rPr>
          <w:rFonts w:hint="eastAsia" w:ascii="方正仿宋简体" w:hAnsi="Times New Roman" w:eastAsia="方正仿宋简体" w:cs="方正仿宋简体"/>
          <w:color w:val="auto"/>
          <w:kern w:val="2"/>
          <w:sz w:val="33"/>
          <w:szCs w:val="33"/>
          <w:u w:val="none"/>
          <w:lang w:val="zh-CN" w:eastAsia="zh-CN" w:bidi="ar-SA"/>
        </w:rPr>
        <w:t>完成区委和区政府交办的其他任务。</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（三）人员概况。</w:t>
      </w:r>
    </w:p>
    <w:p>
      <w:pPr>
        <w:pStyle w:val="2"/>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本部门核定行政编制3人，事业编制5人。年末实有行政编制人员3人、事业编制人员5人，与去年同期实有人数相比,行政人员和事业人员都无变化。</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二、部门资金收支情况</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（一）收入情况。</w:t>
      </w:r>
    </w:p>
    <w:p>
      <w:pPr>
        <w:pStyle w:val="2"/>
        <w:ind w:firstLine="660" w:firstLineChars="200"/>
        <w:rPr>
          <w:rFonts w:hint="default" w:ascii="方正仿宋简体" w:hAnsi="Times New Roman" w:eastAsia="方正仿宋简体" w:cs="方正仿宋简体"/>
          <w:color w:val="auto"/>
          <w:kern w:val="2"/>
          <w:sz w:val="33"/>
          <w:szCs w:val="33"/>
          <w:u w:val="none"/>
          <w:lang w:val="en-US" w:eastAsia="zh-CN" w:bidi="ar-SA"/>
        </w:rPr>
      </w:pPr>
      <w:r>
        <w:rPr>
          <w:rFonts w:hint="eastAsia" w:ascii="方正仿宋简体" w:hAnsi="Times New Roman" w:eastAsia="方正仿宋简体" w:cs="方正仿宋简体"/>
          <w:color w:val="auto"/>
          <w:kern w:val="2"/>
          <w:sz w:val="33"/>
          <w:szCs w:val="33"/>
          <w:u w:val="none"/>
          <w:lang w:val="en-US" w:eastAsia="zh-CN" w:bidi="ar-SA"/>
        </w:rPr>
        <w:t>2023年度，</w:t>
      </w:r>
      <w:r>
        <w:rPr>
          <w:rFonts w:hint="eastAsia" w:ascii="方正仿宋简体" w:hAnsi="Times New Roman" w:eastAsia="方正仿宋简体" w:cs="方正仿宋简体"/>
          <w:color w:val="auto"/>
          <w:kern w:val="2"/>
          <w:sz w:val="33"/>
          <w:szCs w:val="33"/>
          <w:u w:val="none"/>
          <w:lang w:val="zh-CN" w:eastAsia="zh-CN" w:bidi="ar-SA"/>
        </w:rPr>
        <w:t>年初预算安排财政拨款收入1</w:t>
      </w:r>
      <w:r>
        <w:rPr>
          <w:rFonts w:hint="eastAsia" w:ascii="方正仿宋简体" w:hAnsi="Times New Roman" w:eastAsia="方正仿宋简体" w:cs="方正仿宋简体"/>
          <w:color w:val="auto"/>
          <w:kern w:val="2"/>
          <w:sz w:val="33"/>
          <w:szCs w:val="33"/>
          <w:u w:val="none"/>
          <w:lang w:val="en-US" w:eastAsia="zh-CN" w:bidi="ar-SA"/>
        </w:rPr>
        <w:t>96.95万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元，其中：一般公共预算财政拨款收入</w:t>
      </w:r>
      <w:r>
        <w:rPr>
          <w:rFonts w:hint="eastAsia" w:ascii="方正仿宋简体" w:hAnsi="Times New Roman" w:eastAsia="方正仿宋简体" w:cs="方正仿宋简体"/>
          <w:color w:val="auto"/>
          <w:kern w:val="2"/>
          <w:sz w:val="33"/>
          <w:szCs w:val="33"/>
          <w:u w:val="none"/>
          <w:lang w:val="en-US" w:eastAsia="zh-CN" w:bidi="ar-SA"/>
        </w:rPr>
        <w:t>173.95</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元，政府性基金预算财政拨款收入</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万元。决算报表反映本年收入2</w:t>
      </w:r>
      <w:r>
        <w:rPr>
          <w:rFonts w:hint="eastAsia" w:ascii="方正仿宋简体" w:hAnsi="Times New Roman" w:eastAsia="方正仿宋简体" w:cs="方正仿宋简体"/>
          <w:color w:val="auto"/>
          <w:kern w:val="2"/>
          <w:sz w:val="33"/>
          <w:szCs w:val="33"/>
          <w:u w:val="none"/>
          <w:lang w:val="en-US" w:eastAsia="zh-CN" w:bidi="ar-SA"/>
        </w:rPr>
        <w:t>18.39万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元，其中：一般公共预算财政拨款收入</w:t>
      </w:r>
      <w:r>
        <w:rPr>
          <w:rFonts w:hint="eastAsia" w:ascii="方正仿宋简体" w:hAnsi="Times New Roman" w:eastAsia="方正仿宋简体" w:cs="方正仿宋简体"/>
          <w:color w:val="auto"/>
          <w:kern w:val="2"/>
          <w:sz w:val="33"/>
          <w:szCs w:val="33"/>
          <w:u w:val="none"/>
          <w:lang w:val="en-US" w:eastAsia="zh-CN" w:bidi="ar-SA"/>
        </w:rPr>
        <w:t>203.62万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元，政府性基金预算财政拨款收入</w:t>
      </w:r>
      <w:r>
        <w:rPr>
          <w:rFonts w:hint="eastAsia" w:ascii="方正仿宋简体" w:hAnsi="Times New Roman" w:eastAsia="方正仿宋简体" w:cs="方正仿宋简体"/>
          <w:color w:val="auto"/>
          <w:kern w:val="2"/>
          <w:sz w:val="33"/>
          <w:szCs w:val="33"/>
          <w:u w:val="none"/>
          <w:lang w:val="en-US" w:eastAsia="zh-CN" w:bidi="ar-SA"/>
        </w:rPr>
        <w:t>14.76</w:t>
      </w:r>
      <w:r>
        <w:rPr>
          <w:rFonts w:hint="eastAsia" w:ascii="方正仿宋简体" w:hAnsi="Times New Roman" w:eastAsia="方正仿宋简体" w:cs="方正仿宋简体"/>
          <w:color w:val="auto"/>
          <w:kern w:val="2"/>
          <w:sz w:val="33"/>
          <w:szCs w:val="33"/>
          <w:u w:val="none"/>
          <w:lang w:val="zh-CN" w:eastAsia="zh-CN" w:bidi="ar-SA"/>
        </w:rPr>
        <w:t>万元，其他收入</w:t>
      </w:r>
      <w:r>
        <w:rPr>
          <w:rFonts w:hint="eastAsia" w:ascii="方正仿宋简体" w:hAnsi="Times New Roman" w:eastAsia="方正仿宋简体" w:cs="方正仿宋简体"/>
          <w:color w:val="auto"/>
          <w:kern w:val="2"/>
          <w:sz w:val="33"/>
          <w:szCs w:val="33"/>
          <w:u w:val="none"/>
          <w:lang w:val="en-US" w:eastAsia="zh-CN" w:bidi="ar-SA"/>
        </w:rPr>
        <w:t>0.01万元。</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（二）支出情况。</w:t>
      </w:r>
    </w:p>
    <w:p>
      <w:pPr>
        <w:pStyle w:val="2"/>
        <w:numPr>
          <w:ilvl w:val="0"/>
          <w:numId w:val="0"/>
        </w:numPr>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2023年度，</w:t>
      </w:r>
      <w:r>
        <w:rPr>
          <w:rFonts w:hint="eastAsia" w:ascii="方正仿宋简体" w:hAnsi="Times New Roman" w:eastAsia="方正仿宋简体" w:cs="方正仿宋简体"/>
          <w:color w:val="auto"/>
          <w:kern w:val="2"/>
          <w:sz w:val="33"/>
          <w:szCs w:val="33"/>
          <w:u w:val="none"/>
          <w:lang w:val="zh-CN" w:eastAsia="zh-CN" w:bidi="ar-SA"/>
        </w:rPr>
        <w:t>年初预算安排财政拨款支出1</w:t>
      </w:r>
      <w:r>
        <w:rPr>
          <w:rFonts w:hint="eastAsia" w:ascii="方正仿宋简体" w:hAnsi="Times New Roman" w:eastAsia="方正仿宋简体" w:cs="方正仿宋简体"/>
          <w:color w:val="auto"/>
          <w:kern w:val="2"/>
          <w:sz w:val="33"/>
          <w:szCs w:val="33"/>
          <w:u w:val="none"/>
          <w:lang w:val="en-US" w:eastAsia="zh-CN" w:bidi="ar-SA"/>
        </w:rPr>
        <w:t>96.95万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元，其中：一般公共预算财政拨款支出</w:t>
      </w:r>
      <w:r>
        <w:rPr>
          <w:rFonts w:hint="eastAsia" w:ascii="方正仿宋简体" w:hAnsi="Times New Roman" w:eastAsia="方正仿宋简体" w:cs="方正仿宋简体"/>
          <w:color w:val="auto"/>
          <w:kern w:val="2"/>
          <w:sz w:val="33"/>
          <w:szCs w:val="33"/>
          <w:u w:val="none"/>
          <w:lang w:val="en-US" w:eastAsia="zh-CN" w:bidi="ar-SA"/>
        </w:rPr>
        <w:t>173.95万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元，政府性基金预算财政拨款支出</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万元。决算报表反映本年支出2</w:t>
      </w:r>
      <w:r>
        <w:rPr>
          <w:rFonts w:hint="eastAsia" w:ascii="方正仿宋简体" w:hAnsi="Times New Roman" w:eastAsia="方正仿宋简体" w:cs="方正仿宋简体"/>
          <w:color w:val="auto"/>
          <w:kern w:val="2"/>
          <w:sz w:val="33"/>
          <w:szCs w:val="33"/>
          <w:u w:val="none"/>
          <w:lang w:val="en-US" w:eastAsia="zh-CN" w:bidi="ar-SA"/>
        </w:rPr>
        <w:t>35.52万</w:t>
      </w:r>
      <w:r>
        <w:rPr>
          <w:rFonts w:hint="eastAsia" w:ascii="方正仿宋简体" w:hAnsi="Times New Roman" w:eastAsia="方正仿宋简体" w:cs="方正仿宋简体"/>
          <w:color w:val="auto"/>
          <w:kern w:val="2"/>
          <w:sz w:val="33"/>
          <w:szCs w:val="33"/>
          <w:u w:val="none"/>
          <w:lang w:val="zh-CN" w:eastAsia="zh-CN" w:bidi="ar-SA"/>
        </w:rPr>
        <w:t>元，其中：一般公共预算财政拨款支出</w:t>
      </w:r>
      <w:r>
        <w:rPr>
          <w:rFonts w:hint="eastAsia" w:ascii="方正仿宋简体" w:hAnsi="Times New Roman" w:eastAsia="方正仿宋简体" w:cs="方正仿宋简体"/>
          <w:color w:val="auto"/>
          <w:kern w:val="2"/>
          <w:sz w:val="33"/>
          <w:szCs w:val="33"/>
          <w:u w:val="none"/>
          <w:lang w:val="en-US" w:eastAsia="zh-CN" w:bidi="ar-SA"/>
        </w:rPr>
        <w:t>214.96万</w:t>
      </w:r>
      <w:r>
        <w:rPr>
          <w:rFonts w:hint="eastAsia" w:ascii="方正仿宋简体" w:hAnsi="Times New Roman" w:eastAsia="方正仿宋简体" w:cs="方正仿宋简体"/>
          <w:color w:val="auto"/>
          <w:kern w:val="2"/>
          <w:sz w:val="33"/>
          <w:szCs w:val="33"/>
          <w:u w:val="none"/>
          <w:lang w:val="zh-CN" w:eastAsia="zh-CN" w:bidi="ar-SA"/>
        </w:rPr>
        <w:t>元，政府性基金预算财政拨款支出</w:t>
      </w:r>
      <w:r>
        <w:rPr>
          <w:rFonts w:hint="eastAsia" w:ascii="方正仿宋简体" w:hAnsi="Times New Roman" w:eastAsia="方正仿宋简体" w:cs="方正仿宋简体"/>
          <w:color w:val="auto"/>
          <w:kern w:val="2"/>
          <w:sz w:val="33"/>
          <w:szCs w:val="33"/>
          <w:u w:val="none"/>
          <w:lang w:val="en-US" w:eastAsia="zh-CN" w:bidi="ar-SA"/>
        </w:rPr>
        <w:t>20.56</w:t>
      </w:r>
      <w:r>
        <w:rPr>
          <w:rFonts w:hint="eastAsia" w:ascii="方正仿宋简体" w:hAnsi="Times New Roman" w:eastAsia="方正仿宋简体" w:cs="方正仿宋简体"/>
          <w:color w:val="auto"/>
          <w:kern w:val="2"/>
          <w:sz w:val="33"/>
          <w:szCs w:val="33"/>
          <w:u w:val="none"/>
          <w:lang w:val="zh-CN" w:eastAsia="zh-CN" w:bidi="ar-SA"/>
        </w:rPr>
        <w:t>万元</w:t>
      </w:r>
      <w:r>
        <w:rPr>
          <w:rFonts w:hint="eastAsia" w:ascii="方正仿宋简体" w:hAnsi="Times New Roman" w:eastAsia="方正仿宋简体" w:cs="方正仿宋简体"/>
          <w:color w:val="auto"/>
          <w:kern w:val="2"/>
          <w:sz w:val="33"/>
          <w:szCs w:val="33"/>
          <w:u w:val="none"/>
          <w:lang w:val="en-US" w:eastAsia="zh-CN" w:bidi="ar-SA"/>
        </w:rPr>
        <w:t>。本年支出大于本年收入是因：本年支出中财政使用存量资金安排一般公共预算财政拨款支出11.35万元，政府性基金预算财政拨款支出5.80万元。</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val="zh-CN" w:eastAsia="zh-CN"/>
        </w:rPr>
        <w:t>）2023年度决算报表结转结余</w:t>
      </w:r>
      <w:r>
        <w:rPr>
          <w:rFonts w:hint="eastAsia" w:ascii="楷体_GB2312" w:eastAsia="楷体_GB2312"/>
          <w:b/>
          <w:sz w:val="32"/>
          <w:szCs w:val="32"/>
          <w:lang w:val="en-US" w:eastAsia="zh-CN"/>
        </w:rPr>
        <w:t>0.16万元</w:t>
      </w:r>
      <w:r>
        <w:rPr>
          <w:rFonts w:hint="eastAsia" w:ascii="楷体_GB2312" w:eastAsia="楷体_GB2312"/>
          <w:b/>
          <w:sz w:val="32"/>
          <w:szCs w:val="32"/>
          <w:lang w:val="zh-CN" w:eastAsia="zh-CN"/>
        </w:rPr>
        <w:t>。</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三、部门预算绩效分析</w:t>
      </w:r>
    </w:p>
    <w:p>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（一）部门预算项目绩效分析。</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1.人员类项目绩效分析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西区信访局属正科级财政全额机关单位，主要负责全区信访工作，本单位共有行政编制</w:t>
      </w:r>
      <w:r>
        <w:rPr>
          <w:rFonts w:hint="eastAsia" w:ascii="方正仿宋简体" w:hAnsi="Times New Roman" w:eastAsia="方正仿宋简体" w:cs="方正仿宋简体"/>
          <w:color w:val="auto"/>
          <w:kern w:val="2"/>
          <w:sz w:val="33"/>
          <w:szCs w:val="33"/>
          <w:u w:val="none"/>
          <w:lang w:val="en-US" w:eastAsia="zh-CN" w:bidi="ar-SA"/>
        </w:rPr>
        <w:t>3名，事业编制5名，退休人员5名，</w:t>
      </w:r>
      <w:r>
        <w:rPr>
          <w:rFonts w:hint="eastAsia" w:ascii="方正仿宋简体" w:hAnsi="Times New Roman" w:eastAsia="方正仿宋简体" w:cs="方正仿宋简体"/>
          <w:color w:val="auto"/>
          <w:kern w:val="2"/>
          <w:sz w:val="33"/>
          <w:szCs w:val="33"/>
          <w:u w:val="none"/>
          <w:lang w:val="zh-CN" w:eastAsia="zh-CN" w:bidi="ar-SA"/>
        </w:rPr>
        <w:t>聘用编制</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名，该项目预算主要用于支付在职人员工资、社保、公积金等支出。</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183.2</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万元，项目资金到位率为100%。按照专款专用的原则，在本单位严格监督下，该项目资金全部用于支付在职人员工资、社保、公积金等费用，项目资金使用率为100%。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合同约定，通过银行系统转账的方式，每月按时发放，不克扣、拖欠人员工资，未存在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2.运转类项目绩效分析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144.51</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63" w:firstLineChars="200"/>
        <w:contextualSpacing/>
        <w:jc w:val="left"/>
        <w:rPr>
          <w:rFonts w:hint="eastAsia" w:ascii="方正仿宋简体" w:hAnsi="Times New Roman" w:eastAsia="方正仿宋简体" w:cs="方正仿宋简体"/>
          <w:b/>
          <w:bCs/>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zh-CN" w:eastAsia="zh-CN" w:bidi="ar-SA"/>
        </w:rPr>
        <w:t>3.特定目标类项目绩效分析</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该项目于20</w:t>
      </w:r>
      <w:r>
        <w:rPr>
          <w:rFonts w:hint="eastAsia" w:ascii="方正仿宋简体" w:hAnsi="Times New Roman" w:eastAsia="方正仿宋简体" w:cs="方正仿宋简体"/>
          <w:color w:val="auto"/>
          <w:kern w:val="2"/>
          <w:sz w:val="33"/>
          <w:szCs w:val="33"/>
          <w:u w:val="none"/>
          <w:lang w:val="en-US" w:eastAsia="zh-CN" w:bidi="ar-SA"/>
        </w:rPr>
        <w:t>21</w:t>
      </w:r>
      <w:r>
        <w:rPr>
          <w:rFonts w:hint="eastAsia" w:ascii="方正仿宋简体" w:hAnsi="Times New Roman" w:eastAsia="方正仿宋简体" w:cs="方正仿宋简体"/>
          <w:color w:val="auto"/>
          <w:kern w:val="2"/>
          <w:sz w:val="33"/>
          <w:szCs w:val="33"/>
          <w:u w:val="none"/>
          <w:lang w:val="zh-CN" w:eastAsia="zh-CN" w:bidi="ar-SA"/>
        </w:rPr>
        <w:t>年申报，20</w:t>
      </w:r>
      <w:r>
        <w:rPr>
          <w:rFonts w:hint="eastAsia" w:ascii="方正仿宋简体" w:hAnsi="Times New Roman" w:eastAsia="方正仿宋简体" w:cs="方正仿宋简体"/>
          <w:color w:val="auto"/>
          <w:kern w:val="2"/>
          <w:sz w:val="33"/>
          <w:szCs w:val="33"/>
          <w:u w:val="none"/>
          <w:lang w:val="en-US" w:eastAsia="zh-CN" w:bidi="ar-SA"/>
        </w:rPr>
        <w:t>22</w:t>
      </w:r>
      <w:r>
        <w:rPr>
          <w:rFonts w:hint="eastAsia" w:ascii="方正仿宋简体" w:hAnsi="Times New Roman" w:eastAsia="方正仿宋简体" w:cs="方正仿宋简体"/>
          <w:color w:val="auto"/>
          <w:kern w:val="2"/>
          <w:sz w:val="33"/>
          <w:szCs w:val="33"/>
          <w:u w:val="none"/>
          <w:lang w:val="zh-CN" w:eastAsia="zh-CN" w:bidi="ar-SA"/>
        </w:rPr>
        <w:t>年批复。支出项目预算为</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60" w:firstLineChars="200"/>
        <w:contextualSpacing/>
        <w:jc w:val="left"/>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adjustRightInd w:val="0"/>
        <w:snapToGrid w:val="0"/>
        <w:spacing w:line="560" w:lineRule="exact"/>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（二）部门预算项目绩效分析。</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常年项目绩效分析。该类项目总数</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个，涉及预算总金额</w:t>
      </w:r>
      <w:r>
        <w:rPr>
          <w:rFonts w:hint="eastAsia" w:ascii="方正仿宋简体" w:hAnsi="Times New Roman" w:eastAsia="方正仿宋简体" w:cs="方正仿宋简体"/>
          <w:color w:val="auto"/>
          <w:kern w:val="2"/>
          <w:sz w:val="33"/>
          <w:szCs w:val="33"/>
          <w:u w:val="none"/>
          <w:lang w:val="en-US" w:eastAsia="zh-CN" w:bidi="ar-SA"/>
        </w:rPr>
        <w:t>23</w:t>
      </w:r>
      <w:r>
        <w:rPr>
          <w:rFonts w:hint="eastAsia" w:ascii="方正仿宋简体" w:hAnsi="Times New Roman" w:eastAsia="方正仿宋简体" w:cs="方正仿宋简体"/>
          <w:color w:val="auto"/>
          <w:kern w:val="2"/>
          <w:sz w:val="33"/>
          <w:szCs w:val="33"/>
          <w:u w:val="none"/>
          <w:lang w:val="zh-CN" w:eastAsia="zh-CN" w:bidi="ar-SA"/>
        </w:rPr>
        <w:t>万元，1—12月预算执行总体进度为</w:t>
      </w:r>
      <w:r>
        <w:rPr>
          <w:rFonts w:hint="eastAsia" w:ascii="方正仿宋简体" w:hAnsi="Times New Roman" w:eastAsia="方正仿宋简体" w:cs="方正仿宋简体"/>
          <w:color w:val="auto"/>
          <w:kern w:val="2"/>
          <w:sz w:val="33"/>
          <w:szCs w:val="33"/>
          <w:u w:val="none"/>
          <w:lang w:val="en-US" w:eastAsia="zh-CN" w:bidi="ar-SA"/>
        </w:rPr>
        <w:t>100</w:t>
      </w:r>
      <w:r>
        <w:rPr>
          <w:rFonts w:hint="eastAsia" w:ascii="方正仿宋简体" w:hAnsi="Times New Roman" w:eastAsia="方正仿宋简体" w:cs="方正仿宋简体"/>
          <w:color w:val="auto"/>
          <w:kern w:val="2"/>
          <w:sz w:val="33"/>
          <w:szCs w:val="33"/>
          <w:u w:val="none"/>
          <w:lang w:val="zh-CN" w:eastAsia="zh-CN" w:bidi="ar-SA"/>
        </w:rPr>
        <w:t>%，其中：预算结余率大于10%的项目共计</w:t>
      </w:r>
      <w:r>
        <w:rPr>
          <w:rFonts w:hint="eastAsia" w:ascii="方正仿宋简体" w:hAnsi="Times New Roman" w:eastAsia="方正仿宋简体" w:cs="方正仿宋简体"/>
          <w:color w:val="auto"/>
          <w:kern w:val="2"/>
          <w:sz w:val="33"/>
          <w:szCs w:val="33"/>
          <w:u w:val="none"/>
          <w:lang w:val="en-US" w:eastAsia="zh-CN" w:bidi="ar-SA"/>
        </w:rPr>
        <w:t>4</w:t>
      </w:r>
      <w:r>
        <w:rPr>
          <w:rFonts w:hint="eastAsia" w:ascii="方正仿宋简体" w:hAnsi="Times New Roman" w:eastAsia="方正仿宋简体" w:cs="方正仿宋简体"/>
          <w:color w:val="auto"/>
          <w:kern w:val="2"/>
          <w:sz w:val="33"/>
          <w:szCs w:val="33"/>
          <w:u w:val="none"/>
          <w:lang w:val="zh-CN" w:eastAsia="zh-CN" w:bidi="ar-SA"/>
        </w:rPr>
        <w:t>个。</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阶段（一次性）项目绩效分析。该类项目总数</w:t>
      </w:r>
      <w:r>
        <w:rPr>
          <w:rFonts w:hint="eastAsia" w:ascii="方正仿宋简体" w:hAnsi="Times New Roman"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zh-CN" w:eastAsia="zh-CN" w:bidi="ar-SA"/>
        </w:rPr>
        <w:t>个，涉及预算总金额</w:t>
      </w:r>
      <w:r>
        <w:rPr>
          <w:rFonts w:hint="eastAsia" w:ascii="方正仿宋简体" w:hAnsi="Times New Roman" w:eastAsia="方正仿宋简体" w:cs="方正仿宋简体"/>
          <w:color w:val="auto"/>
          <w:kern w:val="2"/>
          <w:sz w:val="33"/>
          <w:szCs w:val="33"/>
          <w:u w:val="none"/>
          <w:lang w:val="en-US" w:eastAsia="zh-CN" w:bidi="ar-SA"/>
        </w:rPr>
        <w:t>10.62</w:t>
      </w:r>
      <w:r>
        <w:rPr>
          <w:rFonts w:hint="eastAsia" w:ascii="方正仿宋简体" w:hAnsi="Times New Roman" w:eastAsia="方正仿宋简体" w:cs="方正仿宋简体"/>
          <w:color w:val="auto"/>
          <w:kern w:val="2"/>
          <w:sz w:val="33"/>
          <w:szCs w:val="33"/>
          <w:u w:val="none"/>
          <w:lang w:val="zh-CN" w:eastAsia="zh-CN" w:bidi="ar-SA"/>
        </w:rPr>
        <w:t>万元，1—12月预算执行总体进度为</w:t>
      </w:r>
      <w:r>
        <w:rPr>
          <w:rFonts w:hint="eastAsia" w:ascii="方正仿宋简体" w:hAnsi="Times New Roman" w:eastAsia="方正仿宋简体" w:cs="方正仿宋简体"/>
          <w:color w:val="auto"/>
          <w:kern w:val="2"/>
          <w:sz w:val="33"/>
          <w:szCs w:val="33"/>
          <w:u w:val="none"/>
          <w:lang w:val="en-US" w:eastAsia="zh-CN" w:bidi="ar-SA"/>
        </w:rPr>
        <w:t>100</w:t>
      </w:r>
      <w:r>
        <w:rPr>
          <w:rFonts w:hint="eastAsia" w:ascii="方正仿宋简体" w:hAnsi="Times New Roman" w:eastAsia="方正仿宋简体" w:cs="方正仿宋简体"/>
          <w:color w:val="auto"/>
          <w:kern w:val="2"/>
          <w:sz w:val="33"/>
          <w:szCs w:val="33"/>
          <w:u w:val="none"/>
          <w:lang w:val="zh-CN" w:eastAsia="zh-CN" w:bidi="ar-SA"/>
        </w:rPr>
        <w:t>%，其中：预算结余率大于10%的项目共计</w:t>
      </w:r>
      <w:r>
        <w:rPr>
          <w:rFonts w:hint="eastAsia" w:ascii="方正仿宋简体" w:hAnsi="Times New Roman" w:eastAsia="方正仿宋简体" w:cs="方正仿宋简体"/>
          <w:color w:val="auto"/>
          <w:kern w:val="2"/>
          <w:sz w:val="33"/>
          <w:szCs w:val="33"/>
          <w:u w:val="none"/>
          <w:lang w:val="en-US" w:eastAsia="zh-CN" w:bidi="ar-SA"/>
        </w:rPr>
        <w:t>3</w:t>
      </w:r>
      <w:r>
        <w:rPr>
          <w:rFonts w:hint="eastAsia" w:ascii="方正仿宋简体" w:hAnsi="Times New Roman" w:eastAsia="方正仿宋简体" w:cs="方正仿宋简体"/>
          <w:color w:val="auto"/>
          <w:kern w:val="2"/>
          <w:sz w:val="33"/>
          <w:szCs w:val="33"/>
          <w:u w:val="none"/>
          <w:lang w:val="zh-CN" w:eastAsia="zh-CN" w:bidi="ar-SA"/>
        </w:rPr>
        <w:t>个。</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1.项目决策。</w:t>
      </w:r>
      <w:r>
        <w:rPr>
          <w:rFonts w:hint="eastAsia" w:ascii="方正仿宋简体" w:hAnsi="Times New Roman" w:eastAsia="方正仿宋简体" w:cs="方正仿宋简体"/>
          <w:color w:val="auto"/>
          <w:kern w:val="2"/>
          <w:sz w:val="33"/>
          <w:szCs w:val="33"/>
          <w:u w:val="none"/>
          <w:lang w:val="zh-CN" w:eastAsia="zh-CN" w:bidi="ar-SA"/>
        </w:rPr>
        <w:t>围绕决策程序、目标设置、项目入库进行绩效分析。</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2.项目执行。</w:t>
      </w:r>
      <w:r>
        <w:rPr>
          <w:rFonts w:hint="eastAsia" w:ascii="方正仿宋简体" w:hAnsi="Times New Roman" w:eastAsia="方正仿宋简体" w:cs="方正仿宋简体"/>
          <w:color w:val="auto"/>
          <w:kern w:val="2"/>
          <w:sz w:val="33"/>
          <w:szCs w:val="33"/>
          <w:u w:val="none"/>
          <w:lang w:val="en-US" w:eastAsia="zh-CN" w:bidi="ar-SA"/>
        </w:rPr>
        <w:t>该笔资金来源渠道的合法合规，评估内容具有公共性，属于公共财政支持范围，筹资渠道符合法律法规规定，筹资结构合理。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560" w:lineRule="exact"/>
        <w:ind w:firstLine="66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方正仿宋简体" w:hAnsi="Times New Roman" w:eastAsia="方正仿宋简体" w:cs="方正仿宋简体"/>
          <w:b/>
          <w:bCs/>
          <w:color w:val="auto"/>
          <w:kern w:val="2"/>
          <w:sz w:val="33"/>
          <w:szCs w:val="33"/>
          <w:u w:val="none"/>
          <w:lang w:val="en-US" w:eastAsia="zh-CN" w:bidi="ar-SA"/>
        </w:rPr>
        <w:t>3.目标实现。</w:t>
      </w:r>
      <w:r>
        <w:rPr>
          <w:rFonts w:hint="eastAsia" w:ascii="方正仿宋简体" w:hAnsi="Times New Roman" w:eastAsia="方正仿宋简体" w:cs="方正仿宋简体"/>
          <w:color w:val="auto"/>
          <w:kern w:val="2"/>
          <w:sz w:val="33"/>
          <w:szCs w:val="33"/>
          <w:u w:val="none"/>
          <w:lang w:val="en-US" w:eastAsia="zh-CN" w:bidi="ar-SA"/>
        </w:rPr>
        <w:t>区级财政年初安排235.68万元，用于全局人员基本工资、津补贴支出、机关事业单位养老保险、社会保障缴费、办公费用支出、党建、差旅费、工会等福利支出，信访事项处置、矛盾纠纷化解及特殊疑难信访问题补助等。时效一年，已全部落实到位。</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en-US" w:eastAsia="zh-CN" w:bidi="ar-SA"/>
        </w:rPr>
        <w:t>保障本年度全职干部职工工资待遇、津贴补贴、养老保险及保障2023年度信访工作顺利开展。</w:t>
      </w:r>
    </w:p>
    <w:p>
      <w:pPr>
        <w:numPr>
          <w:ilvl w:val="0"/>
          <w:numId w:val="5"/>
        </w:numPr>
        <w:adjustRightInd w:val="0"/>
        <w:snapToGrid w:val="0"/>
        <w:spacing w:line="560" w:lineRule="exact"/>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项目组织架构及实施流程。</w:t>
      </w:r>
    </w:p>
    <w:p>
      <w:pPr>
        <w:numPr>
          <w:ilvl w:val="0"/>
          <w:numId w:val="0"/>
        </w:num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eastAsia="方正仿宋简体" w:cs="方正仿宋简体"/>
          <w:color w:val="auto"/>
          <w:kern w:val="2"/>
          <w:sz w:val="33"/>
          <w:szCs w:val="33"/>
          <w:u w:val="none"/>
          <w:lang w:val="en-US" w:eastAsia="zh-CN" w:bidi="ar-SA"/>
        </w:rPr>
        <w:t>1.</w:t>
      </w:r>
      <w:r>
        <w:rPr>
          <w:rFonts w:hint="eastAsia" w:ascii="方正仿宋简体" w:hAnsi="Times New Roman" w:eastAsia="方正仿宋简体" w:cs="方正仿宋简体"/>
          <w:color w:val="auto"/>
          <w:kern w:val="2"/>
          <w:sz w:val="33"/>
          <w:szCs w:val="33"/>
          <w:u w:val="none"/>
          <w:lang w:val="zh-CN" w:eastAsia="zh-CN" w:bidi="ar-SA"/>
        </w:rPr>
        <w:t>省级部门2023年度若涉及国有资本经营预算、社会保险基金预算的，应在部门预算绩效自评报告中对完成情况进行梳理阐述。国有资本经营预算绩效自评重点关注企业的运营质量、行业水平等情况；社会保险基金预算绩效自评重点关注基金可持续性、区域安全性等情况。</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eastAsia="方正仿宋简体" w:cs="方正仿宋简体"/>
          <w:color w:val="auto"/>
          <w:kern w:val="2"/>
          <w:sz w:val="33"/>
          <w:szCs w:val="33"/>
          <w:u w:val="none"/>
          <w:lang w:val="en-US" w:eastAsia="zh-CN" w:bidi="ar-SA"/>
        </w:rPr>
        <w:t>2.</w:t>
      </w:r>
      <w:r>
        <w:rPr>
          <w:rFonts w:hint="eastAsia" w:ascii="方正仿宋简体" w:hAnsi="Times New Roman" w:eastAsia="方正仿宋简体" w:cs="方正仿宋简体"/>
          <w:color w:val="auto"/>
          <w:kern w:val="2"/>
          <w:sz w:val="33"/>
          <w:szCs w:val="33"/>
          <w:u w:val="none"/>
          <w:lang w:val="en-US" w:eastAsia="zh-CN" w:bidi="ar-SA"/>
        </w:rPr>
        <w:t>重点领域绩效分析。本</w:t>
      </w:r>
      <w:r>
        <w:rPr>
          <w:rFonts w:hint="eastAsia" w:ascii="方正仿宋简体" w:hAnsi="Times New Roman" w:eastAsia="方正仿宋简体" w:cs="方正仿宋简体"/>
          <w:color w:val="auto"/>
          <w:kern w:val="2"/>
          <w:sz w:val="33"/>
          <w:szCs w:val="33"/>
          <w:u w:val="none"/>
          <w:lang w:val="zh-CN" w:eastAsia="zh-CN" w:bidi="ar-SA"/>
        </w:rPr>
        <w:t>部门2023年度</w:t>
      </w:r>
      <w:r>
        <w:rPr>
          <w:rFonts w:hint="eastAsia" w:ascii="方正仿宋简体" w:hAnsi="Times New Roman" w:eastAsia="方正仿宋简体" w:cs="方正仿宋简体"/>
          <w:color w:val="auto"/>
          <w:kern w:val="2"/>
          <w:sz w:val="33"/>
          <w:szCs w:val="33"/>
          <w:u w:val="none"/>
          <w:lang w:val="en-US" w:eastAsia="zh-CN" w:bidi="ar-SA"/>
        </w:rPr>
        <w:t>不</w:t>
      </w:r>
      <w:r>
        <w:rPr>
          <w:rFonts w:hint="eastAsia" w:ascii="方正仿宋简体" w:hAnsi="Times New Roman" w:eastAsia="方正仿宋简体" w:cs="方正仿宋简体"/>
          <w:color w:val="auto"/>
          <w:kern w:val="2"/>
          <w:sz w:val="33"/>
          <w:szCs w:val="33"/>
          <w:u w:val="none"/>
          <w:lang w:val="zh-CN" w:eastAsia="zh-CN" w:bidi="ar-SA"/>
        </w:rPr>
        <w:t>涉及国有资本、行政事业性国有资产、债券资金、政府采购和政府购买服务等重点领域的。</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楷体_GB2312" w:eastAsia="楷体_GB2312"/>
          <w:b/>
          <w:sz w:val="32"/>
          <w:szCs w:val="32"/>
          <w:lang w:val="en-US" w:eastAsia="zh-CN"/>
        </w:rPr>
        <w:t>（四）绩效结果应用情况。</w:t>
      </w:r>
      <w:r>
        <w:rPr>
          <w:rFonts w:hint="eastAsia" w:ascii="方正仿宋简体" w:hAnsi="Times New Roman" w:eastAsia="方正仿宋简体" w:cs="方正仿宋简体"/>
          <w:color w:val="auto"/>
          <w:kern w:val="2"/>
          <w:sz w:val="33"/>
          <w:szCs w:val="33"/>
          <w:u w:val="none"/>
          <w:lang w:val="en-US" w:eastAsia="zh-CN" w:bidi="ar-SA"/>
        </w:rPr>
        <w:t>一是结合内部控制要求，科学设计绩效评价指标体系。将内部控制的理念融合到预算绩效管理中，实现预算绩效管理与内部控制的融合推进。二是积极推进信息化建设，提高预算绩效管理的效率。建立绩效目标设置、预算编制、执行追踪管理、绩效评价报告提交、绩效评价结果应用等内容，充分发挥信息技术在政府预算绩效管理中信息收集、比较、分析、共享等方面的作用，实现预算绩效管理与信息系统的有效衔接，提高预算绩效管理的效率。及时、准确地在政府网站公开本单位的绩效目标、绩效评价、绩效监控等公开情况，并定期进行维护和更新。</w:t>
      </w:r>
    </w:p>
    <w:p>
      <w:pPr>
        <w:ind w:firstLine="640" w:firstLineChars="200"/>
        <w:rPr>
          <w:rFonts w:hint="eastAsia" w:ascii="黑体" w:hAnsi="黑体" w:eastAsia="黑体"/>
          <w:sz w:val="32"/>
          <w:szCs w:val="32"/>
          <w:lang w:val="zh-CN" w:eastAsia="zh-CN"/>
        </w:rPr>
      </w:pPr>
      <w:r>
        <w:rPr>
          <w:rFonts w:hint="eastAsia" w:ascii="黑体" w:hAnsi="黑体" w:eastAsia="黑体"/>
          <w:sz w:val="32"/>
          <w:szCs w:val="32"/>
          <w:lang w:val="zh-CN" w:eastAsia="zh-CN"/>
        </w:rPr>
        <w:t>四、评价结论及建议</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楷体_GB2312" w:eastAsia="楷体_GB2312"/>
          <w:b/>
          <w:sz w:val="32"/>
          <w:szCs w:val="32"/>
          <w:lang w:val="zh-CN" w:eastAsia="zh-CN"/>
        </w:rPr>
        <w:t>（一）评价结论。</w:t>
      </w:r>
      <w:r>
        <w:rPr>
          <w:rFonts w:hint="eastAsia" w:ascii="方正仿宋简体" w:hAnsi="Times New Roman" w:eastAsia="方正仿宋简体" w:cs="方正仿宋简体"/>
          <w:color w:val="auto"/>
          <w:kern w:val="2"/>
          <w:sz w:val="33"/>
          <w:szCs w:val="33"/>
          <w:u w:val="none"/>
          <w:lang w:val="zh-CN" w:eastAsia="zh-CN" w:bidi="ar-SA"/>
        </w:rPr>
        <w:t>本年度在习近平新时代中国特色社会主义思想和对四川工作系列重要指示精神指引下，着眼进一步提升群众来访接待服务质量，坚持以人民为中心的发展思想，不忘初心，牢记使命，践行“人民信访为人民”，紧紧围绕打造“阳光信访、责任信访、法治信访、开放信访、和谐信访”，以创建人民满意窗口为载体，着力在精研业务、精准接谈、精建队伍上狠下功夫，切实改进工作作风，提供一流窗口服务，树立一流窗口形象，积极推动信访基础设施标准化、信访基础业务规范化、信访工作队伍专业化建设。</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楷体_GB2312" w:eastAsia="楷体_GB2312"/>
          <w:b/>
          <w:sz w:val="32"/>
          <w:szCs w:val="32"/>
          <w:lang w:val="zh-CN" w:eastAsia="zh-CN"/>
        </w:rPr>
        <w:t>（二）存在问题。</w:t>
      </w:r>
      <w:r>
        <w:rPr>
          <w:rFonts w:hint="eastAsia" w:ascii="方正仿宋简体" w:hAnsi="Times New Roman" w:eastAsia="方正仿宋简体" w:cs="方正仿宋简体"/>
          <w:color w:val="auto"/>
          <w:kern w:val="2"/>
          <w:sz w:val="33"/>
          <w:szCs w:val="33"/>
          <w:u w:val="none"/>
          <w:lang w:val="en-US" w:eastAsia="zh-CN" w:bidi="ar-SA"/>
        </w:rPr>
        <w:t>无。</w:t>
      </w:r>
    </w:p>
    <w:p>
      <w:pPr>
        <w:adjustRightInd w:val="0"/>
        <w:snapToGrid w:val="0"/>
        <w:spacing w:line="560" w:lineRule="exact"/>
        <w:ind w:firstLine="643" w:firstLineChars="200"/>
        <w:rPr>
          <w:rFonts w:hint="eastAsia" w:ascii="方正仿宋简体" w:hAnsi="Times New Roman" w:eastAsia="方正仿宋简体" w:cs="方正仿宋简体"/>
          <w:color w:val="auto"/>
          <w:kern w:val="2"/>
          <w:sz w:val="33"/>
          <w:szCs w:val="33"/>
          <w:u w:val="none"/>
          <w:lang w:val="en-US" w:eastAsia="zh-CN" w:bidi="ar-SA"/>
        </w:rPr>
      </w:pPr>
      <w:r>
        <w:rPr>
          <w:rFonts w:hint="eastAsia" w:ascii="楷体_GB2312" w:eastAsia="楷体_GB2312"/>
          <w:b/>
          <w:sz w:val="32"/>
          <w:szCs w:val="32"/>
          <w:lang w:val="zh-CN" w:eastAsia="zh-CN"/>
        </w:rPr>
        <w:t>（三）改进建议。</w:t>
      </w:r>
      <w:r>
        <w:rPr>
          <w:rFonts w:hint="eastAsia" w:ascii="方正仿宋简体" w:hAnsi="Times New Roman" w:eastAsia="方正仿宋简体" w:cs="方正仿宋简体"/>
          <w:color w:val="auto"/>
          <w:kern w:val="2"/>
          <w:sz w:val="33"/>
          <w:szCs w:val="33"/>
          <w:u w:val="none"/>
          <w:lang w:val="en-US" w:eastAsia="zh-CN" w:bidi="ar-SA"/>
        </w:rPr>
        <w:t>无。</w:t>
      </w: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p>
    <w:p>
      <w:pPr>
        <w:adjustRightInd w:val="0"/>
        <w:snapToGrid w:val="0"/>
        <w:spacing w:line="560" w:lineRule="exact"/>
        <w:ind w:firstLine="660" w:firstLineChars="200"/>
        <w:rPr>
          <w:rFonts w:hint="eastAsia" w:ascii="方正仿宋简体" w:hAnsi="Times New Roman" w:eastAsia="方正仿宋简体" w:cs="方正仿宋简体"/>
          <w:color w:val="auto"/>
          <w:kern w:val="2"/>
          <w:sz w:val="33"/>
          <w:szCs w:val="33"/>
          <w:u w:val="none"/>
          <w:lang w:val="zh-CN" w:eastAsia="zh-CN" w:bidi="ar-SA"/>
        </w:rPr>
      </w:pPr>
      <w:r>
        <w:rPr>
          <w:rFonts w:hint="eastAsia" w:ascii="方正仿宋简体" w:hAnsi="Times New Roman" w:eastAsia="方正仿宋简体" w:cs="方正仿宋简体"/>
          <w:color w:val="auto"/>
          <w:kern w:val="2"/>
          <w:sz w:val="33"/>
          <w:szCs w:val="33"/>
          <w:u w:val="none"/>
          <w:lang w:val="zh-CN" w:eastAsia="zh-CN" w:bidi="ar-SA"/>
        </w:rPr>
        <w:t>附表：部门预算项目支出绩效自评表（2023年度）</w:t>
      </w:r>
    </w:p>
    <w:p/>
    <w:p>
      <w:pPr>
        <w:pStyle w:val="2"/>
      </w:pPr>
    </w:p>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专项预算项目绩效评价报告</w:t>
      </w:r>
    </w:p>
    <w:p>
      <w:pPr>
        <w:pStyle w:val="34"/>
        <w:spacing w:line="600" w:lineRule="exact"/>
        <w:jc w:val="center"/>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保安费用</w:t>
      </w:r>
    </w:p>
    <w:p>
      <w:pPr>
        <w:pStyle w:val="34"/>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lang w:val="zh-CN"/>
        </w:rPr>
      </w:pPr>
      <w:r>
        <w:rPr>
          <w:rFonts w:eastAsia="楷体_GB2312"/>
          <w:b/>
          <w:sz w:val="33"/>
          <w:szCs w:val="33"/>
          <w:lang w:val="zh-CN"/>
        </w:rPr>
        <w:t>（一）项目基本情况</w:t>
      </w:r>
      <w:r>
        <w:rPr>
          <w:rFonts w:eastAsia="楷体_GB2312"/>
          <w:b/>
          <w:lang w:val="zh-CN"/>
        </w:rPr>
        <w:t>。</w:t>
      </w:r>
    </w:p>
    <w:p>
      <w:p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en-US" w:eastAsia="zh-CN"/>
        </w:rPr>
        <w:t>1.</w:t>
      </w:r>
      <w:r>
        <w:rPr>
          <w:rFonts w:hint="eastAsia" w:ascii="方正仿宋简体" w:eastAsia="方正仿宋简体" w:cs="方正仿宋简体"/>
          <w:sz w:val="33"/>
          <w:szCs w:val="33"/>
          <w:u w:val="none"/>
        </w:rPr>
        <w:t>保障本年度内两名保安人员的经费，确保信访安保</w:t>
      </w:r>
    </w:p>
    <w:p>
      <w:pPr>
        <w:adjustRightInd w:val="0"/>
        <w:snapToGrid w:val="0"/>
        <w:spacing w:line="600" w:lineRule="exact"/>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rPr>
        <w:t>工作质量，完成本年度内信访安保工作</w:t>
      </w:r>
      <w:r>
        <w:rPr>
          <w:rFonts w:hint="eastAsia" w:ascii="方正仿宋简体" w:eastAsia="方正仿宋简体" w:cs="方正仿宋简体"/>
          <w:sz w:val="33"/>
          <w:szCs w:val="33"/>
          <w:u w:val="none"/>
          <w:lang w:eastAsia="zh-CN"/>
        </w:rPr>
        <w:t>。</w:t>
      </w:r>
    </w:p>
    <w:p>
      <w:pPr>
        <w:numPr>
          <w:ilvl w:val="0"/>
          <w:numId w:val="6"/>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一是党政机关办公场所、信访场所保安人员要履职尽</w:t>
      </w:r>
    </w:p>
    <w:p>
      <w:pPr>
        <w:numPr>
          <w:ilvl w:val="0"/>
          <w:numId w:val="0"/>
        </w:numPr>
        <w:adjustRightInd w:val="0"/>
        <w:snapToGrid w:val="0"/>
        <w:spacing w:line="600" w:lineRule="exact"/>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责，做好上访人员甄别；二是对办公场所、信访场所配备必要的消防器材，确保人员会使用；三是对相关工作人员自身安全防范教育，进行必要的知识培训；四是要举一反三，对办公场所、信访场所安全隐患进行整治，做好防火、防盗、防爆、防喝农药等工作，切忌出现问题，产生负面影响。</w:t>
      </w:r>
    </w:p>
    <w:p>
      <w:pPr>
        <w:numPr>
          <w:ilvl w:val="0"/>
          <w:numId w:val="6"/>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根据20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rPr>
        <w:t>年预算编制要求，绩效评估本着真正过紧</w:t>
      </w:r>
    </w:p>
    <w:p>
      <w:pPr>
        <w:numPr>
          <w:ilvl w:val="0"/>
          <w:numId w:val="0"/>
        </w:numPr>
        <w:adjustRightInd w:val="0"/>
        <w:snapToGrid w:val="0"/>
        <w:spacing w:line="600" w:lineRule="exact"/>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rPr>
        <w:t>日子的原则，厉行节约、精打细算，从严从紧控制项目申报和预算安排，非必要项目和工作内容可压尽压、应压尽压，做到客观、绩效、精准。</w:t>
      </w:r>
    </w:p>
    <w:p>
      <w:pPr>
        <w:numPr>
          <w:ilvl w:val="0"/>
          <w:numId w:val="6"/>
        </w:numPr>
        <w:adjustRightInd w:val="0"/>
        <w:snapToGrid w:val="0"/>
        <w:spacing w:line="600" w:lineRule="exact"/>
        <w:ind w:left="420" w:leftChars="200" w:firstLine="82" w:firstLineChars="25"/>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rPr>
        <w:t>202</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万元；202</w:t>
      </w: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年</w:t>
      </w:r>
    </w:p>
    <w:p>
      <w:pPr>
        <w:numPr>
          <w:ilvl w:val="0"/>
          <w:numId w:val="0"/>
        </w:numPr>
        <w:adjustRightInd w:val="0"/>
        <w:snapToGrid w:val="0"/>
        <w:spacing w:line="600" w:lineRule="exact"/>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rPr>
        <w:t>预算安排</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8</w:t>
      </w:r>
      <w:r>
        <w:rPr>
          <w:rFonts w:hint="eastAsia" w:ascii="方正仿宋简体" w:eastAsia="方正仿宋简体" w:cs="方正仿宋简体"/>
          <w:sz w:val="33"/>
          <w:szCs w:val="33"/>
          <w:u w:val="none"/>
        </w:rPr>
        <w:t>万元</w:t>
      </w:r>
      <w:r>
        <w:rPr>
          <w:rFonts w:hint="eastAsia" w:ascii="方正仿宋简体" w:eastAsia="方正仿宋简体" w:cs="方正仿宋简体"/>
          <w:sz w:val="33"/>
          <w:szCs w:val="33"/>
          <w:u w:val="none"/>
          <w:lang w:eastAsia="zh-CN"/>
        </w:rPr>
        <w:t>，</w:t>
      </w:r>
      <w:r>
        <w:rPr>
          <w:rFonts w:hint="eastAsia" w:ascii="方正仿宋简体" w:eastAsia="方正仿宋简体" w:cs="方正仿宋简体"/>
          <w:sz w:val="33"/>
          <w:szCs w:val="33"/>
          <w:u w:val="none"/>
        </w:rPr>
        <w:t>较上年</w:t>
      </w:r>
      <w:r>
        <w:rPr>
          <w:rFonts w:hint="eastAsia" w:ascii="方正仿宋简体" w:eastAsia="方正仿宋简体" w:cs="方正仿宋简体"/>
          <w:sz w:val="33"/>
          <w:szCs w:val="33"/>
          <w:u w:val="none"/>
          <w:lang w:eastAsia="zh-CN"/>
        </w:rPr>
        <w:t>无变化</w:t>
      </w:r>
      <w:r>
        <w:rPr>
          <w:rFonts w:hint="eastAsia" w:ascii="方正仿宋简体" w:eastAsia="方正仿宋简体" w:cs="方正仿宋简体"/>
          <w:sz w:val="33"/>
          <w:szCs w:val="33"/>
          <w:u w:val="none"/>
        </w:rPr>
        <w:t>。</w:t>
      </w:r>
    </w:p>
    <w:p>
      <w:pPr>
        <w:numPr>
          <w:ilvl w:val="0"/>
          <w:numId w:val="0"/>
        </w:numPr>
        <w:snapToGrid w:val="0"/>
        <w:spacing w:line="600" w:lineRule="exact"/>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）项目绩效目标设置。</w:t>
      </w:r>
    </w:p>
    <w:p>
      <w:pPr>
        <w:numPr>
          <w:ilvl w:val="0"/>
          <w:numId w:val="0"/>
        </w:numPr>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zh-CN"/>
        </w:rPr>
        <w:t>1. 项目主要内容。</w:t>
      </w:r>
      <w:r>
        <w:rPr>
          <w:rFonts w:hint="eastAsia" w:ascii="方正仿宋简体" w:eastAsia="方正仿宋简体" w:cs="方正仿宋简体"/>
          <w:sz w:val="33"/>
          <w:szCs w:val="33"/>
          <w:u w:val="none"/>
        </w:rPr>
        <w:t>为认真贯彻落实会议精神，并经请示分管、联系的区委、区政府领导同意，西区信访局公开招聘符合信访工作条件保安人员2名，维持信访秩序，24小时对周边环境进行巡逻和值班。</w:t>
      </w:r>
    </w:p>
    <w:p>
      <w:pPr>
        <w:numPr>
          <w:ilvl w:val="0"/>
          <w:numId w:val="0"/>
        </w:numPr>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zh-CN"/>
        </w:rPr>
        <w:t xml:space="preserve">2. </w:t>
      </w:r>
      <w:r>
        <w:rPr>
          <w:rFonts w:hint="eastAsia" w:ascii="方正仿宋简体" w:eastAsia="方正仿宋简体" w:cs="方正仿宋简体"/>
          <w:sz w:val="33"/>
          <w:szCs w:val="33"/>
          <w:u w:val="none"/>
        </w:rPr>
        <w:t>有效地保障信访部门上访群众和信访工作人员的人身安全，更好的完成接访工作，提高群众满意度。</w:t>
      </w:r>
    </w:p>
    <w:p>
      <w:pPr>
        <w:numPr>
          <w:ilvl w:val="0"/>
          <w:numId w:val="0"/>
        </w:numPr>
        <w:snapToGrid w:val="0"/>
        <w:spacing w:line="600" w:lineRule="exact"/>
        <w:ind w:firstLine="660" w:firstLineChars="200"/>
        <w:rPr>
          <w:rFonts w:eastAsia="仿宋_GB2312"/>
          <w:sz w:val="32"/>
          <w:szCs w:val="32"/>
          <w:lang w:val="zh-CN"/>
        </w:rPr>
      </w:pPr>
      <w:r>
        <w:rPr>
          <w:rFonts w:hint="eastAsia" w:ascii="方正仿宋简体" w:eastAsia="方正仿宋简体" w:cs="方正仿宋简体"/>
          <w:sz w:val="33"/>
          <w:szCs w:val="33"/>
          <w:u w:val="none"/>
          <w:lang w:val="zh-CN"/>
        </w:rPr>
        <w:t xml:space="preserve">3. </w:t>
      </w:r>
      <w:r>
        <w:rPr>
          <w:rFonts w:hint="eastAsia" w:ascii="方正仿宋简体" w:eastAsia="方正仿宋简体" w:cs="方正仿宋简体"/>
          <w:sz w:val="33"/>
          <w:szCs w:val="33"/>
          <w:u w:val="none"/>
        </w:rPr>
        <w:t>按照</w:t>
      </w:r>
      <w:r>
        <w:rPr>
          <w:rFonts w:hint="eastAsia" w:ascii="方正仿宋简体" w:eastAsia="方正仿宋简体" w:cs="方正仿宋简体"/>
          <w:sz w:val="33"/>
          <w:szCs w:val="33"/>
          <w:u w:val="none"/>
          <w:lang w:eastAsia="zh-CN"/>
        </w:rPr>
        <w:t>攀枝花市信访联席会议办公室</w:t>
      </w:r>
      <w:r>
        <w:rPr>
          <w:rFonts w:hint="eastAsia" w:ascii="方正仿宋简体" w:eastAsia="方正仿宋简体" w:cs="方正仿宋简体"/>
          <w:sz w:val="33"/>
          <w:szCs w:val="33"/>
          <w:u w:val="none"/>
        </w:rPr>
        <w:t>《关于</w:t>
      </w:r>
      <w:r>
        <w:rPr>
          <w:rFonts w:hint="eastAsia" w:ascii="方正仿宋简体" w:eastAsia="方正仿宋简体" w:cs="方正仿宋简体"/>
          <w:sz w:val="33"/>
          <w:szCs w:val="33"/>
          <w:u w:val="none"/>
          <w:lang w:eastAsia="zh-CN"/>
        </w:rPr>
        <w:t>进一步做好涉稳涉访重点问题和重点人员信访稳定工作</w:t>
      </w:r>
      <w:r>
        <w:rPr>
          <w:rFonts w:hint="eastAsia" w:ascii="方正仿宋简体" w:eastAsia="方正仿宋简体" w:cs="方正仿宋简体"/>
          <w:sz w:val="33"/>
          <w:szCs w:val="33"/>
          <w:u w:val="none"/>
        </w:rPr>
        <w:t>的通知》（攀信联办〔20</w:t>
      </w:r>
      <w:r>
        <w:rPr>
          <w:rFonts w:hint="eastAsia" w:ascii="方正仿宋简体" w:eastAsia="方正仿宋简体" w:cs="方正仿宋简体"/>
          <w:sz w:val="33"/>
          <w:szCs w:val="33"/>
          <w:u w:val="none"/>
          <w:lang w:val="en-US" w:eastAsia="zh-CN"/>
        </w:rPr>
        <w:t>22</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val="en-US" w:eastAsia="zh-CN"/>
        </w:rPr>
        <w:t>34</w:t>
      </w:r>
      <w:r>
        <w:rPr>
          <w:rFonts w:hint="eastAsia" w:ascii="方正仿宋简体" w:eastAsia="方正仿宋简体" w:cs="方正仿宋简体"/>
          <w:sz w:val="33"/>
          <w:szCs w:val="33"/>
          <w:u w:val="none"/>
        </w:rPr>
        <w:t>号）</w:t>
      </w:r>
      <w:r>
        <w:rPr>
          <w:rFonts w:hint="eastAsia" w:ascii="方正仿宋简体" w:eastAsia="方正仿宋简体" w:cs="方正仿宋简体"/>
          <w:sz w:val="33"/>
          <w:szCs w:val="33"/>
          <w:u w:val="none"/>
          <w:lang w:eastAsia="zh-CN"/>
        </w:rPr>
        <w:t>，攀枝花市信访联席会议办公室关于转发</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eastAsia="zh-CN"/>
        </w:rPr>
        <w:t>四川省信访联席会议办公室关于进一步做好信访安全稳定风险事项化解稳定工作</w:t>
      </w:r>
      <w:r>
        <w:rPr>
          <w:rFonts w:hint="eastAsia" w:ascii="方正仿宋简体" w:eastAsia="方正仿宋简体" w:cs="方正仿宋简体"/>
          <w:sz w:val="33"/>
          <w:szCs w:val="33"/>
          <w:u w:val="none"/>
        </w:rPr>
        <w:t>的通知》文件要求，20</w:t>
      </w:r>
      <w:r>
        <w:rPr>
          <w:rFonts w:hint="eastAsia" w:ascii="方正仿宋简体" w:eastAsia="方正仿宋简体" w:cs="方正仿宋简体"/>
          <w:sz w:val="33"/>
          <w:szCs w:val="33"/>
          <w:u w:val="none"/>
          <w:lang w:val="en-US" w:eastAsia="zh-CN"/>
        </w:rPr>
        <w:t>22</w:t>
      </w:r>
      <w:r>
        <w:rPr>
          <w:rFonts w:hint="eastAsia" w:ascii="方正仿宋简体" w:eastAsia="方正仿宋简体" w:cs="方正仿宋简体"/>
          <w:sz w:val="33"/>
          <w:szCs w:val="33"/>
          <w:u w:val="none"/>
        </w:rPr>
        <w:t>年</w:t>
      </w:r>
      <w:r>
        <w:rPr>
          <w:rFonts w:hint="eastAsia" w:ascii="方正仿宋简体" w:eastAsia="方正仿宋简体" w:cs="方正仿宋简体"/>
          <w:sz w:val="33"/>
          <w:szCs w:val="33"/>
          <w:u w:val="none"/>
          <w:lang w:val="en-US" w:eastAsia="zh-CN"/>
        </w:rPr>
        <w:t>9</w:t>
      </w:r>
      <w:r>
        <w:rPr>
          <w:rFonts w:hint="eastAsia" w:ascii="方正仿宋简体" w:eastAsia="方正仿宋简体" w:cs="方正仿宋简体"/>
          <w:sz w:val="33"/>
          <w:szCs w:val="33"/>
          <w:u w:val="none"/>
        </w:rPr>
        <w:t>月</w:t>
      </w:r>
      <w:r>
        <w:rPr>
          <w:rFonts w:hint="eastAsia" w:ascii="方正仿宋简体" w:eastAsia="方正仿宋简体" w:cs="方正仿宋简体"/>
          <w:sz w:val="33"/>
          <w:szCs w:val="33"/>
          <w:u w:val="none"/>
          <w:lang w:val="en-US" w:eastAsia="zh-CN"/>
        </w:rPr>
        <w:t>15</w:t>
      </w:r>
      <w:r>
        <w:rPr>
          <w:rFonts w:hint="eastAsia" w:ascii="方正仿宋简体" w:eastAsia="方正仿宋简体" w:cs="方正仿宋简体"/>
          <w:sz w:val="33"/>
          <w:szCs w:val="33"/>
          <w:u w:val="none"/>
        </w:rPr>
        <w:t>日，</w:t>
      </w:r>
      <w:r>
        <w:rPr>
          <w:rFonts w:hint="eastAsia" w:ascii="方正仿宋简体" w:eastAsia="方正仿宋简体" w:cs="方正仿宋简体"/>
          <w:sz w:val="33"/>
          <w:szCs w:val="33"/>
          <w:u w:val="none"/>
          <w:lang w:eastAsia="zh-CN"/>
        </w:rPr>
        <w:t>市政府副市长、市公安局局长周强</w:t>
      </w:r>
      <w:r>
        <w:rPr>
          <w:rFonts w:hint="eastAsia" w:ascii="方正仿宋简体" w:eastAsia="方正仿宋简体" w:cs="方正仿宋简体"/>
          <w:sz w:val="33"/>
          <w:szCs w:val="33"/>
          <w:u w:val="none"/>
        </w:rPr>
        <w:t>组织召开了</w:t>
      </w:r>
      <w:r>
        <w:rPr>
          <w:rFonts w:hint="eastAsia" w:ascii="方正仿宋简体" w:eastAsia="方正仿宋简体" w:cs="方正仿宋简体"/>
          <w:sz w:val="33"/>
          <w:szCs w:val="33"/>
          <w:u w:val="none"/>
          <w:lang w:eastAsia="zh-CN"/>
        </w:rPr>
        <w:t>信访安全保障工作专题会议</w:t>
      </w:r>
      <w:r>
        <w:rPr>
          <w:rFonts w:hint="eastAsia" w:ascii="方正仿宋简体" w:eastAsia="方正仿宋简体" w:cs="方正仿宋简体"/>
          <w:sz w:val="33"/>
          <w:szCs w:val="33"/>
          <w:u w:val="none"/>
        </w:rPr>
        <w:t>，</w:t>
      </w:r>
      <w:r>
        <w:rPr>
          <w:rFonts w:hint="eastAsia" w:ascii="方正仿宋简体" w:eastAsia="方正仿宋简体" w:cs="方正仿宋简体"/>
          <w:sz w:val="33"/>
          <w:szCs w:val="33"/>
          <w:u w:val="none"/>
          <w:lang w:eastAsia="zh-CN"/>
        </w:rPr>
        <w:t>要求做好信访安全保障工作，营造安全稳定和谐社会环境。</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autoSpaceDE w:val="0"/>
        <w:autoSpaceDN w:val="0"/>
        <w:adjustRightInd w:val="0"/>
        <w:spacing w:line="520" w:lineRule="exact"/>
        <w:ind w:firstLine="643" w:firstLineChars="200"/>
        <w:jc w:val="left"/>
        <w:rPr>
          <w:rFonts w:hint="eastAsia" w:ascii="方正仿宋简体" w:hAnsi="Times New Roman"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hAnsi="Times New Roman" w:eastAsia="方正仿宋简体" w:cs="方正仿宋简体"/>
          <w:sz w:val="33"/>
          <w:szCs w:val="33"/>
          <w:u w:val="none"/>
          <w:lang w:eastAsia="zh-CN"/>
        </w:rPr>
        <w:t>绩效目标为8万元，完成情况为8万元，确保全年不因工作不当不力引发重大信访事项，圆满完成202</w:t>
      </w:r>
      <w:r>
        <w:rPr>
          <w:rFonts w:hint="eastAsia" w:ascii="方正仿宋简体" w:hAnsi="Times New Roman" w:eastAsia="方正仿宋简体" w:cs="方正仿宋简体"/>
          <w:sz w:val="33"/>
          <w:szCs w:val="33"/>
          <w:u w:val="none"/>
          <w:lang w:val="en-US" w:eastAsia="zh-CN"/>
        </w:rPr>
        <w:t>3</w:t>
      </w:r>
      <w:r>
        <w:rPr>
          <w:rFonts w:hint="eastAsia" w:ascii="方正仿宋简体" w:hAnsi="Times New Roman" w:eastAsia="方正仿宋简体" w:cs="方正仿宋简体"/>
          <w:sz w:val="33"/>
          <w:szCs w:val="33"/>
          <w:u w:val="none"/>
          <w:lang w:eastAsia="zh-CN"/>
        </w:rPr>
        <w:t>年信访安保工作。</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ascii="方正仿宋简体" w:hAnsi="Times New Roman" w:eastAsia="方正仿宋简体" w:cs="方正仿宋简体"/>
          <w:sz w:val="33"/>
          <w:szCs w:val="33"/>
          <w:u w:val="none"/>
          <w:lang w:val="en-US" w:eastAsia="zh-CN"/>
        </w:rPr>
        <w:t>西区历史遗留问题多，辖区改制企业多，困难群体多，各类矛盾突出，受整体经济下行全区财政困难，保安人员待遇较低，人员波动大</w:t>
      </w:r>
      <w:r>
        <w:rPr>
          <w:rFonts w:hint="eastAsia" w:ascii="方正仿宋简体" w:hAnsi="Times New Roman" w:eastAsia="方正仿宋简体" w:cs="方正仿宋简体"/>
          <w:sz w:val="33"/>
          <w:szCs w:val="33"/>
          <w:u w:val="none"/>
          <w:lang w:val="zh-CN" w:eastAsia="zh-CN"/>
        </w:rPr>
        <w:t>。</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年初预算8万元，区财政已及时拨付到位，全年完成数8万元。该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rFonts w:hint="eastAsia" w:ascii="楷体_GB2312" w:eastAsia="楷体_GB2312"/>
          <w:b/>
          <w:sz w:val="32"/>
          <w:szCs w:val="32"/>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snapToGrid w:val="0"/>
        <w:spacing w:line="600" w:lineRule="atLeast"/>
        <w:jc w:val="center"/>
        <w:rPr>
          <w:rFonts w:ascii="仿宋_GB2312" w:hAnsi="宋体"/>
          <w:sz w:val="33"/>
          <w:szCs w:val="33"/>
          <w:u w:val="none"/>
        </w:rPr>
      </w:pPr>
      <w:r>
        <w:rPr>
          <w:rFonts w:hint="eastAsia" w:ascii="宋体" w:hAnsi="宋体" w:eastAsia="宋体"/>
          <w:b/>
          <w:sz w:val="33"/>
          <w:szCs w:val="33"/>
          <w:u w:val="none"/>
        </w:rPr>
        <w:t>攀枝花市西区区级</w:t>
      </w:r>
      <w:r>
        <w:rPr>
          <w:rFonts w:hint="eastAsia" w:ascii="宋体" w:hAnsi="宋体" w:eastAsia="宋体"/>
          <w:b/>
          <w:sz w:val="33"/>
          <w:szCs w:val="33"/>
          <w:u w:val="none"/>
          <w:lang w:eastAsia="zh-CN"/>
        </w:rPr>
        <w:t>保安费用</w:t>
      </w:r>
      <w:r>
        <w:rPr>
          <w:rFonts w:ascii="宋体" w:hAnsi="宋体" w:eastAsia="宋体"/>
          <w:b/>
          <w:sz w:val="33"/>
          <w:szCs w:val="33"/>
          <w:u w:val="none"/>
        </w:rPr>
        <w:t>绩效</w:t>
      </w:r>
      <w:r>
        <w:rPr>
          <w:rFonts w:hint="eastAsia" w:ascii="宋体" w:hAnsi="宋体" w:eastAsia="宋体"/>
          <w:b/>
          <w:sz w:val="33"/>
          <w:szCs w:val="33"/>
          <w:u w:val="none"/>
        </w:rPr>
        <w:t>目标</w:t>
      </w:r>
      <w:r>
        <w:rPr>
          <w:rFonts w:ascii="宋体" w:hAnsi="宋体" w:eastAsia="宋体"/>
          <w:b/>
          <w:sz w:val="33"/>
          <w:szCs w:val="33"/>
          <w:u w:val="none"/>
        </w:rPr>
        <w:t>表</w:t>
      </w:r>
    </w:p>
    <w:tbl>
      <w:tblPr>
        <w:tblStyle w:val="15"/>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保障全年保安的经费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确保信访安保工作质量</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信访工作顺利开展</w:t>
            </w:r>
          </w:p>
        </w:tc>
      </w:tr>
      <w:tr>
        <w:tblPrEx>
          <w:tblLayout w:type="fixed"/>
          <w:tblCellMar>
            <w:top w:w="0" w:type="dxa"/>
            <w:left w:w="0" w:type="dxa"/>
            <w:bottom w:w="0" w:type="dxa"/>
            <w:right w:w="0" w:type="dxa"/>
          </w:tblCellMar>
        </w:tblPrEx>
        <w:trPr>
          <w:trHeight w:val="475"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8万元以内。该项目申请资金总预算8万元，经评审，建议预算申报数8万元,我单位将进一步优化完善实施方案和绩效目标，加强运行监控，节约财政资金并提升资金效益，提升预算绩效管理水平。</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ind w:firstLine="640" w:firstLineChars="200"/>
        <w:rPr>
          <w:rFonts w:eastAsia="仿宋_GB2312"/>
          <w:sz w:val="32"/>
          <w:szCs w:val="32"/>
          <w:lang w:val="zh-CN"/>
        </w:rPr>
      </w:pPr>
      <w:r>
        <w:rPr>
          <w:rFonts w:hint="eastAsia" w:eastAsia="仿宋_GB2312"/>
          <w:sz w:val="32"/>
          <w:szCs w:val="32"/>
          <w:lang w:val="en-US" w:eastAsia="zh-CN"/>
        </w:rPr>
        <w:t>无</w:t>
      </w:r>
      <w:r>
        <w:rPr>
          <w:rFonts w:hint="eastAsia" w:eastAsia="仿宋_GB2312"/>
          <w:sz w:val="32"/>
          <w:szCs w:val="32"/>
          <w:lang w:val="zh-CN"/>
        </w:rPr>
        <w:t xml:space="preserve"> 。</w:t>
      </w:r>
    </w:p>
    <w:p>
      <w:pPr>
        <w:pStyle w:val="34"/>
        <w:spacing w:line="600" w:lineRule="exact"/>
        <w:jc w:val="center"/>
        <w:rPr>
          <w:rFonts w:ascii="Times New Roman" w:hAnsi="Times New Roman" w:eastAsia="仿宋_GB2312"/>
          <w:color w:val="auto"/>
          <w:kern w:val="2"/>
          <w:sz w:val="32"/>
          <w:szCs w:val="32"/>
        </w:rPr>
      </w:pPr>
    </w:p>
    <w:p>
      <w:pPr>
        <w:pStyle w:val="34"/>
        <w:spacing w:line="600" w:lineRule="exact"/>
        <w:ind w:firstLine="3253" w:firstLineChars="900"/>
        <w:jc w:val="both"/>
        <w:rPr>
          <w:rFonts w:ascii="Times New Roman" w:hAnsi="Times New Roman" w:eastAsia="仿宋_GB2312"/>
          <w:b/>
          <w:bCs/>
          <w:color w:val="auto"/>
          <w:kern w:val="2"/>
          <w:sz w:val="36"/>
          <w:szCs w:val="36"/>
        </w:rPr>
      </w:pPr>
      <w:r>
        <w:rPr>
          <w:rFonts w:hint="eastAsia" w:ascii="Times New Roman" w:hAnsi="Times New Roman" w:eastAsia="仿宋_GB2312"/>
          <w:b/>
          <w:bCs/>
          <w:color w:val="auto"/>
          <w:kern w:val="2"/>
          <w:sz w:val="36"/>
          <w:szCs w:val="36"/>
          <w:lang w:val="en-US" w:eastAsia="zh-CN"/>
        </w:rPr>
        <w:t>接访费用</w:t>
      </w:r>
    </w:p>
    <w:p>
      <w:pPr>
        <w:pStyle w:val="34"/>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lang w:val="en-US" w:eastAsia="zh-CN"/>
        </w:rPr>
        <w:t>1.</w:t>
      </w:r>
      <w:r>
        <w:rPr>
          <w:rFonts w:hint="eastAsia" w:ascii="方正仿宋简体" w:eastAsia="方正仿宋简体" w:cs="方正仿宋简体"/>
          <w:sz w:val="33"/>
          <w:szCs w:val="33"/>
          <w:u w:val="none"/>
        </w:rPr>
        <w:t>保障本年度内不发生重大群体信访事项，全区无重大信访问题。</w:t>
      </w:r>
    </w:p>
    <w:p>
      <w:pPr>
        <w:adjustRightInd w:val="0"/>
        <w:snapToGrid w:val="0"/>
        <w:spacing w:line="600" w:lineRule="exact"/>
        <w:ind w:firstLine="660" w:firstLineChars="200"/>
        <w:rPr>
          <w:rFonts w:hint="eastAsia" w:ascii="方正仿宋简体" w:eastAsia="方正仿宋简体" w:cs="方正仿宋简体"/>
          <w:sz w:val="33"/>
          <w:szCs w:val="33"/>
          <w:u w:val="none"/>
        </w:rPr>
      </w:pP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按照《攀枝花市年度目标绩效管理办法》《攀枝花市市级目标绩效考评特殊情况加扣分标准》《攀枝花市省级目标任务绩效考核实施细则》等制度规定和《攀枝花市 2020年度市级综合目标任务实施方案》考评责任分工，结合我市信访工作实际，制定了攀枝花市信访局关于印发《2020年信访工作考评细则 》的通知。</w:t>
      </w:r>
    </w:p>
    <w:p>
      <w:pPr>
        <w:adjustRightInd w:val="0"/>
        <w:snapToGrid w:val="0"/>
        <w:spacing w:line="600" w:lineRule="exact"/>
        <w:ind w:firstLine="660" w:firstLineChars="200"/>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根据20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eastAsia="方正仿宋简体" w:cs="方正仿宋简体"/>
          <w:sz w:val="33"/>
          <w:szCs w:val="33"/>
          <w:u w:val="none"/>
          <w:lang w:val="zh-CN"/>
        </w:rPr>
      </w:pPr>
      <w:r>
        <w:rPr>
          <w:rFonts w:hint="eastAsia" w:ascii="方正仿宋简体" w:eastAsia="方正仿宋简体" w:cs="方正仿宋简体"/>
          <w:sz w:val="33"/>
          <w:szCs w:val="33"/>
          <w:u w:val="none"/>
          <w:lang w:val="zh-CN"/>
        </w:rPr>
        <w:t xml:space="preserve">4. </w:t>
      </w:r>
      <w:r>
        <w:rPr>
          <w:rFonts w:hint="eastAsia" w:ascii="方正仿宋简体" w:eastAsia="方正仿宋简体" w:cs="方正仿宋简体"/>
          <w:sz w:val="33"/>
          <w:szCs w:val="33"/>
          <w:u w:val="none"/>
        </w:rPr>
        <w:t>202</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万元；202</w:t>
      </w:r>
      <w:r>
        <w:rPr>
          <w:rFonts w:hint="eastAsia" w:ascii="方正仿宋简体" w:eastAsia="方正仿宋简体" w:cs="方正仿宋简体"/>
          <w:sz w:val="33"/>
          <w:szCs w:val="33"/>
          <w:u w:val="none"/>
          <w:lang w:val="en-US" w:eastAsia="zh-CN"/>
        </w:rPr>
        <w:t>3</w:t>
      </w:r>
      <w:r>
        <w:rPr>
          <w:rFonts w:hint="eastAsia" w:ascii="方正仿宋简体" w:eastAsia="方正仿宋简体" w:cs="方正仿宋简体"/>
          <w:sz w:val="33"/>
          <w:szCs w:val="33"/>
          <w:u w:val="none"/>
        </w:rPr>
        <w:t>年预算安排</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万元，实际执行</w:t>
      </w:r>
      <w:r>
        <w:rPr>
          <w:rFonts w:hint="eastAsia" w:ascii="方正仿宋简体" w:eastAsia="方正仿宋简体" w:cs="方正仿宋简体"/>
          <w:sz w:val="33"/>
          <w:szCs w:val="33"/>
          <w:u w:val="none"/>
          <w:lang w:val="en-US" w:eastAsia="zh-CN"/>
        </w:rPr>
        <w:t>2</w:t>
      </w:r>
      <w:r>
        <w:rPr>
          <w:rFonts w:hint="eastAsia" w:ascii="方正仿宋简体" w:eastAsia="方正仿宋简体" w:cs="方正仿宋简体"/>
          <w:sz w:val="33"/>
          <w:szCs w:val="33"/>
          <w:u w:val="none"/>
        </w:rPr>
        <w:t>万元</w:t>
      </w:r>
      <w:r>
        <w:rPr>
          <w:rFonts w:hint="eastAsia" w:ascii="方正仿宋简体" w:eastAsia="方正仿宋简体" w:cs="方正仿宋简体"/>
          <w:sz w:val="33"/>
          <w:szCs w:val="33"/>
          <w:u w:val="none"/>
          <w:lang w:eastAsia="zh-CN"/>
        </w:rPr>
        <w:t>，</w:t>
      </w:r>
      <w:r>
        <w:rPr>
          <w:rFonts w:hint="eastAsia" w:ascii="方正仿宋简体" w:eastAsia="方正仿宋简体" w:cs="方正仿宋简体"/>
          <w:sz w:val="33"/>
          <w:szCs w:val="33"/>
          <w:u w:val="none"/>
        </w:rPr>
        <w:t>较上年</w:t>
      </w:r>
      <w:r>
        <w:rPr>
          <w:rFonts w:hint="eastAsia" w:ascii="方正仿宋简体" w:eastAsia="方正仿宋简体" w:cs="方正仿宋简体"/>
          <w:sz w:val="33"/>
          <w:szCs w:val="33"/>
          <w:u w:val="none"/>
          <w:lang w:eastAsia="zh-CN"/>
        </w:rPr>
        <w:t>无变化</w:t>
      </w:r>
      <w:r>
        <w:rPr>
          <w:rFonts w:hint="eastAsia" w:ascii="方正仿宋简体" w:eastAsia="方正仿宋简体" w:cs="方正仿宋简体"/>
          <w:sz w:val="33"/>
          <w:szCs w:val="33"/>
          <w:u w:val="none"/>
        </w:rPr>
        <w:t>。</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1. 项目主要内容。</w:t>
      </w:r>
      <w:r>
        <w:rPr>
          <w:rFonts w:hint="eastAsia" w:ascii="方正仿宋简体" w:eastAsia="方正仿宋简体" w:cs="方正仿宋简体"/>
          <w:sz w:val="33"/>
          <w:szCs w:val="33"/>
          <w:u w:val="none"/>
          <w:lang w:val="en-US" w:eastAsia="zh-CN"/>
        </w:rPr>
        <w:t>按照《攀枝花市年度目标绩效管理办法》《攀枝花市市级目标绩效考评特殊情况加扣分标准》《攀枝花市省级目标任务绩效考核实施细则》等制度规定和《攀枝花市 2020年度市级综合目标任务实施方案》考评责任分工，结合我市信访工作实际，制定了攀枝花市信访局关于印发《2020年信访工作考评细则 》的通知，要求做好群众接访。</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 xml:space="preserve">2. </w:t>
      </w:r>
      <w:r>
        <w:rPr>
          <w:rFonts w:hint="eastAsia" w:ascii="方正仿宋简体" w:eastAsia="方正仿宋简体" w:cs="方正仿宋简体"/>
          <w:sz w:val="33"/>
          <w:szCs w:val="33"/>
          <w:u w:val="none"/>
          <w:lang w:val="en-US" w:eastAsia="zh-CN"/>
        </w:rPr>
        <w:t>有效地保障信访部门上访群众和信访工作人员的人身安全，更好的完成接访工作，提高群众满意度。</w:t>
      </w:r>
    </w:p>
    <w:p>
      <w:pPr>
        <w:adjustRightInd w:val="0"/>
        <w:snapToGrid w:val="0"/>
        <w:spacing w:line="600" w:lineRule="exact"/>
        <w:ind w:firstLine="660" w:firstLineChars="200"/>
        <w:rPr>
          <w:rFonts w:hint="eastAsia" w:ascii="方正仿宋简体" w:eastAsia="方正仿宋简体" w:cs="方正仿宋简体"/>
          <w:sz w:val="33"/>
          <w:szCs w:val="33"/>
          <w:u w:val="none"/>
          <w:lang w:val="en-US" w:eastAsia="zh-CN"/>
        </w:rPr>
      </w:pPr>
      <w:r>
        <w:rPr>
          <w:rFonts w:hint="eastAsia" w:ascii="方正仿宋简体" w:eastAsia="方正仿宋简体" w:cs="方正仿宋简体"/>
          <w:sz w:val="33"/>
          <w:szCs w:val="33"/>
          <w:u w:val="none"/>
          <w:lang w:val="zh-CN" w:eastAsia="zh-CN"/>
        </w:rPr>
        <w:t xml:space="preserve">3. </w:t>
      </w:r>
      <w:r>
        <w:rPr>
          <w:rFonts w:hint="eastAsia" w:ascii="方正仿宋简体" w:eastAsia="方正仿宋简体" w:cs="方正仿宋简体"/>
          <w:sz w:val="33"/>
          <w:szCs w:val="33"/>
          <w:u w:val="none"/>
          <w:lang w:val="en-US" w:eastAsia="zh-CN"/>
        </w:rPr>
        <w:t>按照攀枝花市信访联席会议办公室《关于进一步做好涉稳涉访重点问题和重点人员信访稳定工作的通知》（攀信联办〔2022〕34号），攀枝花市信访联席会议办公室关于转发《四川省信访联席会议办公室关于进一步做好信访安全稳定风险事项化解稳定工作的通知》文件要求，2022年9月15日，市政府副市长、市公安局局长周强组织召开了信访安全保障工作专题会议，要求做好信访安全保障工作，营造安全稳定和谐社会环境。</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eastAsia="方正仿宋简体" w:cs="方正仿宋简体"/>
          <w:kern w:val="2"/>
          <w:sz w:val="33"/>
          <w:szCs w:val="33"/>
          <w:u w:val="none"/>
          <w:lang w:val="en-US" w:eastAsia="zh-CN" w:bidi="ar-SA"/>
        </w:rPr>
        <w:t>23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万元，区财政已及时拨付到位，全年完成数</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rFonts w:hint="eastAsia" w:ascii="楷体_GB2312" w:eastAsia="楷体_GB2312"/>
          <w:b/>
          <w:sz w:val="32"/>
          <w:szCs w:val="32"/>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widowControl/>
        <w:ind w:firstLine="1920" w:firstLineChars="800"/>
        <w:jc w:val="left"/>
        <w:rPr>
          <w:rFonts w:hint="eastAsia" w:ascii="宋体" w:hAnsi="宋体" w:eastAsia="宋体"/>
          <w:b w:val="0"/>
          <w:bCs/>
          <w:sz w:val="24"/>
          <w:szCs w:val="24"/>
          <w:u w:val="none"/>
        </w:rPr>
      </w:pPr>
    </w:p>
    <w:p>
      <w:pPr>
        <w:widowControl/>
        <w:ind w:firstLine="1920" w:firstLineChars="800"/>
        <w:jc w:val="left"/>
      </w:pPr>
      <w:r>
        <w:rPr>
          <w:rFonts w:hint="eastAsia" w:ascii="宋体" w:hAnsi="宋体" w:eastAsia="宋体"/>
          <w:b w:val="0"/>
          <w:bCs/>
          <w:sz w:val="24"/>
          <w:szCs w:val="24"/>
          <w:u w:val="none"/>
        </w:rPr>
        <w:t>攀枝花市西区区级</w:t>
      </w:r>
      <w:r>
        <w:rPr>
          <w:rFonts w:hint="eastAsia" w:ascii="宋体" w:hAnsi="宋体" w:eastAsia="宋体"/>
          <w:b w:val="0"/>
          <w:bCs/>
          <w:sz w:val="24"/>
          <w:szCs w:val="24"/>
          <w:u w:val="none"/>
          <w:lang w:eastAsia="zh-CN"/>
        </w:rPr>
        <w:t>接访费用</w:t>
      </w:r>
      <w:r>
        <w:rPr>
          <w:rFonts w:ascii="宋体" w:hAnsi="宋体" w:eastAsia="宋体"/>
          <w:b w:val="0"/>
          <w:bCs/>
          <w:sz w:val="24"/>
          <w:szCs w:val="24"/>
          <w:u w:val="none"/>
        </w:rPr>
        <w:t>绩效</w:t>
      </w:r>
      <w:r>
        <w:rPr>
          <w:rFonts w:hint="eastAsia" w:ascii="宋体" w:hAnsi="宋体" w:eastAsia="宋体"/>
          <w:b w:val="0"/>
          <w:bCs/>
          <w:sz w:val="24"/>
          <w:szCs w:val="24"/>
          <w:u w:val="none"/>
        </w:rPr>
        <w:t>目标</w:t>
      </w:r>
      <w:r>
        <w:rPr>
          <w:rFonts w:ascii="宋体" w:hAnsi="宋体" w:eastAsia="宋体"/>
          <w:b w:val="0"/>
          <w:bCs/>
          <w:sz w:val="24"/>
          <w:szCs w:val="24"/>
          <w:u w:val="none"/>
        </w:rPr>
        <w:t>表</w:t>
      </w:r>
    </w:p>
    <w:tbl>
      <w:tblPr>
        <w:tblStyle w:val="15"/>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保障全年接待上访群众的经费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完成本年度内来信、来访、来电、网上信访等工作</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年度内未发生重大群体性事项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2万元以内。该项目申请资金总预算2万元，经评审，建议预算申报数2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hint="eastAsia" w:ascii="方正仿宋简体" w:hAnsi="Times New Roman" w:eastAsia="方正仿宋简体" w:cs="方正仿宋简体"/>
          <w:kern w:val="2"/>
          <w:sz w:val="32"/>
          <w:szCs w:val="32"/>
          <w:u w:val="none"/>
          <w:lang w:val="zh-CN" w:eastAsia="zh-CN" w:bidi="ar-SA"/>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p>
    <w:p/>
    <w:p>
      <w:pPr>
        <w:pStyle w:val="34"/>
        <w:spacing w:line="600" w:lineRule="exact"/>
        <w:ind w:firstLine="1446" w:firstLineChars="400"/>
        <w:jc w:val="both"/>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矛盾化解和疑难信访问题费用</w:t>
      </w:r>
    </w:p>
    <w:p>
      <w:pPr>
        <w:pStyle w:val="34"/>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1.保障本年度内两名保安人员的经费，确保信访安保</w:t>
      </w:r>
    </w:p>
    <w:p>
      <w:pPr>
        <w:adjustRightInd w:val="0"/>
        <w:snapToGrid w:val="0"/>
        <w:spacing w:line="600" w:lineRule="exact"/>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工作质量，完成本年度内信访安保工作。</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2.按照国家信访局相关部署，全国信访系统将继续开展重点领域、重点群体、重点问题、重点人员信访矛盾化解攻坚战，并将此项工作作为 2019 年重点工作予以部署推动。省信访局结合全省工作实际，制定了《2019 年信访矛盾化解攻坚战实施方案》，并明确了此项工作长期实施。</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3.根据20</w:t>
      </w:r>
      <w:r>
        <w:rPr>
          <w:rFonts w:hint="eastAsia" w:ascii="方正仿宋简体" w:eastAsia="方正仿宋简体" w:cs="方正仿宋简体"/>
          <w:kern w:val="2"/>
          <w:sz w:val="33"/>
          <w:szCs w:val="33"/>
          <w:u w:val="none"/>
          <w:lang w:val="en-US" w:eastAsia="zh-CN" w:bidi="ar-SA"/>
        </w:rPr>
        <w:t>23</w:t>
      </w:r>
      <w:r>
        <w:rPr>
          <w:rFonts w:hint="eastAsia" w:ascii="方正仿宋简体" w:hAnsi="Times New Roman" w:eastAsia="方正仿宋简体" w:cs="方正仿宋简体"/>
          <w:kern w:val="2"/>
          <w:sz w:val="33"/>
          <w:szCs w:val="33"/>
          <w:u w:val="none"/>
          <w:lang w:val="en-US" w:eastAsia="zh-CN" w:bidi="ar-SA"/>
        </w:rPr>
        <w:t>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zh-CN" w:eastAsia="zh-CN" w:bidi="ar-SA"/>
        </w:rPr>
        <w:t xml:space="preserve">4. </w:t>
      </w:r>
      <w:r>
        <w:rPr>
          <w:rFonts w:hint="eastAsia" w:ascii="方正仿宋简体" w:hAnsi="Times New Roman" w:eastAsia="方正仿宋简体" w:cs="方正仿宋简体"/>
          <w:kern w:val="2"/>
          <w:sz w:val="33"/>
          <w:szCs w:val="33"/>
          <w:u w:val="none"/>
          <w:lang w:val="en-US" w:eastAsia="zh-CN" w:bidi="ar-SA"/>
        </w:rPr>
        <w:t>2022年预算安排8万元，实际执行8万元；2023年预算安排8万元，实际执行8万元，较上年无变化。</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1. 项目主要内容。</w:t>
      </w:r>
      <w:r>
        <w:rPr>
          <w:rFonts w:hint="eastAsia" w:ascii="方正仿宋简体" w:hAnsi="Times New Roman" w:eastAsia="方正仿宋简体" w:cs="方正仿宋简体"/>
          <w:kern w:val="2"/>
          <w:sz w:val="33"/>
          <w:szCs w:val="33"/>
          <w:u w:val="none"/>
          <w:lang w:val="en-US" w:eastAsia="zh-CN" w:bidi="ar-SA"/>
        </w:rPr>
        <w:t>为为深入贯彻落实攀枝花市信访局关于转发《省信访局 2019 年信访矛盾化解攻坚战实施方案》的通知（攀信发〔2019〕10 号）。解决全年特殊疑难信访问题，保障本年度确保无因特殊疑难信访问题引发的进京赴省缠访、闹访。</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2. </w:t>
      </w:r>
      <w:r>
        <w:rPr>
          <w:rFonts w:hint="eastAsia" w:ascii="方正仿宋简体" w:hAnsi="Times New Roman" w:eastAsia="方正仿宋简体" w:cs="方正仿宋简体"/>
          <w:kern w:val="2"/>
          <w:sz w:val="33"/>
          <w:szCs w:val="33"/>
          <w:u w:val="none"/>
          <w:lang w:val="en-US" w:eastAsia="zh-CN" w:bidi="ar-SA"/>
        </w:rPr>
        <w:t>有效地保障全年无因特殊疑难信访问题引发费缠访、闹访，提高群众满意度。</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3. </w:t>
      </w:r>
      <w:r>
        <w:rPr>
          <w:rFonts w:hint="eastAsia" w:ascii="方正仿宋简体" w:hAnsi="Times New Roman" w:eastAsia="方正仿宋简体" w:cs="方正仿宋简体"/>
          <w:kern w:val="2"/>
          <w:sz w:val="33"/>
          <w:szCs w:val="33"/>
          <w:u w:val="none"/>
          <w:lang w:val="en-US" w:eastAsia="zh-CN" w:bidi="ar-SA"/>
        </w:rPr>
        <w:t>按照攀枝花市信访联席会议办公室《关于进一步做好涉稳涉访重点问题和重点人员信访稳定工作的通知》（攀信联办〔2022〕34号），攀枝花市信访联席会议办公室关于转发《四川省信访联席会议办公室关于进一步做好信访安全稳定风险事项化解稳定工作的通知》文件要求，2022年9月15日，市政府副市长、市公安局局长周强组织召开了信访安全保障工作专题会议，要求做好信访安全保障工作，营造安全稳定和谐社会环境。</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万元，区财政已及时拨付到位，全年完成数</w:t>
      </w:r>
      <w:r>
        <w:rPr>
          <w:rFonts w:hint="eastAsia" w:ascii="方正仿宋简体" w:eastAsia="方正仿宋简体" w:cs="方正仿宋简体"/>
          <w:sz w:val="33"/>
          <w:szCs w:val="33"/>
          <w:u w:val="none"/>
          <w:lang w:val="en-US" w:eastAsia="zh-CN"/>
        </w:rPr>
        <w:t>2</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sz w:val="33"/>
          <w:szCs w:val="33"/>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widowControl/>
        <w:ind w:firstLine="562" w:firstLineChars="200"/>
        <w:jc w:val="left"/>
        <w:rPr>
          <w:rFonts w:ascii="仿宋_GB2312" w:hAnsi="宋体"/>
          <w:sz w:val="28"/>
          <w:szCs w:val="28"/>
          <w:u w:val="none"/>
        </w:rPr>
      </w:pPr>
      <w:r>
        <w:rPr>
          <w:rFonts w:hint="eastAsia" w:ascii="宋体" w:hAnsi="宋体" w:eastAsia="宋体"/>
          <w:b/>
          <w:sz w:val="28"/>
          <w:szCs w:val="28"/>
          <w:u w:val="none"/>
        </w:rPr>
        <w:t>攀枝花市西区区级</w:t>
      </w:r>
      <w:r>
        <w:rPr>
          <w:rFonts w:hint="eastAsia" w:ascii="宋体" w:hAnsi="宋体" w:eastAsia="宋体" w:cs="Times New Roman"/>
          <w:b/>
          <w:sz w:val="28"/>
          <w:szCs w:val="28"/>
          <w:u w:val="none"/>
          <w:lang w:eastAsia="zh-CN"/>
        </w:rPr>
        <w:t>矛盾化解和疑难信访问题费用</w:t>
      </w:r>
      <w:r>
        <w:rPr>
          <w:rFonts w:ascii="宋体" w:hAnsi="宋体" w:eastAsia="宋体"/>
          <w:b/>
          <w:sz w:val="28"/>
          <w:szCs w:val="28"/>
          <w:u w:val="none"/>
        </w:rPr>
        <w:t>绩效</w:t>
      </w:r>
      <w:r>
        <w:rPr>
          <w:rFonts w:hint="eastAsia" w:ascii="宋体" w:hAnsi="宋体" w:eastAsia="宋体"/>
          <w:b/>
          <w:sz w:val="28"/>
          <w:szCs w:val="28"/>
          <w:u w:val="none"/>
        </w:rPr>
        <w:t>目标</w:t>
      </w:r>
      <w:r>
        <w:rPr>
          <w:rFonts w:ascii="宋体" w:hAnsi="宋体" w:eastAsia="宋体"/>
          <w:b/>
          <w:sz w:val="28"/>
          <w:szCs w:val="28"/>
          <w:u w:val="none"/>
        </w:rPr>
        <w:t>表</w:t>
      </w:r>
    </w:p>
    <w:tbl>
      <w:tblPr>
        <w:tblStyle w:val="15"/>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保障全年无因特殊疑难信访问题引发费缠访、闹访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确保无因特殊疑难信访问题引发的进京赴省缠访、闹访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减少特殊疑难信访问题，提高群众满意度</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万元以内。该项目申请资金总预算</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万元，经评审，建议预算申报数</w:t>
      </w:r>
      <w:r>
        <w:rPr>
          <w:rFonts w:hint="eastAsia" w:ascii="方正仿宋简体" w:eastAsia="方正仿宋简体" w:cs="方正仿宋简体"/>
          <w:kern w:val="2"/>
          <w:sz w:val="33"/>
          <w:szCs w:val="33"/>
          <w:u w:val="none"/>
          <w:lang w:val="en-US" w:eastAsia="zh-CN" w:bidi="ar-SA"/>
        </w:rPr>
        <w:t>8</w:t>
      </w:r>
      <w:r>
        <w:rPr>
          <w:rFonts w:hint="eastAsia" w:ascii="方正仿宋简体" w:hAnsi="Times New Roman" w:eastAsia="方正仿宋简体" w:cs="方正仿宋简体"/>
          <w:kern w:val="2"/>
          <w:sz w:val="33"/>
          <w:szCs w:val="33"/>
          <w:u w:val="none"/>
          <w:lang w:val="en-US" w:eastAsia="zh-CN" w:bidi="ar-SA"/>
        </w:rPr>
        <w:t>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hint="eastAsia" w:ascii="方正仿宋简体" w:hAnsi="Times New Roman" w:eastAsia="方正仿宋简体" w:cs="方正仿宋简体"/>
          <w:kern w:val="2"/>
          <w:sz w:val="32"/>
          <w:szCs w:val="32"/>
          <w:u w:val="none"/>
          <w:lang w:val="zh-CN" w:eastAsia="zh-CN" w:bidi="ar-SA"/>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p>
    <w:p>
      <w:pPr>
        <w:pStyle w:val="34"/>
        <w:spacing w:line="600" w:lineRule="exact"/>
        <w:jc w:val="both"/>
        <w:rPr>
          <w:rFonts w:hint="eastAsia" w:ascii="Times New Roman" w:hAnsi="Times New Roman" w:eastAsia="仿宋_GB2312"/>
          <w:b/>
          <w:bCs/>
          <w:color w:val="auto"/>
          <w:kern w:val="2"/>
          <w:sz w:val="36"/>
          <w:szCs w:val="36"/>
          <w:lang w:val="en-US" w:eastAsia="zh-CN"/>
        </w:rPr>
      </w:pPr>
    </w:p>
    <w:p>
      <w:pPr>
        <w:pStyle w:val="34"/>
        <w:spacing w:line="600" w:lineRule="exact"/>
        <w:ind w:firstLine="2168" w:firstLineChars="600"/>
        <w:jc w:val="both"/>
        <w:rPr>
          <w:rFonts w:hint="eastAsia" w:ascii="Times New Roman" w:hAnsi="Times New Roman" w:eastAsia="仿宋_GB2312"/>
          <w:b/>
          <w:bCs/>
          <w:color w:val="auto"/>
          <w:kern w:val="2"/>
          <w:sz w:val="36"/>
          <w:szCs w:val="36"/>
          <w:lang w:val="en-US" w:eastAsia="zh-CN"/>
        </w:rPr>
      </w:pPr>
      <w:r>
        <w:rPr>
          <w:rFonts w:hint="eastAsia" w:ascii="Times New Roman" w:hAnsi="Times New Roman" w:eastAsia="仿宋_GB2312"/>
          <w:b/>
          <w:bCs/>
          <w:color w:val="auto"/>
          <w:kern w:val="2"/>
          <w:sz w:val="36"/>
          <w:szCs w:val="36"/>
          <w:lang w:val="en-US" w:eastAsia="zh-CN"/>
        </w:rPr>
        <w:t>驻京驻蓉信访维稳经费</w:t>
      </w:r>
    </w:p>
    <w:p>
      <w:pPr>
        <w:pStyle w:val="34"/>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（一）项目基本情况。</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1.保障做好本年度内进京赴蓉劝返工作，确保年度内无因进京赴蓉发生滋事倒流事项，保障全区和谐稳定。</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2.按照《关于加强驻京驻蓉信访工作的通知》（攀信联办发〔2016〕80号）文件要求，2016年8月31日，市委副秘书长徐明义组织召开了驻京驻蓉信访工作站（组）派驻人员工作会，对我市各县（区）驻京驻蓉信访工作进行安排部署。</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3.根据2024年预算编制要求，绩效评估本着真正过紧日子的原则，厉行节约、精打细算，从严从紧控制项目申报和预算安排，非必要项目和工作内容可压尽压、应压尽压，做到客观、绩效、精准。</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4. </w:t>
      </w:r>
      <w:r>
        <w:rPr>
          <w:rFonts w:hint="eastAsia" w:ascii="方正仿宋简体" w:hAnsi="Times New Roman" w:eastAsia="方正仿宋简体" w:cs="方正仿宋简体"/>
          <w:kern w:val="2"/>
          <w:sz w:val="33"/>
          <w:szCs w:val="33"/>
          <w:u w:val="none"/>
          <w:lang w:val="en-US" w:eastAsia="zh-CN" w:bidi="ar-SA"/>
        </w:rPr>
        <w:t>2022年预算安排5万元，实际执行5万元；2023年预算安排5万元，追加10万，实际执行15万元，较上年增长66%，增加的主要原因为：信访稳定工作形势严峻，不稳定群体和重点信访人员表现较为活跃，特殊敏感时期或重大活动期间，择机进京、以访施压的现象愈发突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（二）项目绩效目标。</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1. 项目主要内容。</w:t>
      </w:r>
      <w:r>
        <w:rPr>
          <w:rFonts w:hint="eastAsia" w:ascii="方正仿宋简体" w:hAnsi="Times New Roman" w:eastAsia="方正仿宋简体" w:cs="方正仿宋简体"/>
          <w:kern w:val="2"/>
          <w:sz w:val="33"/>
          <w:szCs w:val="33"/>
          <w:u w:val="none"/>
          <w:lang w:val="en-US" w:eastAsia="zh-CN" w:bidi="ar-SA"/>
        </w:rPr>
        <w:t>为贯彻落实《关于加强驻京驻蓉信访工作的通知》（攀信联办发〔2016〕80号）文件要求：选派政治素质高、业务能力强、工作作风实的在职在岗干部驻京开展信访工作，严格按照驻京办要求完成驻京信访值班工作。</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2. </w:t>
      </w:r>
      <w:r>
        <w:rPr>
          <w:rFonts w:hint="eastAsia" w:ascii="方正仿宋简体" w:hAnsi="Times New Roman" w:eastAsia="方正仿宋简体" w:cs="方正仿宋简体"/>
          <w:kern w:val="2"/>
          <w:sz w:val="33"/>
          <w:szCs w:val="33"/>
          <w:u w:val="none"/>
          <w:lang w:val="en-US" w:eastAsia="zh-CN" w:bidi="ar-SA"/>
        </w:rPr>
        <w:t>有效地保障本年度内上访人员进京赴蓉滋事倒流，无因进京赴蓉发生滋事倒流事项，提高群众满意度。</w:t>
      </w:r>
    </w:p>
    <w:p>
      <w:pPr>
        <w:adjustRightInd w:val="0"/>
        <w:snapToGrid w:val="0"/>
        <w:spacing w:line="600" w:lineRule="exact"/>
        <w:ind w:firstLine="660" w:firstLineChars="200"/>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zh-CN" w:eastAsia="zh-CN" w:bidi="ar-SA"/>
        </w:rPr>
        <w:t xml:space="preserve">3. </w:t>
      </w:r>
      <w:r>
        <w:rPr>
          <w:rFonts w:hint="eastAsia" w:ascii="方正仿宋简体" w:hAnsi="Times New Roman" w:eastAsia="方正仿宋简体" w:cs="方正仿宋简体"/>
          <w:kern w:val="2"/>
          <w:sz w:val="33"/>
          <w:szCs w:val="33"/>
          <w:u w:val="none"/>
          <w:lang w:val="en-US" w:eastAsia="zh-CN" w:bidi="ar-SA"/>
        </w:rPr>
        <w:t>根据《关于加强驻京驻蓉信访工作的通知》（攀信联办发〔2016〕80号）文件，文件明确了一是驻京信访工作。按照《关于加强驻京驻蓉信访工作的通知》（攀信联办发〔2016〕80号）文件要求，由市信访局和各县（区）轮流派人到京值班，协调处置驻京信访劝返处置工作。二是驻蓉信访工作。由攀枝花市驻成都办事处牵头，各县（区）选派人员，协调处置驻蓉信访劝返处置工作，人员选派可采用以下两种方式：安排相对固定人员长期驻守和轮流安排各县（区）抽调人员驻守相结合的方式。一是五个县（区）均安排1-2人长期在蓉驻守处理进京赴蓉上访人员工作；二是各县（区）轮流抽调1-2人协助驻蓉信访工作站开展群众信访劝返分流处置工作，每期两个县区、两个月两个人轮换。</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二、评价实施</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（一）评价目的。</w:t>
      </w:r>
      <w:r>
        <w:rPr>
          <w:rFonts w:hint="eastAsia" w:ascii="方正仿宋简体" w:eastAsia="方正仿宋简体" w:cs="方正仿宋简体"/>
          <w:sz w:val="33"/>
          <w:szCs w:val="33"/>
          <w:u w:val="none"/>
          <w:lang w:val="zh-CN" w:eastAsia="zh-CN"/>
        </w:rPr>
        <w:t>20</w:t>
      </w:r>
      <w:r>
        <w:rPr>
          <w:rFonts w:hint="eastAsia" w:ascii="方正仿宋简体" w:eastAsia="方正仿宋简体" w:cs="方正仿宋简体"/>
          <w:sz w:val="33"/>
          <w:szCs w:val="33"/>
          <w:u w:val="none"/>
          <w:lang w:val="en-US" w:eastAsia="zh-CN"/>
        </w:rPr>
        <w:t>23</w:t>
      </w:r>
      <w:r>
        <w:rPr>
          <w:rFonts w:hint="eastAsia" w:ascii="方正仿宋简体" w:eastAsia="方正仿宋简体" w:cs="方正仿宋简体"/>
          <w:sz w:val="33"/>
          <w:szCs w:val="33"/>
          <w:u w:val="none"/>
          <w:lang w:val="zh-CN" w:eastAsia="zh-CN"/>
        </w:rPr>
        <w:t>年度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adjustRightInd w:val="0"/>
        <w:snapToGrid w:val="0"/>
        <w:spacing w:line="600" w:lineRule="exact"/>
        <w:ind w:firstLine="643" w:firstLineChars="200"/>
        <w:rPr>
          <w:rFonts w:hint="eastAsia" w:ascii="方正仿宋简体" w:eastAsia="方正仿宋简体" w:cs="方正仿宋简体"/>
          <w:sz w:val="33"/>
          <w:szCs w:val="33"/>
          <w:u w:val="none"/>
          <w:lang w:val="zh-CN" w:eastAsia="zh-CN"/>
        </w:rPr>
      </w:pPr>
      <w:r>
        <w:rPr>
          <w:rFonts w:hint="eastAsia" w:ascii="楷体_GB2312" w:eastAsia="楷体_GB2312"/>
          <w:b/>
          <w:sz w:val="32"/>
          <w:szCs w:val="32"/>
          <w:lang w:val="zh-CN"/>
        </w:rPr>
        <w:t>（二）预设问题及评价重点。</w:t>
      </w:r>
      <w:r>
        <w:rPr>
          <w:rFonts w:hint="eastAsia" w:ascii="方正仿宋简体" w:eastAsia="方正仿宋简体" w:cs="方正仿宋简体"/>
          <w:sz w:val="33"/>
          <w:szCs w:val="33"/>
          <w:u w:val="none"/>
          <w:lang w:val="zh-CN" w:eastAsia="zh-CN"/>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2"/>
          <w:szCs w:val="32"/>
          <w:lang w:val="zh-CN"/>
        </w:rPr>
        <w:t>（三）</w:t>
      </w:r>
      <w:r>
        <w:rPr>
          <w:rFonts w:ascii="楷体_GB2312" w:hAnsi="Times New Roman" w:eastAsia="楷体_GB2312"/>
          <w:b/>
          <w:sz w:val="33"/>
          <w:szCs w:val="33"/>
          <w:u w:val="none"/>
        </w:rPr>
        <w:t>评估程序</w:t>
      </w:r>
      <w:r>
        <w:rPr>
          <w:rFonts w:hint="eastAsia" w:ascii="方正仿宋简体" w:hAnsi="Times New Roman" w:eastAsia="方正仿宋简体" w:cs="方正仿宋简体"/>
          <w:kern w:val="2"/>
          <w:sz w:val="33"/>
          <w:szCs w:val="33"/>
          <w:u w:val="none"/>
          <w:lang w:val="zh-CN" w:eastAsia="zh-CN" w:bidi="ar-SA"/>
        </w:rPr>
        <w:t>20</w:t>
      </w:r>
      <w:r>
        <w:rPr>
          <w:rFonts w:hint="eastAsia" w:ascii="方正仿宋简体" w:hAnsi="Times New Roman" w:eastAsia="方正仿宋简体" w:cs="方正仿宋简体"/>
          <w:kern w:val="2"/>
          <w:sz w:val="33"/>
          <w:szCs w:val="33"/>
          <w:u w:val="none"/>
          <w:lang w:val="en-US" w:eastAsia="zh-CN" w:bidi="ar-SA"/>
        </w:rPr>
        <w:t>2</w:t>
      </w:r>
      <w:r>
        <w:rPr>
          <w:rFonts w:hint="eastAsia" w:ascii="方正仿宋简体" w:eastAsia="方正仿宋简体" w:cs="方正仿宋简体"/>
          <w:kern w:val="2"/>
          <w:sz w:val="33"/>
          <w:szCs w:val="33"/>
          <w:u w:val="none"/>
          <w:lang w:val="en-US" w:eastAsia="zh-CN" w:bidi="ar-SA"/>
        </w:rPr>
        <w:t>3</w:t>
      </w:r>
      <w:r>
        <w:rPr>
          <w:rFonts w:hint="eastAsia" w:ascii="方正仿宋简体" w:hAnsi="Times New Roman" w:eastAsia="方正仿宋简体" w:cs="方正仿宋简体"/>
          <w:kern w:val="2"/>
          <w:sz w:val="33"/>
          <w:szCs w:val="33"/>
          <w:u w:val="none"/>
          <w:lang w:val="zh-CN" w:eastAsia="zh-CN" w:bidi="ar-SA"/>
        </w:rPr>
        <w:t>年度预算项目绩效评估工作通过线上与线下相结合方式开展。按照有关规定和工作安排，我单位开展自行评估，通过自行成立组建评估组，通过收集被评估项目相关基础资料，并查阅资料、收集数据信息等，深入论证分析后，形成绩效评估报告。</w:t>
      </w:r>
    </w:p>
    <w:p>
      <w:pPr>
        <w:snapToGrid w:val="0"/>
        <w:spacing w:line="600" w:lineRule="exact"/>
        <w:ind w:firstLine="66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sz w:val="33"/>
          <w:szCs w:val="33"/>
          <w:u w:val="none"/>
          <w:lang w:eastAsia="zh-CN"/>
        </w:rPr>
        <w:t>（</w:t>
      </w:r>
      <w:r>
        <w:rPr>
          <w:rFonts w:hint="eastAsia" w:ascii="楷体_GB2312" w:eastAsia="楷体_GB2312"/>
          <w:b/>
          <w:sz w:val="33"/>
          <w:szCs w:val="33"/>
          <w:u w:val="none"/>
          <w:lang w:val="en-US" w:eastAsia="zh-CN"/>
        </w:rPr>
        <w:t>四</w:t>
      </w:r>
      <w:r>
        <w:rPr>
          <w:rFonts w:hint="eastAsia" w:ascii="楷体_GB2312" w:eastAsia="楷体_GB2312"/>
          <w:b/>
          <w:sz w:val="33"/>
          <w:szCs w:val="33"/>
          <w:u w:val="none"/>
          <w:lang w:eastAsia="zh-CN"/>
        </w:rPr>
        <w:t>）</w:t>
      </w:r>
      <w:r>
        <w:rPr>
          <w:rFonts w:hint="eastAsia" w:ascii="楷体_GB2312" w:hAnsi="Times New Roman" w:eastAsia="楷体_GB2312"/>
          <w:b/>
          <w:sz w:val="33"/>
          <w:szCs w:val="33"/>
          <w:u w:val="none"/>
        </w:rPr>
        <w:t>评估方法</w:t>
      </w:r>
      <w:r>
        <w:rPr>
          <w:rFonts w:hint="eastAsia" w:ascii="方正仿宋简体" w:hAnsi="Times New Roman" w:eastAsia="方正仿宋简体" w:cs="方正仿宋简体"/>
          <w:kern w:val="2"/>
          <w:sz w:val="33"/>
          <w:szCs w:val="33"/>
          <w:u w:val="none"/>
          <w:lang w:val="zh-CN" w:eastAsia="zh-CN" w:bidi="ar-SA"/>
        </w:rPr>
        <w:t>本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napToGrid w:val="0"/>
        <w:spacing w:line="600" w:lineRule="exact"/>
        <w:ind w:firstLine="643" w:firstLineChars="200"/>
        <w:jc w:val="left"/>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b/>
          <w:color w:val="auto"/>
          <w:sz w:val="32"/>
          <w:szCs w:val="32"/>
          <w:lang w:val="zh-CN"/>
        </w:rPr>
        <w:t>（</w:t>
      </w:r>
      <w:r>
        <w:rPr>
          <w:rFonts w:hint="eastAsia" w:ascii="楷体_GB2312" w:eastAsia="楷体_GB2312"/>
          <w:b/>
          <w:color w:val="auto"/>
          <w:sz w:val="32"/>
          <w:szCs w:val="32"/>
          <w:lang w:val="en-US" w:eastAsia="zh-CN"/>
        </w:rPr>
        <w:t>五</w:t>
      </w:r>
      <w:r>
        <w:rPr>
          <w:rFonts w:hint="eastAsia" w:ascii="楷体_GB2312" w:eastAsia="楷体_GB2312"/>
          <w:b/>
          <w:color w:val="auto"/>
          <w:sz w:val="32"/>
          <w:szCs w:val="32"/>
          <w:lang w:val="zh-CN"/>
        </w:rPr>
        <w:t>）评价组织。</w:t>
      </w:r>
      <w:r>
        <w:rPr>
          <w:rFonts w:hint="eastAsia" w:ascii="楷体_GB2312" w:eastAsia="楷体_GB2312"/>
          <w:b/>
          <w:color w:val="auto"/>
          <w:sz w:val="32"/>
          <w:szCs w:val="32"/>
          <w:lang w:val="en-US" w:eastAsia="zh-CN"/>
        </w:rPr>
        <w:t>成立绩效评价小组，</w:t>
      </w:r>
      <w:r>
        <w:rPr>
          <w:rFonts w:hint="eastAsia" w:ascii="方正仿宋简体" w:hAnsi="Times New Roman" w:eastAsia="方正仿宋简体" w:cs="方正仿宋简体"/>
          <w:kern w:val="2"/>
          <w:sz w:val="33"/>
          <w:szCs w:val="33"/>
          <w:u w:val="none"/>
          <w:lang w:val="en-US" w:eastAsia="zh-CN" w:bidi="ar-SA"/>
        </w:rPr>
        <w:t>局长担任组长</w:t>
      </w:r>
      <w:r>
        <w:rPr>
          <w:rFonts w:hint="eastAsia" w:ascii="方正仿宋简体" w:hAnsi="Times New Roman" w:eastAsia="方正仿宋简体" w:cs="方正仿宋简体"/>
          <w:kern w:val="2"/>
          <w:sz w:val="33"/>
          <w:szCs w:val="33"/>
          <w:u w:val="none"/>
          <w:lang w:val="zh-CN" w:eastAsia="zh-CN" w:bidi="ar-SA"/>
        </w:rPr>
        <w:t>负责统一部署和管理绩效考核工作，对各部门负责人进行绩效考核评价，对各部门的考核结果进行审核，</w:t>
      </w:r>
      <w:r>
        <w:rPr>
          <w:rFonts w:hint="eastAsia" w:ascii="方正仿宋简体" w:eastAsia="方正仿宋简体" w:cs="方正仿宋简体"/>
          <w:kern w:val="2"/>
          <w:sz w:val="33"/>
          <w:szCs w:val="33"/>
          <w:u w:val="none"/>
          <w:lang w:val="en-US" w:eastAsia="zh-CN" w:bidi="ar-SA"/>
        </w:rPr>
        <w:t>及工作</w:t>
      </w:r>
      <w:r>
        <w:rPr>
          <w:rFonts w:hint="eastAsia" w:ascii="方正仿宋简体" w:hAnsi="Times New Roman" w:eastAsia="方正仿宋简体" w:cs="方正仿宋简体"/>
          <w:kern w:val="2"/>
          <w:sz w:val="33"/>
          <w:szCs w:val="33"/>
          <w:u w:val="none"/>
          <w:lang w:val="zh-CN" w:eastAsia="zh-CN" w:bidi="ar-SA"/>
        </w:rPr>
        <w:t>指导，促进整体绩效目标的达成和提高。</w:t>
      </w:r>
      <w:r>
        <w:rPr>
          <w:rFonts w:hint="eastAsia" w:ascii="方正仿宋简体" w:hAnsi="Times New Roman" w:eastAsia="方正仿宋简体" w:cs="方正仿宋简体"/>
          <w:kern w:val="2"/>
          <w:sz w:val="33"/>
          <w:szCs w:val="33"/>
          <w:u w:val="none"/>
          <w:lang w:val="en-US" w:eastAsia="zh-CN" w:bidi="ar-SA"/>
        </w:rPr>
        <w:t>副局长及中心主任担任副组长</w:t>
      </w:r>
      <w:r>
        <w:rPr>
          <w:rFonts w:hint="eastAsia" w:ascii="方正仿宋简体" w:eastAsia="方正仿宋简体" w:cs="方正仿宋简体"/>
          <w:kern w:val="2"/>
          <w:sz w:val="33"/>
          <w:szCs w:val="33"/>
          <w:u w:val="none"/>
          <w:lang w:val="en-US" w:eastAsia="zh-CN" w:bidi="ar-SA"/>
        </w:rPr>
        <w:t>，</w:t>
      </w:r>
      <w:r>
        <w:rPr>
          <w:rFonts w:hint="eastAsia" w:ascii="方正仿宋简体" w:hAnsi="Times New Roman" w:eastAsia="方正仿宋简体" w:cs="方正仿宋简体"/>
          <w:kern w:val="2"/>
          <w:sz w:val="33"/>
          <w:szCs w:val="33"/>
          <w:u w:val="none"/>
          <w:lang w:val="zh-CN" w:eastAsia="zh-CN" w:bidi="ar-SA"/>
        </w:rPr>
        <w:t>负责依据考评原则和考评程序，对所属部门员工进行绩效考核评价。及时与员工进行考评沟通，提供必要的反馈和指导。</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hint="eastAsia" w:ascii="方正仿宋简体" w:hAnsi="Times New Roman" w:eastAsia="方正仿宋简体" w:cs="方正仿宋简体"/>
          <w:sz w:val="33"/>
          <w:szCs w:val="33"/>
          <w:u w:val="none"/>
          <w:lang w:val="zh-CN" w:eastAsia="zh-CN"/>
        </w:rPr>
      </w:pPr>
      <w:r>
        <w:rPr>
          <w:rFonts w:hint="eastAsia" w:eastAsia="仿宋_GB2312"/>
          <w:sz w:val="32"/>
          <w:szCs w:val="32"/>
          <w:lang w:val="zh-CN"/>
        </w:rPr>
        <w:t>根</w:t>
      </w:r>
      <w:r>
        <w:rPr>
          <w:rFonts w:hint="eastAsia" w:ascii="方正仿宋简体" w:hAnsi="Times New Roman" w:eastAsia="方正仿宋简体" w:cs="方正仿宋简体"/>
          <w:sz w:val="33"/>
          <w:szCs w:val="33"/>
          <w:u w:val="none"/>
          <w:lang w:val="zh-CN" w:eastAsia="zh-CN"/>
        </w:rPr>
        <w:t>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560" w:lineRule="exact"/>
        <w:ind w:firstLine="640" w:firstLineChars="200"/>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1.项目决策。</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楷体_GB2312" w:eastAsia="楷体_GB2312"/>
          <w:sz w:val="32"/>
          <w:szCs w:val="32"/>
          <w:lang w:val="zh-CN"/>
        </w:rPr>
        <w:t>2.项目管理。</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ind w:firstLine="640" w:firstLineChars="200"/>
        <w:rPr>
          <w:rFonts w:hint="eastAsia" w:ascii="方正仿宋简体" w:hAnsi="Times New Roman" w:eastAsia="方正仿宋简体" w:cs="方正仿宋简体"/>
          <w:kern w:val="2"/>
          <w:sz w:val="33"/>
          <w:szCs w:val="33"/>
          <w:u w:val="none"/>
          <w:lang w:val="en-US" w:eastAsia="zh-CN" w:bidi="ar-SA"/>
        </w:rPr>
      </w:pPr>
      <w:r>
        <w:rPr>
          <w:rFonts w:hint="eastAsia" w:ascii="楷体_GB2312" w:eastAsia="楷体_GB2312"/>
          <w:sz w:val="32"/>
          <w:szCs w:val="32"/>
          <w:lang w:val="zh-CN"/>
        </w:rPr>
        <w:t>3.项目实施。</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p>
    <w:p>
      <w:pPr>
        <w:adjustRightInd w:val="0"/>
        <w:snapToGrid w:val="0"/>
        <w:spacing w:line="600" w:lineRule="exact"/>
        <w:ind w:firstLine="720"/>
        <w:rPr>
          <w:rFonts w:eastAsia="仿宋_GB2312"/>
          <w:sz w:val="32"/>
          <w:szCs w:val="32"/>
          <w:lang w:val="zh-CN"/>
        </w:rPr>
      </w:pPr>
      <w:r>
        <w:rPr>
          <w:rFonts w:hint="eastAsia" w:ascii="楷体_GB2312" w:eastAsia="楷体_GB2312"/>
          <w:sz w:val="32"/>
          <w:szCs w:val="32"/>
          <w:lang w:val="zh-CN"/>
        </w:rPr>
        <w:t>4.项目结果。</w:t>
      </w:r>
      <w:r>
        <w:rPr>
          <w:rFonts w:hint="eastAsia"/>
          <w:lang w:val="en-US" w:eastAsia="zh-CN"/>
        </w:rPr>
        <w:t xml:space="preserve"> </w:t>
      </w:r>
      <w:r>
        <w:rPr>
          <w:rFonts w:hint="eastAsia" w:ascii="方正仿宋简体" w:hAnsi="Times New Roman" w:eastAsia="方正仿宋简体" w:cs="方正仿宋简体"/>
          <w:kern w:val="2"/>
          <w:sz w:val="33"/>
          <w:szCs w:val="33"/>
          <w:u w:val="none"/>
          <w:lang w:val="en-US" w:eastAsia="zh-CN" w:bidi="ar-SA"/>
        </w:rPr>
        <w:t>该项目资金</w:t>
      </w:r>
      <w:r>
        <w:rPr>
          <w:rFonts w:hint="eastAsia" w:ascii="方正仿宋简体" w:hAnsi="Times New Roman" w:eastAsia="方正仿宋简体" w:cs="方正仿宋简体"/>
          <w:sz w:val="33"/>
          <w:szCs w:val="33"/>
          <w:u w:val="none"/>
          <w:lang w:val="en-US" w:eastAsia="zh-CN"/>
        </w:rPr>
        <w:t>年初预算</w:t>
      </w:r>
      <w:r>
        <w:rPr>
          <w:rFonts w:hint="eastAsia" w:ascii="方正仿宋简体" w:eastAsia="方正仿宋简体" w:cs="方正仿宋简体"/>
          <w:sz w:val="33"/>
          <w:szCs w:val="33"/>
          <w:u w:val="none"/>
          <w:lang w:val="en-US" w:eastAsia="zh-CN"/>
        </w:rPr>
        <w:t>5</w:t>
      </w:r>
      <w:r>
        <w:rPr>
          <w:rFonts w:hint="eastAsia" w:ascii="方正仿宋简体" w:hAnsi="Times New Roman" w:eastAsia="方正仿宋简体" w:cs="方正仿宋简体"/>
          <w:sz w:val="33"/>
          <w:szCs w:val="33"/>
          <w:u w:val="none"/>
          <w:lang w:val="en-US" w:eastAsia="zh-CN"/>
        </w:rPr>
        <w:t>万元，区财政已及时拨付到位，</w:t>
      </w:r>
      <w:r>
        <w:rPr>
          <w:rFonts w:hint="eastAsia" w:ascii="方正仿宋简体" w:eastAsia="方正仿宋简体" w:cs="方正仿宋简体"/>
          <w:sz w:val="33"/>
          <w:szCs w:val="33"/>
          <w:u w:val="none"/>
          <w:lang w:val="en-US" w:eastAsia="zh-CN"/>
        </w:rPr>
        <w:t>追加10万，</w:t>
      </w:r>
      <w:r>
        <w:rPr>
          <w:rFonts w:hint="eastAsia" w:ascii="方正仿宋简体" w:hAnsi="Times New Roman" w:eastAsia="方正仿宋简体" w:cs="方正仿宋简体"/>
          <w:sz w:val="33"/>
          <w:szCs w:val="33"/>
          <w:u w:val="none"/>
          <w:lang w:val="en-US" w:eastAsia="zh-CN"/>
        </w:rPr>
        <w:t>全年完成数</w:t>
      </w:r>
      <w:r>
        <w:rPr>
          <w:rFonts w:hint="eastAsia" w:ascii="方正仿宋简体" w:eastAsia="方正仿宋简体" w:cs="方正仿宋简体"/>
          <w:sz w:val="33"/>
          <w:szCs w:val="33"/>
          <w:u w:val="none"/>
          <w:lang w:val="en-US" w:eastAsia="zh-CN"/>
        </w:rPr>
        <w:t>15</w:t>
      </w:r>
      <w:r>
        <w:rPr>
          <w:rFonts w:hint="eastAsia" w:ascii="方正仿宋简体" w:hAnsi="Times New Roman" w:eastAsia="方正仿宋简体" w:cs="方正仿宋简体"/>
          <w:sz w:val="33"/>
          <w:szCs w:val="33"/>
          <w:u w:val="none"/>
          <w:lang w:val="en-US" w:eastAsia="zh-CN"/>
        </w:rPr>
        <w:t>万元。该</w:t>
      </w:r>
      <w:r>
        <w:rPr>
          <w:rFonts w:hint="eastAsia" w:ascii="方正仿宋简体" w:hAnsi="Times New Roman" w:eastAsia="方正仿宋简体" w:cs="方正仿宋简体"/>
          <w:sz w:val="33"/>
          <w:szCs w:val="33"/>
          <w:u w:val="none"/>
          <w:lang w:val="zh-CN" w:eastAsia="zh-CN"/>
        </w:rPr>
        <w:t>项目</w:t>
      </w:r>
      <w:r>
        <w:rPr>
          <w:rFonts w:hint="eastAsia" w:ascii="方正仿宋简体" w:hAnsi="Times New Roman" w:eastAsia="方正仿宋简体" w:cs="方正仿宋简体"/>
          <w:kern w:val="2"/>
          <w:sz w:val="33"/>
          <w:szCs w:val="33"/>
          <w:u w:val="none"/>
          <w:lang w:val="zh-CN" w:eastAsia="zh-CN" w:bidi="ar-SA"/>
        </w:rPr>
        <w:t>实施财务管理制度健全，严格执行财务管理制度，账务处理及时，会计核算规范。</w:t>
      </w:r>
    </w:p>
    <w:p>
      <w:pPr>
        <w:ind w:firstLine="643" w:firstLineChars="200"/>
        <w:rPr>
          <w:sz w:val="33"/>
          <w:szCs w:val="33"/>
          <w:lang w:val="zh-CN"/>
        </w:rPr>
      </w:pPr>
      <w:r>
        <w:rPr>
          <w:rFonts w:hint="eastAsia" w:ascii="楷体_GB2312" w:hAnsi="Times New Roman" w:eastAsia="楷体_GB2312" w:cs="Times New Roman"/>
          <w:b/>
          <w:sz w:val="32"/>
          <w:szCs w:val="32"/>
          <w:lang w:val="zh-CN"/>
        </w:rPr>
        <w:t>（二）个性指标</w:t>
      </w:r>
      <w:r>
        <w:rPr>
          <w:rFonts w:hint="eastAsia" w:ascii="楷体_GB2312" w:eastAsia="楷体_GB2312"/>
          <w:b/>
          <w:sz w:val="32"/>
          <w:szCs w:val="32"/>
          <w:lang w:val="zh-CN"/>
        </w:rPr>
        <w:t>绩效分析。</w:t>
      </w:r>
    </w:p>
    <w:p>
      <w:pPr>
        <w:snapToGrid w:val="0"/>
        <w:spacing w:line="600" w:lineRule="atLeast"/>
        <w:jc w:val="center"/>
        <w:rPr>
          <w:rFonts w:ascii="宋体" w:hAnsi="宋体" w:eastAsia="宋体"/>
          <w:b/>
          <w:sz w:val="28"/>
          <w:szCs w:val="28"/>
          <w:u w:val="none"/>
        </w:rPr>
      </w:pPr>
      <w:r>
        <w:rPr>
          <w:rFonts w:hint="eastAsia" w:ascii="宋体" w:hAnsi="宋体" w:eastAsia="宋体"/>
          <w:b/>
          <w:sz w:val="28"/>
          <w:szCs w:val="28"/>
          <w:u w:val="none"/>
        </w:rPr>
        <w:t>攀枝花市西区区级驻京驻蓉信访维稳经费</w:t>
      </w:r>
      <w:r>
        <w:rPr>
          <w:rFonts w:ascii="宋体" w:hAnsi="宋体" w:eastAsia="宋体"/>
          <w:b/>
          <w:sz w:val="28"/>
          <w:szCs w:val="28"/>
          <w:u w:val="none"/>
        </w:rPr>
        <w:t>绩效</w:t>
      </w:r>
      <w:r>
        <w:rPr>
          <w:rFonts w:hint="eastAsia" w:ascii="宋体" w:hAnsi="宋体" w:eastAsia="宋体"/>
          <w:b/>
          <w:sz w:val="28"/>
          <w:szCs w:val="28"/>
          <w:u w:val="none"/>
        </w:rPr>
        <w:t>目标</w:t>
      </w:r>
      <w:r>
        <w:rPr>
          <w:rFonts w:ascii="宋体" w:hAnsi="宋体" w:eastAsia="宋体"/>
          <w:b/>
          <w:sz w:val="28"/>
          <w:szCs w:val="28"/>
          <w:u w:val="none"/>
        </w:rPr>
        <w:t>表</w:t>
      </w:r>
    </w:p>
    <w:p>
      <w:pPr>
        <w:pStyle w:val="2"/>
      </w:pPr>
    </w:p>
    <w:tbl>
      <w:tblPr>
        <w:tblStyle w:val="15"/>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本年度内进京赴蓉信访事项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确保年度内无滋事倒流情况</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保障全区和谐稳定</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660" w:firstLineChars="200"/>
        <w:rPr>
          <w:rFonts w:eastAsia="黑体"/>
          <w:sz w:val="33"/>
          <w:szCs w:val="33"/>
        </w:rPr>
      </w:pPr>
      <w:r>
        <w:rPr>
          <w:rFonts w:hint="eastAsia" w:eastAsia="黑体"/>
          <w:sz w:val="33"/>
          <w:szCs w:val="33"/>
          <w:lang w:val="en-US" w:eastAsia="zh-CN"/>
        </w:rPr>
        <w:t>四</w:t>
      </w:r>
      <w:r>
        <w:rPr>
          <w:rFonts w:eastAsia="黑体"/>
          <w:sz w:val="33"/>
          <w:szCs w:val="33"/>
        </w:rPr>
        <w:t>、项目实施及管理情况</w:t>
      </w:r>
    </w:p>
    <w:p>
      <w:pPr>
        <w:adjustRightInd w:val="0"/>
        <w:snapToGrid w:val="0"/>
        <w:spacing w:line="560" w:lineRule="exact"/>
        <w:ind w:firstLine="663" w:firstLineChars="200"/>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（一）项目组织架构及实施流程。</w:t>
      </w:r>
      <w:r>
        <w:rPr>
          <w:rFonts w:hint="eastAsia" w:ascii="方正仿宋简体" w:hAnsi="Times New Roman" w:eastAsia="方正仿宋简体" w:cs="方正仿宋简体"/>
          <w:kern w:val="2"/>
          <w:sz w:val="33"/>
          <w:szCs w:val="33"/>
          <w:u w:val="none"/>
          <w:lang w:val="en-US" w:eastAsia="zh-CN" w:bidi="ar-SA"/>
        </w:rPr>
        <w:t>该笔资金来源渠道的合法合规，评估内容具有公共性，属于公共财政支持范围，筹资渠道符合法律法规规定，筹资结构合理，资金来源渠道明确。</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eastAsia="楷体_GB2312"/>
          <w:b/>
          <w:sz w:val="33"/>
          <w:szCs w:val="33"/>
          <w:lang w:val="zh-CN"/>
        </w:rPr>
        <w:t>（二）项目管理情况。</w:t>
      </w:r>
      <w:r>
        <w:rPr>
          <w:rFonts w:hint="eastAsia" w:ascii="方正仿宋简体" w:hAnsi="Times New Roman" w:eastAsia="方正仿宋简体" w:cs="方正仿宋简体"/>
          <w:kern w:val="2"/>
          <w:sz w:val="33"/>
          <w:szCs w:val="33"/>
          <w:u w:val="none"/>
          <w:lang w:val="en-US" w:eastAsia="zh-CN" w:bidi="ar-SA"/>
        </w:rPr>
        <w:t>严格按照批复的支出预算执行，对人员经费严格按照上级的有关政策规定执行，无擅自扩大开支范围和提高开支标准情况。项目支出严格按照批复的项目和用途使用，无自行改变项目内容及扩大使用范围情况，保证专款专用，无截留、挪用专项资金情况。</w:t>
      </w:r>
    </w:p>
    <w:p>
      <w:pPr>
        <w:keepNext w:val="0"/>
        <w:keepLines w:val="0"/>
        <w:pageBreakBefore w:val="0"/>
        <w:widowControl w:val="0"/>
        <w:kinsoku/>
        <w:wordWrap/>
        <w:overflowPunct/>
        <w:topLinePunct w:val="0"/>
        <w:autoSpaceDE/>
        <w:autoSpaceDN/>
        <w:bidi w:val="0"/>
        <w:adjustRightInd/>
        <w:snapToGrid/>
        <w:spacing w:line="353" w:lineRule="auto"/>
        <w:ind w:firstLine="663" w:firstLineChars="200"/>
        <w:textAlignment w:val="auto"/>
        <w:outlineLvl w:val="9"/>
        <w:rPr>
          <w:rFonts w:hint="eastAsia" w:ascii="Times New Roman" w:hAnsi="Times New Roman" w:eastAsia="仿宋_GB2312" w:cs="Times New Roman"/>
          <w:sz w:val="33"/>
          <w:szCs w:val="33"/>
          <w:u w:val="none"/>
          <w:lang w:eastAsia="zh-CN"/>
        </w:rPr>
      </w:pPr>
      <w:r>
        <w:rPr>
          <w:rFonts w:eastAsia="楷体_GB2312"/>
          <w:b/>
          <w:sz w:val="33"/>
          <w:szCs w:val="33"/>
          <w:lang w:val="zh-CN"/>
        </w:rPr>
        <w:t>（三）项目监管情况。</w:t>
      </w:r>
      <w:r>
        <w:rPr>
          <w:rFonts w:hint="eastAsia" w:ascii="方正仿宋简体" w:hAnsi="Times New Roman" w:eastAsia="方正仿宋简体" w:cs="方正仿宋简体"/>
          <w:kern w:val="2"/>
          <w:sz w:val="33"/>
          <w:szCs w:val="33"/>
          <w:u w:val="none"/>
          <w:lang w:val="en-US" w:eastAsia="zh-CN" w:bidi="ar-SA"/>
        </w:rPr>
        <w:t>保证在财政批复部门预算后20日内，通过攀枝花市西区人民政府网站预决算公开统一平台公开绩效目标情况，并妥善做好解释说明工作，确保公开信息规范化、标准化，主动接受预算监督。</w:t>
      </w:r>
      <w:r>
        <w:rPr>
          <w:sz w:val="33"/>
          <w:szCs w:val="33"/>
          <w:lang w:val="zh-CN"/>
        </w:rPr>
        <w:tab/>
      </w:r>
    </w:p>
    <w:p>
      <w:pPr>
        <w:ind w:firstLine="640" w:firstLineChars="200"/>
        <w:rPr>
          <w:rFonts w:ascii="黑体" w:hAnsi="黑体" w:eastAsia="黑体"/>
          <w:sz w:val="32"/>
          <w:szCs w:val="32"/>
          <w:lang w:val="zh-CN"/>
        </w:rPr>
      </w:pPr>
      <w:r>
        <w:rPr>
          <w:rFonts w:hint="eastAsia" w:ascii="黑体" w:hAnsi="黑体" w:eastAsia="黑体"/>
          <w:sz w:val="32"/>
          <w:szCs w:val="32"/>
          <w:lang w:val="en-US" w:eastAsia="zh-CN"/>
        </w:rPr>
        <w:t>五</w:t>
      </w:r>
      <w:r>
        <w:rPr>
          <w:rFonts w:hint="eastAsia" w:ascii="黑体" w:hAnsi="黑体" w:eastAsia="黑体"/>
          <w:sz w:val="32"/>
          <w:szCs w:val="32"/>
          <w:lang w:val="zh-CN"/>
        </w:rPr>
        <w:t>、评价结论</w:t>
      </w:r>
    </w:p>
    <w:p>
      <w:pPr>
        <w:adjustRightInd w:val="0"/>
        <w:snapToGrid w:val="0"/>
        <w:spacing w:line="600" w:lineRule="exact"/>
        <w:ind w:firstLine="720"/>
        <w:rPr>
          <w:rFonts w:eastAsia="楷体_GB2312"/>
          <w:b/>
          <w:sz w:val="33"/>
          <w:szCs w:val="33"/>
          <w:lang w:val="zh-CN"/>
        </w:rPr>
      </w:pPr>
      <w:r>
        <w:rPr>
          <w:rFonts w:eastAsia="楷体_GB2312"/>
          <w:b/>
          <w:sz w:val="33"/>
          <w:szCs w:val="33"/>
          <w:lang w:val="zh-CN"/>
        </w:rPr>
        <w:t>（一）评价结论。</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en-US" w:eastAsia="zh-CN" w:bidi="ar-SA"/>
        </w:rPr>
      </w:pPr>
      <w:r>
        <w:rPr>
          <w:rFonts w:hint="eastAsia" w:ascii="方正仿宋简体" w:hAnsi="Times New Roman" w:eastAsia="方正仿宋简体" w:cs="方正仿宋简体"/>
          <w:kern w:val="2"/>
          <w:sz w:val="33"/>
          <w:szCs w:val="33"/>
          <w:u w:val="none"/>
          <w:lang w:val="en-US" w:eastAsia="zh-CN" w:bidi="ar-SA"/>
        </w:rPr>
        <w:t>该项目资金预期产出和效果能满足需求、不需核减预算安排、该笔资金需继续保留。综合前述评估内容来看，该项目立项必要性和依据充分，绩效目标明确，具备实施条件，具有公共性，符合财政资金支持方向等。建议予以支持，预算控制在</w:t>
      </w:r>
      <w:r>
        <w:rPr>
          <w:rFonts w:hint="eastAsia" w:ascii="方正仿宋简体" w:eastAsia="方正仿宋简体" w:cs="方正仿宋简体"/>
          <w:kern w:val="2"/>
          <w:sz w:val="33"/>
          <w:szCs w:val="33"/>
          <w:u w:val="none"/>
          <w:lang w:val="en-US" w:eastAsia="zh-CN" w:bidi="ar-SA"/>
        </w:rPr>
        <w:t>5</w:t>
      </w:r>
      <w:r>
        <w:rPr>
          <w:rFonts w:hint="eastAsia" w:ascii="方正仿宋简体" w:hAnsi="Times New Roman" w:eastAsia="方正仿宋简体" w:cs="方正仿宋简体"/>
          <w:kern w:val="2"/>
          <w:sz w:val="33"/>
          <w:szCs w:val="33"/>
          <w:u w:val="none"/>
          <w:lang w:val="en-US" w:eastAsia="zh-CN" w:bidi="ar-SA"/>
        </w:rPr>
        <w:t>万元以内。该项目申请资金总预算</w:t>
      </w:r>
      <w:r>
        <w:rPr>
          <w:rFonts w:hint="eastAsia" w:ascii="方正仿宋简体" w:eastAsia="方正仿宋简体" w:cs="方正仿宋简体"/>
          <w:kern w:val="2"/>
          <w:sz w:val="33"/>
          <w:szCs w:val="33"/>
          <w:u w:val="none"/>
          <w:lang w:val="en-US" w:eastAsia="zh-CN" w:bidi="ar-SA"/>
        </w:rPr>
        <w:t>15</w:t>
      </w:r>
      <w:r>
        <w:rPr>
          <w:rFonts w:hint="eastAsia" w:ascii="方正仿宋简体" w:hAnsi="Times New Roman" w:eastAsia="方正仿宋简体" w:cs="方正仿宋简体"/>
          <w:kern w:val="2"/>
          <w:sz w:val="33"/>
          <w:szCs w:val="33"/>
          <w:u w:val="none"/>
          <w:lang w:val="en-US" w:eastAsia="zh-CN" w:bidi="ar-SA"/>
        </w:rPr>
        <w:t>万元，经评审，建议预算申报数</w:t>
      </w:r>
      <w:r>
        <w:rPr>
          <w:rFonts w:hint="eastAsia" w:ascii="方正仿宋简体" w:eastAsia="方正仿宋简体" w:cs="方正仿宋简体"/>
          <w:kern w:val="2"/>
          <w:sz w:val="33"/>
          <w:szCs w:val="33"/>
          <w:u w:val="none"/>
          <w:lang w:val="en-US" w:eastAsia="zh-CN" w:bidi="ar-SA"/>
        </w:rPr>
        <w:t>15</w:t>
      </w:r>
      <w:r>
        <w:rPr>
          <w:rFonts w:hint="eastAsia" w:ascii="方正仿宋简体" w:hAnsi="Times New Roman" w:eastAsia="方正仿宋简体" w:cs="方正仿宋简体"/>
          <w:kern w:val="2"/>
          <w:sz w:val="33"/>
          <w:szCs w:val="33"/>
          <w:u w:val="none"/>
          <w:lang w:val="en-US" w:eastAsia="zh-CN" w:bidi="ar-SA"/>
        </w:rPr>
        <w:t>万元,我单位将进一步优化完善实施方案和绩效目标，加强运行监控，节约财政资金并提升资金效益，提升预算绩效管理水平。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sz w:val="32"/>
          <w:szCs w:val="32"/>
          <w:lang w:val="zh-CN"/>
        </w:rPr>
      </w:pPr>
      <w:r>
        <w:rPr>
          <w:rFonts w:hint="eastAsia" w:ascii="方正仿宋简体" w:hAnsi="Times New Roman" w:eastAsia="方正仿宋简体" w:cs="方正仿宋简体"/>
          <w:kern w:val="2"/>
          <w:sz w:val="32"/>
          <w:szCs w:val="32"/>
          <w:u w:val="none"/>
          <w:lang w:val="en-US" w:eastAsia="zh-CN" w:bidi="ar-SA"/>
        </w:rPr>
        <w:t>无</w:t>
      </w:r>
      <w:r>
        <w:rPr>
          <w:rFonts w:hint="eastAsia" w:ascii="方正仿宋简体" w:hAnsi="Times New Roman" w:eastAsia="方正仿宋简体" w:cs="方正仿宋简体"/>
          <w:kern w:val="2"/>
          <w:sz w:val="32"/>
          <w:szCs w:val="32"/>
          <w:u w:val="none"/>
          <w:lang w:val="zh-CN" w:eastAsia="zh-CN" w:bidi="ar-SA"/>
        </w:rPr>
        <w:t>。</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353" w:lineRule="auto"/>
        <w:ind w:firstLine="660" w:firstLineChars="200"/>
        <w:textAlignment w:val="auto"/>
        <w:outlineLvl w:val="9"/>
        <w:rPr>
          <w:rFonts w:hint="eastAsia" w:ascii="方正仿宋简体" w:hAnsi="Times New Roman" w:eastAsia="方正仿宋简体" w:cs="方正仿宋简体"/>
          <w:kern w:val="2"/>
          <w:sz w:val="33"/>
          <w:szCs w:val="33"/>
          <w:u w:val="none"/>
          <w:lang w:val="zh-CN" w:eastAsia="zh-CN" w:bidi="ar-SA"/>
        </w:rPr>
      </w:pPr>
      <w:r>
        <w:rPr>
          <w:rFonts w:hint="eastAsia" w:ascii="方正仿宋简体" w:hAnsi="Times New Roman" w:eastAsia="方正仿宋简体" w:cs="方正仿宋简体"/>
          <w:kern w:val="2"/>
          <w:sz w:val="33"/>
          <w:szCs w:val="33"/>
          <w:u w:val="none"/>
          <w:lang w:val="en-US" w:eastAsia="zh-CN" w:bidi="ar-SA"/>
        </w:rPr>
        <w:t>无</w:t>
      </w:r>
      <w:r>
        <w:rPr>
          <w:rFonts w:hint="eastAsia" w:ascii="方正仿宋简体" w:hAnsi="Times New Roman" w:eastAsia="方正仿宋简体" w:cs="方正仿宋简体"/>
          <w:kern w:val="2"/>
          <w:sz w:val="33"/>
          <w:szCs w:val="33"/>
          <w:u w:val="none"/>
          <w:lang w:val="zh-CN" w:eastAsia="zh-CN" w:bidi="ar-SA"/>
        </w:rPr>
        <w:t>。</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ind w:firstLine="2200" w:firstLineChars="500"/>
        <w:jc w:val="both"/>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2"/>
      <w:bookmarkStart w:id="53"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3"/>
    </w:p>
    <w:p>
      <w:pPr>
        <w:pStyle w:val="4"/>
        <w:rPr>
          <w:rFonts w:ascii="仿宋" w:hAnsi="仿宋" w:eastAsia="仿宋"/>
        </w:rPr>
      </w:pPr>
      <w:bookmarkStart w:id="54" w:name="_Toc15396620"/>
      <w:r>
        <w:rPr>
          <w:rFonts w:hint="eastAsia" w:ascii="仿宋" w:hAnsi="仿宋" w:eastAsia="仿宋"/>
          <w:b w:val="0"/>
        </w:rPr>
        <w:t>二、收</w:t>
      </w:r>
      <w:r>
        <w:rPr>
          <w:rStyle w:val="29"/>
          <w:rFonts w:hint="eastAsia" w:ascii="仿宋" w:hAnsi="仿宋" w:eastAsia="仿宋"/>
          <w:b w:val="0"/>
          <w:bCs w:val="0"/>
        </w:rPr>
        <w:t>入决算表</w:t>
      </w:r>
      <w:bookmarkEnd w:id="54"/>
    </w:p>
    <w:p>
      <w:pPr>
        <w:pStyle w:val="4"/>
        <w:rPr>
          <w:rFonts w:ascii="仿宋" w:hAnsi="仿宋" w:eastAsia="仿宋"/>
        </w:rPr>
      </w:pPr>
      <w:bookmarkStart w:id="55"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5"/>
    </w:p>
    <w:p>
      <w:pPr>
        <w:pStyle w:val="4"/>
        <w:rPr>
          <w:rFonts w:ascii="仿宋" w:hAnsi="仿宋" w:eastAsia="仿宋"/>
          <w:b w:val="0"/>
        </w:rPr>
      </w:pPr>
      <w:bookmarkStart w:id="56"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6"/>
    </w:p>
    <w:p>
      <w:pPr>
        <w:pStyle w:val="4"/>
        <w:rPr>
          <w:rStyle w:val="29"/>
          <w:rFonts w:ascii="仿宋" w:hAnsi="仿宋" w:eastAsia="仿宋"/>
          <w:b w:val="0"/>
          <w:bCs w:val="0"/>
        </w:rPr>
      </w:pPr>
      <w:bookmarkStart w:id="57"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7"/>
      <w:bookmarkStart w:id="58"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8"/>
    </w:p>
    <w:p>
      <w:pPr>
        <w:pStyle w:val="4"/>
        <w:rPr>
          <w:rFonts w:ascii="仿宋" w:hAnsi="仿宋" w:eastAsia="仿宋"/>
        </w:rPr>
      </w:pPr>
      <w:bookmarkStart w:id="59"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59"/>
    </w:p>
    <w:p>
      <w:pPr>
        <w:pStyle w:val="4"/>
        <w:rPr>
          <w:rFonts w:ascii="仿宋" w:hAnsi="仿宋" w:eastAsia="仿宋"/>
        </w:rPr>
      </w:pPr>
      <w:bookmarkStart w:id="60"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0"/>
    </w:p>
    <w:p>
      <w:pPr>
        <w:pStyle w:val="4"/>
        <w:rPr>
          <w:rFonts w:ascii="仿宋" w:hAnsi="仿宋" w:eastAsia="仿宋"/>
        </w:rPr>
      </w:pPr>
      <w:bookmarkStart w:id="61"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1"/>
    </w:p>
    <w:p>
      <w:pPr>
        <w:pStyle w:val="4"/>
        <w:rPr>
          <w:rFonts w:ascii="仿宋" w:hAnsi="仿宋" w:eastAsia="仿宋"/>
        </w:rPr>
      </w:pPr>
      <w:bookmarkStart w:id="62" w:name="_Toc15396628"/>
      <w:r>
        <w:rPr>
          <w:rStyle w:val="29"/>
          <w:rFonts w:hint="eastAsia" w:ascii="仿宋" w:hAnsi="仿宋" w:eastAsia="仿宋"/>
          <w:b w:val="0"/>
          <w:bCs w:val="0"/>
        </w:rPr>
        <w:t>十、</w:t>
      </w:r>
      <w:bookmarkEnd w:id="62"/>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3" w:name="_Toc15396629"/>
      <w:r>
        <w:rPr>
          <w:rStyle w:val="29"/>
          <w:rFonts w:hint="eastAsia" w:ascii="仿宋" w:hAnsi="仿宋" w:eastAsia="仿宋"/>
          <w:b w:val="0"/>
          <w:bCs w:val="0"/>
        </w:rPr>
        <w:t>十一、</w:t>
      </w:r>
      <w:bookmarkEnd w:id="63"/>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4" w:name="_Toc15396630"/>
      <w:r>
        <w:rPr>
          <w:rStyle w:val="29"/>
          <w:rFonts w:hint="eastAsia" w:ascii="仿宋" w:hAnsi="仿宋" w:eastAsia="仿宋"/>
          <w:b w:val="0"/>
          <w:bCs w:val="0"/>
        </w:rPr>
        <w:t>十二、</w:t>
      </w:r>
      <w:bookmarkEnd w:id="64"/>
      <w:r>
        <w:rPr>
          <w:rStyle w:val="29"/>
          <w:rFonts w:hint="eastAsia" w:ascii="仿宋" w:hAnsi="仿宋" w:eastAsia="仿宋"/>
          <w:b w:val="0"/>
          <w:bCs w:val="0"/>
        </w:rPr>
        <w:t>国有资本经营预算财政拨款支出决算表</w:t>
      </w:r>
    </w:p>
    <w:p>
      <w:pPr>
        <w:pStyle w:val="4"/>
        <w:rPr>
          <w:rFonts w:eastAsia="仿宋"/>
        </w:rPr>
      </w:pPr>
      <w:bookmarkStart w:id="65" w:name="_Toc15396631"/>
      <w:r>
        <w:rPr>
          <w:rStyle w:val="29"/>
          <w:rFonts w:hint="eastAsia" w:ascii="仿宋" w:hAnsi="仿宋" w:eastAsia="仿宋"/>
          <w:b w:val="0"/>
          <w:bCs w:val="0"/>
        </w:rPr>
        <w:t>十三、</w:t>
      </w:r>
      <w:bookmarkEnd w:id="65"/>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A00E9"/>
    <w:multiLevelType w:val="singleLevel"/>
    <w:tmpl w:val="B00A00E9"/>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CCC3E5B"/>
    <w:multiLevelType w:val="singleLevel"/>
    <w:tmpl w:val="1CCC3E5B"/>
    <w:lvl w:ilvl="0" w:tentative="0">
      <w:start w:val="1"/>
      <w:numFmt w:val="chineseCounting"/>
      <w:suff w:val="nothing"/>
      <w:lvlText w:val="%1、"/>
      <w:lvlJc w:val="left"/>
      <w:rPr>
        <w:rFonts w:hint="eastAsia"/>
      </w:rPr>
    </w:lvl>
  </w:abstractNum>
  <w:abstractNum w:abstractNumId="5">
    <w:nsid w:val="4A134FBD"/>
    <w:multiLevelType w:val="singleLevel"/>
    <w:tmpl w:val="4A134FBD"/>
    <w:lvl w:ilvl="0" w:tentative="0">
      <w:start w:val="3"/>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514842"/>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9D65C6D"/>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qFormat/>
    <w:uiPriority w:val="0"/>
    <w:pPr>
      <w:spacing w:before="240" w:after="60"/>
      <w:jc w:val="center"/>
      <w:outlineLvl w:val="0"/>
    </w:pPr>
    <w:rPr>
      <w:rFonts w:ascii="Arial" w:hAnsi="Arial" w:cs="Arial"/>
      <w:b/>
      <w:bCs/>
      <w:sz w:val="32"/>
      <w:szCs w:val="32"/>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1</TotalTime>
  <ScaleCrop>false</ScaleCrop>
  <LinksUpToDate>false</LinksUpToDate>
  <CharactersWithSpaces>7641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高玮</cp:lastModifiedBy>
  <cp:lastPrinted>2023-08-03T02:35:00Z</cp:lastPrinted>
  <dcterms:modified xsi:type="dcterms:W3CDTF">2024-10-25T08:18:33Z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CAAC4E73FAF94688AB70E57D8E197811</vt:lpwstr>
  </property>
</Properties>
</file>