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475"/>
      <w:bookmarkStart w:id="1" w:name="_Toc15396597"/>
      <w:bookmarkStart w:id="2" w:name="_Toc15377193"/>
      <w:bookmarkStart w:id="3" w:name="_Toc15377425"/>
      <w:bookmarkStart w:id="4" w:name="_Toc15378441"/>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p>
    <w:bookmarkEnd w:id="5"/>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6" w:name="_Toc15377426"/>
      <w:bookmarkStart w:id="7" w:name="_Toc15378442"/>
      <w:bookmarkStart w:id="8" w:name="_Toc15306268"/>
      <w:bookmarkStart w:id="9" w:name="_Toc15377194"/>
      <w:bookmarkStart w:id="10" w:name="_Toc15396598"/>
      <w:bookmarkStart w:id="11" w:name="_Toc15396476"/>
      <w:r>
        <w:rPr>
          <w:rFonts w:hint="eastAsia" w:ascii="方正小标宋简体" w:hAnsi="方正小标宋简体" w:eastAsia="方正小标宋简体" w:cs="方正小标宋简体"/>
          <w:sz w:val="72"/>
          <w:szCs w:val="72"/>
          <w:lang w:eastAsia="zh-CN"/>
        </w:rPr>
        <w:t>四川省攀枝花市西区</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eastAsia="zh-CN"/>
        </w:rPr>
        <w:t>信访局</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bookmarkStart w:id="12" w:name="_Toc15377196"/>
      <w:bookmarkStart w:id="13" w:name="_Toc15396599"/>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21</w:t>
      </w:r>
      <w:r>
        <w:rPr>
          <w:rFonts w:hint="eastAsia"/>
        </w:rPr>
        <w:t>日</w:t>
      </w:r>
    </w:p>
    <w:p/>
    <w:p>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r>
        <w:rPr>
          <w:rFonts w:cstheme="minorBidi"/>
          <w:sz w:val="24"/>
          <w:szCs w:val="24"/>
        </w:rPr>
        <w:tab/>
      </w:r>
      <w:r>
        <w:rPr>
          <w:rFonts w:hint="eastAsia" w:cstheme="minorBidi"/>
          <w:sz w:val="24"/>
          <w:szCs w:val="24"/>
          <w:lang w:val="en-US" w:eastAsia="zh-CN"/>
        </w:rPr>
        <w:t>4</w:t>
      </w:r>
    </w:p>
    <w:p>
      <w:pPr>
        <w:pStyle w:val="13"/>
        <w:adjustRightInd w:val="0"/>
        <w:snapToGrid w:val="0"/>
        <w:spacing w:line="440" w:lineRule="exact"/>
        <w:jc w:val="left"/>
        <w:rPr>
          <w:rFonts w:ascii="仿宋" w:hAnsi="仿宋" w:eastAsia="仿宋"/>
          <w:sz w:val="24"/>
        </w:rPr>
      </w:pPr>
      <w:r>
        <w:rPr>
          <w:rFonts w:hint="eastAsia"/>
          <w:sz w:val="24"/>
        </w:rPr>
        <w:t>一、部门职责</w:t>
      </w:r>
      <w:r>
        <w:rPr>
          <w:rFonts w:cstheme="minorBidi"/>
          <w:sz w:val="24"/>
          <w:szCs w:val="24"/>
        </w:rPr>
        <w:tab/>
      </w:r>
      <w:r>
        <w:rPr>
          <w:rFonts w:hint="eastAsia" w:cstheme="minorBidi"/>
          <w:sz w:val="24"/>
          <w:szCs w:val="24"/>
          <w:lang w:val="en-US" w:eastAsia="zh-CN"/>
        </w:rPr>
        <w:t>4</w:t>
      </w:r>
    </w:p>
    <w:p>
      <w:pPr>
        <w:pStyle w:val="13"/>
        <w:adjustRightInd w:val="0"/>
        <w:snapToGrid w:val="0"/>
        <w:spacing w:line="440" w:lineRule="exact"/>
        <w:jc w:val="left"/>
        <w:rPr>
          <w:rFonts w:ascii="仿宋" w:hAnsi="仿宋" w:eastAsia="仿宋" w:cstheme="minorBidi"/>
          <w:sz w:val="24"/>
        </w:rPr>
      </w:pPr>
      <w:r>
        <w:rPr>
          <w:rFonts w:hint="eastAsia"/>
          <w:sz w:val="24"/>
        </w:rPr>
        <w:t>二、机构设置</w:t>
      </w:r>
      <w:r>
        <w:rPr>
          <w:rFonts w:cstheme="minorBidi"/>
          <w:sz w:val="24"/>
        </w:rPr>
        <w:tab/>
      </w:r>
      <w:r>
        <w:rPr>
          <w:rFonts w:hint="eastAsia" w:cstheme="minorBidi"/>
          <w:sz w:val="24"/>
          <w:lang w:val="en-US" w:eastAsia="zh-CN"/>
        </w:rPr>
        <w:t>5</w:t>
      </w:r>
    </w:p>
    <w:p>
      <w:pPr>
        <w:pStyle w:val="12"/>
        <w:adjustRightInd w:val="0"/>
        <w:snapToGrid w:val="0"/>
        <w:spacing w:before="0" w:line="440" w:lineRule="exact"/>
        <w:jc w:val="left"/>
        <w:rPr>
          <w:sz w:val="24"/>
          <w:szCs w:val="24"/>
        </w:rPr>
      </w:pPr>
      <w:r>
        <w:rPr>
          <w:rFonts w:hint="eastAsia"/>
          <w:sz w:val="24"/>
        </w:rPr>
        <w:t>第二部分 2023年度部门决算情况说明</w:t>
      </w:r>
      <w:r>
        <w:rPr>
          <w:rFonts w:cstheme="minorBidi"/>
          <w:sz w:val="24"/>
        </w:rPr>
        <w:tab/>
      </w:r>
      <w:r>
        <w:rPr>
          <w:rFonts w:hint="eastAsia" w:cstheme="minorBidi"/>
          <w:sz w:val="24"/>
          <w:lang w:val="en-US" w:eastAsia="zh-CN"/>
        </w:rPr>
        <w:t>6</w:t>
      </w:r>
    </w:p>
    <w:p>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cstheme="minorBidi"/>
          <w:sz w:val="24"/>
        </w:rPr>
        <w:tab/>
      </w:r>
      <w:r>
        <w:rPr>
          <w:rFonts w:hint="eastAsia" w:cstheme="minorBidi"/>
          <w:sz w:val="24"/>
          <w:lang w:val="en-US" w:eastAsia="zh-CN"/>
        </w:rPr>
        <w:t>6</w:t>
      </w:r>
    </w:p>
    <w:p>
      <w:pPr>
        <w:pStyle w:val="13"/>
        <w:adjustRightInd w:val="0"/>
        <w:snapToGrid w:val="0"/>
        <w:spacing w:line="440" w:lineRule="exact"/>
        <w:jc w:val="left"/>
        <w:rPr>
          <w:rFonts w:ascii="仿宋" w:hAnsi="仿宋" w:eastAsia="仿宋" w:cstheme="minorBidi"/>
          <w:sz w:val="24"/>
        </w:rPr>
      </w:pPr>
      <w:r>
        <w:rPr>
          <w:rFonts w:hint="eastAsia"/>
          <w:sz w:val="24"/>
        </w:rPr>
        <w:t>二、收入决算情况说明</w:t>
      </w:r>
      <w:r>
        <w:rPr>
          <w:rFonts w:cstheme="minorBidi"/>
          <w:sz w:val="24"/>
        </w:rPr>
        <w:tab/>
      </w:r>
      <w:r>
        <w:rPr>
          <w:rFonts w:hint="eastAsia" w:cstheme="minorBidi"/>
          <w:sz w:val="24"/>
          <w:lang w:val="en-US" w:eastAsia="zh-CN"/>
        </w:rPr>
        <w:t>6</w:t>
      </w:r>
    </w:p>
    <w:p>
      <w:pPr>
        <w:pStyle w:val="13"/>
        <w:adjustRightInd w:val="0"/>
        <w:snapToGrid w:val="0"/>
        <w:spacing w:line="440" w:lineRule="exact"/>
        <w:jc w:val="left"/>
        <w:rPr>
          <w:rFonts w:ascii="仿宋" w:hAnsi="仿宋" w:eastAsia="仿宋" w:cstheme="minorBidi"/>
          <w:sz w:val="24"/>
        </w:rPr>
      </w:pPr>
      <w:r>
        <w:rPr>
          <w:rFonts w:hint="eastAsia"/>
          <w:sz w:val="24"/>
        </w:rPr>
        <w:t>三、支出决算情况说明</w:t>
      </w:r>
      <w:r>
        <w:rPr>
          <w:rFonts w:cstheme="minorBidi"/>
          <w:sz w:val="24"/>
        </w:rPr>
        <w:tab/>
      </w:r>
      <w:r>
        <w:rPr>
          <w:rFonts w:hint="eastAsia" w:cstheme="minorBidi"/>
          <w:sz w:val="24"/>
          <w:lang w:val="en-US" w:eastAsia="zh-CN"/>
        </w:rPr>
        <w:t>7</w:t>
      </w:r>
    </w:p>
    <w:p>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cstheme="minorBidi"/>
          <w:sz w:val="24"/>
        </w:rPr>
        <w:tab/>
      </w:r>
      <w:r>
        <w:rPr>
          <w:rFonts w:hint="eastAsia" w:cstheme="minorBidi"/>
          <w:sz w:val="24"/>
          <w:lang w:val="en-US" w:eastAsia="zh-CN"/>
        </w:rPr>
        <w:t>7</w:t>
      </w:r>
    </w:p>
    <w:p>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cstheme="minorBidi"/>
          <w:sz w:val="24"/>
        </w:rPr>
        <w:tab/>
      </w:r>
      <w:r>
        <w:rPr>
          <w:rFonts w:hint="eastAsia" w:cstheme="minorBidi"/>
          <w:sz w:val="24"/>
          <w:lang w:val="en-US" w:eastAsia="zh-CN"/>
        </w:rPr>
        <w:t>8</w:t>
      </w:r>
    </w:p>
    <w:p>
      <w:pPr>
        <w:pStyle w:val="13"/>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rFonts w:cstheme="minorBidi"/>
          <w:sz w:val="24"/>
        </w:rPr>
        <w:tab/>
      </w:r>
      <w:r>
        <w:rPr>
          <w:rFonts w:hint="eastAsia" w:cstheme="minorBidi"/>
          <w:sz w:val="24"/>
          <w:lang w:val="en-US" w:eastAsia="zh-CN"/>
        </w:rPr>
        <w:t>10</w:t>
      </w:r>
    </w:p>
    <w:p>
      <w:pPr>
        <w:pStyle w:val="13"/>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r>
        <w:rPr>
          <w:rFonts w:cstheme="minorBidi"/>
          <w:sz w:val="24"/>
        </w:rPr>
        <w:tab/>
      </w:r>
      <w:r>
        <w:rPr>
          <w:rFonts w:hint="eastAsia" w:cstheme="minorBidi"/>
          <w:sz w:val="24"/>
          <w:lang w:val="en-US" w:eastAsia="zh-CN"/>
        </w:rPr>
        <w:t>10</w:t>
      </w:r>
    </w:p>
    <w:p>
      <w:pPr>
        <w:pStyle w:val="13"/>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rFonts w:cstheme="minorBidi"/>
          <w:sz w:val="24"/>
        </w:rPr>
        <w:tab/>
      </w:r>
      <w:r>
        <w:rPr>
          <w:rFonts w:hint="eastAsia" w:cstheme="minorBidi"/>
          <w:sz w:val="24"/>
          <w:lang w:val="en-US" w:eastAsia="zh-CN"/>
        </w:rPr>
        <w:t>12</w:t>
      </w:r>
    </w:p>
    <w:p>
      <w:pPr>
        <w:pStyle w:val="13"/>
        <w:adjustRightInd w:val="0"/>
        <w:snapToGrid w:val="0"/>
        <w:spacing w:line="440" w:lineRule="exact"/>
        <w:ind w:leftChars="0"/>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九、国有资本经营预算支出决算情况说明</w:t>
      </w:r>
      <w:r>
        <w:rPr>
          <w:rFonts w:cstheme="minorBidi"/>
          <w:sz w:val="24"/>
        </w:rPr>
        <w:tab/>
      </w:r>
      <w:r>
        <w:rPr>
          <w:rFonts w:hint="eastAsia" w:cstheme="minorBidi"/>
          <w:sz w:val="24"/>
          <w:lang w:val="en-US" w:eastAsia="zh-CN"/>
        </w:rPr>
        <w:t>12</w:t>
      </w:r>
    </w:p>
    <w:p>
      <w:pPr>
        <w:pStyle w:val="13"/>
        <w:adjustRightInd w:val="0"/>
        <w:snapToGrid w:val="0"/>
        <w:spacing w:line="440" w:lineRule="exact"/>
        <w:jc w:val="left"/>
        <w:rPr>
          <w:rFonts w:hint="default" w:ascii="仿宋" w:hAnsi="仿宋" w:eastAsia="宋体" w:cstheme="minorBidi"/>
          <w:sz w:val="24"/>
          <w:lang w:val="en-US" w:eastAsia="zh-CN"/>
        </w:rPr>
      </w:pPr>
      <w:r>
        <w:rPr>
          <w:rStyle w:val="19"/>
          <w:rFonts w:hint="eastAsia" w:asciiTheme="minorEastAsia" w:hAnsiTheme="minorEastAsia" w:eastAsiaTheme="minorEastAsia" w:cstheme="minorEastAsia"/>
          <w:color w:val="auto"/>
          <w:sz w:val="24"/>
          <w:u w:val="none"/>
        </w:rPr>
        <w:t>十、</w:t>
      </w:r>
      <w:r>
        <w:rPr>
          <w:rFonts w:hint="eastAsia" w:ascii="Times New Roman" w:hAnsi="Times New Roman" w:eastAsia="宋体" w:cs="Times New Roman"/>
          <w:kern w:val="2"/>
          <w:sz w:val="24"/>
          <w:szCs w:val="24"/>
          <w:lang w:val="en-US" w:eastAsia="zh-CN" w:bidi="ar-SA"/>
        </w:rPr>
        <w:t>其他重要事项的情况说明</w:t>
      </w:r>
      <w:r>
        <w:rPr>
          <w:rFonts w:cstheme="minorBidi"/>
          <w:sz w:val="24"/>
        </w:rPr>
        <w:tab/>
      </w:r>
      <w:r>
        <w:rPr>
          <w:rFonts w:hint="eastAsia" w:cstheme="minorBidi"/>
          <w:sz w:val="24"/>
          <w:lang w:val="en-US" w:eastAsia="zh-CN"/>
        </w:rPr>
        <w:t>12</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cstheme="minorBidi"/>
          <w:sz w:val="24"/>
        </w:rPr>
        <w:tab/>
      </w:r>
      <w:r>
        <w:rPr>
          <w:rFonts w:hint="eastAsia" w:cstheme="minorBidi"/>
          <w:sz w:val="24"/>
          <w:lang w:val="en-US" w:eastAsia="zh-CN"/>
        </w:rPr>
        <w:t>14</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cstheme="minorBidi"/>
          <w:sz w:val="24"/>
        </w:rPr>
        <w:tab/>
      </w:r>
      <w:r>
        <w:rPr>
          <w:rFonts w:hint="eastAsia" w:cstheme="minorBidi"/>
          <w:sz w:val="24"/>
          <w:lang w:val="en-US" w:eastAsia="zh-CN"/>
        </w:rPr>
        <w:t>18</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cstheme="minorBidi"/>
          <w:sz w:val="24"/>
        </w:rPr>
        <w:tab/>
      </w:r>
      <w:r>
        <w:rPr>
          <w:rFonts w:hint="eastAsia" w:cstheme="minorBidi"/>
          <w:sz w:val="24"/>
          <w:lang w:val="en-US" w:eastAsia="zh-CN"/>
        </w:rPr>
        <w:t>46</w:t>
      </w:r>
    </w:p>
    <w:p>
      <w:pPr>
        <w:pStyle w:val="13"/>
        <w:adjustRightInd w:val="0"/>
        <w:snapToGrid w:val="0"/>
        <w:spacing w:line="440" w:lineRule="exact"/>
        <w:jc w:val="left"/>
        <w:rPr>
          <w:rFonts w:hint="default" w:eastAsia="宋体"/>
          <w:sz w:val="24"/>
          <w:lang w:val="en-US" w:eastAsia="zh-CN"/>
        </w:rPr>
      </w:pPr>
      <w:r>
        <w:rPr>
          <w:rFonts w:hint="eastAsia"/>
          <w:sz w:val="24"/>
        </w:rPr>
        <w:t>一、收入支出决算总表</w:t>
      </w:r>
      <w:r>
        <w:rPr>
          <w:rFonts w:cstheme="minorBidi"/>
          <w:sz w:val="24"/>
        </w:rPr>
        <w:tab/>
      </w:r>
      <w:r>
        <w:rPr>
          <w:rFonts w:hint="eastAsia" w:cstheme="minorBidi"/>
          <w:sz w:val="24"/>
          <w:lang w:val="en-US" w:eastAsia="zh-CN"/>
        </w:rPr>
        <w:t>46</w:t>
      </w:r>
    </w:p>
    <w:p>
      <w:pPr>
        <w:pStyle w:val="13"/>
        <w:adjustRightInd w:val="0"/>
        <w:snapToGrid w:val="0"/>
        <w:spacing w:line="440" w:lineRule="exact"/>
        <w:jc w:val="left"/>
        <w:rPr>
          <w:rFonts w:hint="default" w:eastAsia="宋体"/>
          <w:sz w:val="24"/>
          <w:lang w:val="en-US" w:eastAsia="zh-CN"/>
        </w:rPr>
      </w:pPr>
      <w:r>
        <w:rPr>
          <w:rFonts w:hint="eastAsia"/>
          <w:sz w:val="24"/>
        </w:rPr>
        <w:t>二、收入决算表</w:t>
      </w:r>
      <w:r>
        <w:rPr>
          <w:rFonts w:cstheme="minorBidi"/>
          <w:sz w:val="24"/>
        </w:rPr>
        <w:tab/>
      </w:r>
      <w:r>
        <w:rPr>
          <w:rFonts w:hint="eastAsia" w:cstheme="minorBidi"/>
          <w:sz w:val="24"/>
          <w:lang w:val="en-US" w:eastAsia="zh-CN"/>
        </w:rPr>
        <w:t>46</w:t>
      </w:r>
    </w:p>
    <w:p>
      <w:pPr>
        <w:pStyle w:val="13"/>
        <w:adjustRightInd w:val="0"/>
        <w:snapToGrid w:val="0"/>
        <w:spacing w:line="440" w:lineRule="exact"/>
        <w:jc w:val="left"/>
        <w:rPr>
          <w:rFonts w:hint="default" w:eastAsia="宋体"/>
          <w:sz w:val="24"/>
          <w:lang w:val="en-US" w:eastAsia="zh-CN"/>
        </w:rPr>
      </w:pPr>
      <w:r>
        <w:rPr>
          <w:rFonts w:hint="eastAsia"/>
          <w:sz w:val="24"/>
        </w:rPr>
        <w:t>三、支出决算表</w:t>
      </w:r>
      <w:r>
        <w:rPr>
          <w:rFonts w:cstheme="minorBidi"/>
          <w:sz w:val="24"/>
        </w:rPr>
        <w:tab/>
      </w:r>
      <w:r>
        <w:rPr>
          <w:rFonts w:hint="eastAsia" w:cstheme="minorBidi"/>
          <w:sz w:val="24"/>
          <w:lang w:val="en-US" w:eastAsia="zh-CN"/>
        </w:rPr>
        <w:t>46</w:t>
      </w:r>
    </w:p>
    <w:p>
      <w:pPr>
        <w:pStyle w:val="13"/>
        <w:adjustRightInd w:val="0"/>
        <w:snapToGrid w:val="0"/>
        <w:spacing w:line="440" w:lineRule="exact"/>
        <w:jc w:val="left"/>
        <w:rPr>
          <w:rFonts w:hint="default" w:eastAsia="宋体"/>
          <w:sz w:val="24"/>
          <w:lang w:val="en-US" w:eastAsia="zh-CN"/>
        </w:rPr>
      </w:pPr>
      <w:r>
        <w:rPr>
          <w:rFonts w:hint="eastAsia"/>
          <w:sz w:val="24"/>
        </w:rPr>
        <w:t>四、财政拨款收入支出决算总表</w:t>
      </w:r>
      <w:r>
        <w:rPr>
          <w:rFonts w:cstheme="minorBidi"/>
          <w:sz w:val="24"/>
        </w:rPr>
        <w:tab/>
      </w:r>
      <w:r>
        <w:rPr>
          <w:rFonts w:hint="eastAsia" w:cstheme="minorBidi"/>
          <w:sz w:val="24"/>
          <w:lang w:val="en-US" w:eastAsia="zh-CN"/>
        </w:rPr>
        <w:t>46</w:t>
      </w:r>
    </w:p>
    <w:p>
      <w:pPr>
        <w:pStyle w:val="13"/>
        <w:adjustRightInd w:val="0"/>
        <w:snapToGrid w:val="0"/>
        <w:spacing w:line="440" w:lineRule="exact"/>
        <w:jc w:val="left"/>
        <w:rPr>
          <w:rFonts w:hint="default" w:eastAsia="宋体"/>
          <w:sz w:val="24"/>
          <w:lang w:val="en-US" w:eastAsia="zh-CN"/>
        </w:rPr>
      </w:pPr>
      <w:r>
        <w:rPr>
          <w:rFonts w:hint="eastAsia"/>
          <w:sz w:val="24"/>
        </w:rPr>
        <w:t>五、财政拨款支出决算明细表</w:t>
      </w:r>
      <w:r>
        <w:rPr>
          <w:rFonts w:cstheme="minorBidi"/>
          <w:sz w:val="24"/>
        </w:rPr>
        <w:tab/>
      </w:r>
      <w:r>
        <w:rPr>
          <w:rFonts w:hint="eastAsia" w:cstheme="minorBidi"/>
          <w:sz w:val="24"/>
          <w:lang w:val="en-US" w:eastAsia="zh-CN"/>
        </w:rPr>
        <w:t>46</w:t>
      </w:r>
    </w:p>
    <w:p>
      <w:pPr>
        <w:pStyle w:val="13"/>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rPr>
          <w:rFonts w:cstheme="minorBidi"/>
          <w:sz w:val="24"/>
        </w:rPr>
        <w:tab/>
      </w:r>
      <w:r>
        <w:rPr>
          <w:rFonts w:hint="eastAsia" w:cstheme="minorBidi"/>
          <w:sz w:val="24"/>
          <w:lang w:val="en-US" w:eastAsia="zh-CN"/>
        </w:rPr>
        <w:t>46</w:t>
      </w:r>
    </w:p>
    <w:p>
      <w:pPr>
        <w:pStyle w:val="13"/>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rPr>
          <w:rFonts w:cstheme="minorBidi"/>
          <w:sz w:val="24"/>
        </w:rPr>
        <w:tab/>
      </w:r>
      <w:r>
        <w:rPr>
          <w:rFonts w:hint="eastAsia" w:cstheme="minorBidi"/>
          <w:sz w:val="24"/>
          <w:lang w:val="en-US" w:eastAsia="zh-CN"/>
        </w:rPr>
        <w:t>46</w:t>
      </w:r>
    </w:p>
    <w:p>
      <w:pPr>
        <w:pStyle w:val="13"/>
        <w:adjustRightInd w:val="0"/>
        <w:snapToGrid w:val="0"/>
        <w:spacing w:line="440" w:lineRule="exact"/>
        <w:jc w:val="left"/>
        <w:rPr>
          <w:rFonts w:hint="default" w:eastAsia="宋体"/>
          <w:sz w:val="24"/>
          <w:lang w:val="en-US" w:eastAsia="zh-CN"/>
        </w:rPr>
      </w:pPr>
      <w:r>
        <w:rPr>
          <w:rFonts w:hint="eastAsia"/>
          <w:sz w:val="24"/>
        </w:rPr>
        <w:t>八、一般公共预算财政拨款基本支出决算明细表</w:t>
      </w:r>
      <w:r>
        <w:rPr>
          <w:rFonts w:cstheme="minorBidi"/>
          <w:sz w:val="24"/>
        </w:rPr>
        <w:tab/>
      </w:r>
      <w:r>
        <w:rPr>
          <w:rFonts w:hint="eastAsia" w:cstheme="minorBidi"/>
          <w:sz w:val="24"/>
          <w:lang w:val="en-US" w:eastAsia="zh-CN"/>
        </w:rPr>
        <w:t>46</w:t>
      </w:r>
    </w:p>
    <w:p>
      <w:pPr>
        <w:pStyle w:val="13"/>
        <w:adjustRightInd w:val="0"/>
        <w:snapToGrid w:val="0"/>
        <w:spacing w:line="440" w:lineRule="exact"/>
        <w:jc w:val="left"/>
        <w:rPr>
          <w:rFonts w:hint="default" w:eastAsia="宋体"/>
          <w:sz w:val="24"/>
          <w:lang w:val="en-US" w:eastAsia="zh-CN"/>
        </w:rPr>
      </w:pPr>
      <w:r>
        <w:rPr>
          <w:rFonts w:hint="eastAsia"/>
          <w:sz w:val="24"/>
        </w:rPr>
        <w:t>九、一般公共预算财政拨款项目支出决算表</w:t>
      </w:r>
      <w:r>
        <w:rPr>
          <w:rFonts w:cstheme="minorBidi"/>
          <w:sz w:val="24"/>
        </w:rPr>
        <w:tab/>
      </w:r>
      <w:r>
        <w:rPr>
          <w:rFonts w:hint="eastAsia" w:cstheme="minorBidi"/>
          <w:sz w:val="24"/>
          <w:lang w:val="en-US" w:eastAsia="zh-CN"/>
        </w:rPr>
        <w:t>46</w:t>
      </w:r>
    </w:p>
    <w:p>
      <w:pPr>
        <w:pStyle w:val="13"/>
        <w:adjustRightInd w:val="0"/>
        <w:snapToGrid w:val="0"/>
        <w:spacing w:line="440" w:lineRule="exact"/>
        <w:jc w:val="left"/>
        <w:rPr>
          <w:rFonts w:hint="default" w:eastAsia="宋体"/>
          <w:sz w:val="24"/>
          <w:lang w:val="en-US" w:eastAsia="zh-CN"/>
        </w:rPr>
      </w:pPr>
      <w:r>
        <w:rPr>
          <w:rFonts w:hint="eastAsia"/>
          <w:sz w:val="24"/>
        </w:rPr>
        <w:t>十、政府性基金预算财政拨款收入支出决算表</w:t>
      </w:r>
      <w:r>
        <w:rPr>
          <w:rFonts w:cstheme="minorBidi"/>
          <w:sz w:val="24"/>
        </w:rPr>
        <w:tab/>
      </w:r>
      <w:r>
        <w:rPr>
          <w:rFonts w:hint="eastAsia" w:cstheme="minorBidi"/>
          <w:sz w:val="24"/>
          <w:lang w:val="en-US" w:eastAsia="zh-CN"/>
        </w:rPr>
        <w:t>46</w:t>
      </w:r>
    </w:p>
    <w:p>
      <w:pPr>
        <w:pStyle w:val="13"/>
        <w:adjustRightInd w:val="0"/>
        <w:snapToGrid w:val="0"/>
        <w:spacing w:line="440" w:lineRule="exact"/>
        <w:jc w:val="left"/>
        <w:rPr>
          <w:rFonts w:hint="default" w:eastAsia="宋体"/>
          <w:sz w:val="24"/>
          <w:lang w:val="en-US" w:eastAsia="zh-CN"/>
        </w:rPr>
      </w:pPr>
      <w:r>
        <w:rPr>
          <w:rFonts w:hint="eastAsia"/>
          <w:sz w:val="24"/>
        </w:rPr>
        <w:t>十一、国有资本经营预算财政拨款收入支出决算表</w:t>
      </w:r>
      <w:r>
        <w:rPr>
          <w:rFonts w:cstheme="minorBidi"/>
          <w:sz w:val="24"/>
        </w:rPr>
        <w:tab/>
      </w:r>
      <w:r>
        <w:rPr>
          <w:rFonts w:hint="eastAsia" w:cstheme="minorBidi"/>
          <w:sz w:val="24"/>
          <w:lang w:val="en-US" w:eastAsia="zh-CN"/>
        </w:rPr>
        <w:t>46</w:t>
      </w:r>
    </w:p>
    <w:p>
      <w:pPr>
        <w:pStyle w:val="13"/>
        <w:adjustRightInd w:val="0"/>
        <w:snapToGrid w:val="0"/>
        <w:spacing w:line="440" w:lineRule="exact"/>
        <w:jc w:val="left"/>
        <w:rPr>
          <w:rFonts w:hint="default" w:eastAsia="宋体"/>
          <w:sz w:val="24"/>
          <w:lang w:val="en-US" w:eastAsia="zh-CN"/>
        </w:rPr>
      </w:pPr>
      <w:r>
        <w:rPr>
          <w:rFonts w:hint="eastAsia"/>
          <w:sz w:val="24"/>
        </w:rPr>
        <w:t>十二、国有资本经营预算财政拨款支出决算表</w:t>
      </w:r>
      <w:r>
        <w:rPr>
          <w:rFonts w:cstheme="minorBidi"/>
          <w:sz w:val="24"/>
        </w:rPr>
        <w:tab/>
      </w:r>
      <w:r>
        <w:rPr>
          <w:rFonts w:hint="eastAsia" w:cstheme="minorBidi"/>
          <w:sz w:val="24"/>
          <w:lang w:val="en-US" w:eastAsia="zh-CN"/>
        </w:rPr>
        <w:t>46</w:t>
      </w:r>
    </w:p>
    <w:p>
      <w:pPr>
        <w:pStyle w:val="13"/>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sz w:val="24"/>
        </w:rPr>
        <w:t>十三、财政拨款“三公”经费支出决算表</w:t>
      </w:r>
      <w:r>
        <w:rPr>
          <w:rFonts w:cstheme="minorBidi"/>
          <w:sz w:val="24"/>
        </w:rPr>
        <w:tab/>
      </w:r>
      <w:r>
        <w:rPr>
          <w:rFonts w:hint="eastAsia" w:cstheme="minorBidi"/>
          <w:sz w:val="24"/>
          <w:lang w:val="en-US" w:eastAsia="zh-CN"/>
        </w:rPr>
        <w:t>46</w:t>
      </w:r>
      <w:bookmarkStart w:id="49" w:name="_GoBack"/>
      <w:bookmarkEnd w:id="49"/>
    </w:p>
    <w:p>
      <w:pPr>
        <w:widowControl/>
        <w:spacing w:line="440" w:lineRule="exact"/>
        <w:jc w:val="left"/>
        <w:rPr>
          <w:rFonts w:ascii="仿宋" w:hAnsi="仿宋" w:eastAsia="仿宋"/>
          <w:bCs/>
          <w:kern w:val="44"/>
          <w:sz w:val="24"/>
        </w:rPr>
      </w:pPr>
    </w:p>
    <w:p>
      <w:pPr>
        <w:pStyle w:val="3"/>
        <w:jc w:val="both"/>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rPr>
          <w:rFonts w:hint="eastAsia" w:ascii="黑体" w:hAnsi="黑体" w:eastAsia="黑体"/>
          <w:b w:val="0"/>
        </w:rPr>
      </w:pPr>
    </w:p>
    <w:p>
      <w:pPr>
        <w:pStyle w:val="2"/>
        <w:rPr>
          <w:rFonts w:hint="eastAsia"/>
        </w:rPr>
      </w:pPr>
    </w:p>
    <w:p>
      <w:pPr>
        <w:pStyle w:val="3"/>
        <w:jc w:val="center"/>
        <w:rPr>
          <w:rStyle w:val="29"/>
          <w:rFonts w:ascii="黑体" w:hAnsi="黑体" w:eastAsia="黑体"/>
          <w:b/>
          <w:bCs w:val="0"/>
        </w:rPr>
      </w:pPr>
      <w:r>
        <w:rPr>
          <w:rFonts w:hint="eastAsia" w:ascii="黑体" w:hAnsi="黑体" w:eastAsia="黑体"/>
          <w:b w:val="0"/>
        </w:rPr>
        <w:t xml:space="preserve">第一部分 </w:t>
      </w:r>
      <w:r>
        <w:rPr>
          <w:rStyle w:val="29"/>
          <w:rFonts w:hint="eastAsia" w:ascii="黑体" w:hAnsi="黑体" w:eastAsia="黑体"/>
          <w:b w:val="0"/>
          <w:bCs w:val="0"/>
        </w:rPr>
        <w:t>部门概况</w:t>
      </w:r>
      <w:bookmarkEnd w:id="12"/>
      <w:bookmarkEnd w:id="13"/>
    </w:p>
    <w:p>
      <w:pPr>
        <w:pStyle w:val="4"/>
        <w:numPr>
          <w:ilvl w:val="0"/>
          <w:numId w:val="0"/>
        </w:numPr>
        <w:ind w:firstLine="640" w:firstLineChars="200"/>
        <w:rPr>
          <w:rFonts w:hint="eastAsia" w:ascii="黑体" w:hAnsi="黑体" w:eastAsia="黑体"/>
          <w:b w:val="0"/>
        </w:rPr>
      </w:pPr>
      <w:r>
        <w:rPr>
          <w:rFonts w:hint="eastAsia" w:ascii="黑体" w:hAnsi="黑体" w:eastAsia="黑体"/>
          <w:b w:val="0"/>
          <w:lang w:eastAsia="zh-CN"/>
        </w:rPr>
        <w:t>一、</w:t>
      </w:r>
      <w:r>
        <w:rPr>
          <w:rFonts w:hint="eastAsia" w:ascii="黑体" w:hAnsi="黑体" w:eastAsia="黑体"/>
          <w:b w:val="0"/>
        </w:rPr>
        <w:t>部门职责</w:t>
      </w:r>
    </w:p>
    <w:p>
      <w:pPr>
        <w:autoSpaceDE w:val="0"/>
        <w:autoSpaceDN w:val="0"/>
        <w:adjustRightInd w:val="0"/>
        <w:ind w:firstLine="640" w:firstLineChars="200"/>
        <w:jc w:val="left"/>
        <w:rPr>
          <w:rFonts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贯彻执行党和国家关于信访工作的方针、政策、法律、法规以及各级党委、政府的决策部署；提出改进和加强信访工作的建议；负责本系统、本部门依法行政工作。</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2.</w:t>
      </w:r>
      <w:r>
        <w:rPr>
          <w:rFonts w:hint="eastAsia" w:ascii="仿宋_GB2312" w:hAnsi="仿宋" w:eastAsia="仿宋_GB2312"/>
          <w:sz w:val="32"/>
          <w:szCs w:val="32"/>
        </w:rPr>
        <w:t>负责向区委、区政府反映来信来电来访中提出的重要建议、意见和问题，综合研判信访信息，开展调查研究，提出制定修改完善有关政策法规的建议。</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3.</w:t>
      </w:r>
      <w:r>
        <w:rPr>
          <w:rFonts w:hint="eastAsia" w:ascii="仿宋_GB2312" w:hAnsi="仿宋" w:eastAsia="仿宋_GB2312"/>
          <w:sz w:val="32"/>
          <w:szCs w:val="32"/>
        </w:rPr>
        <w:t>指导全区信访工作，督促检查镇、街道和区级各部门（单位）的信访工作，并总结推广信访工作经验，牵头完成信访工作宣传和信息发布。</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4.</w:t>
      </w:r>
      <w:r>
        <w:rPr>
          <w:rFonts w:hint="eastAsia" w:ascii="仿宋_GB2312" w:hAnsi="仿宋" w:eastAsia="仿宋_GB2312"/>
          <w:sz w:val="32"/>
          <w:szCs w:val="32"/>
        </w:rPr>
        <w:t>负责处理区内外群众、境外人士、法人及其他组织通过信访渠道给区委、区政府及领导同志涉及本辖区权限内的来信来电，接待来访。</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5.</w:t>
      </w:r>
      <w:r>
        <w:rPr>
          <w:rFonts w:hint="eastAsia" w:ascii="仿宋_GB2312" w:hAnsi="仿宋" w:eastAsia="仿宋_GB2312"/>
          <w:sz w:val="32"/>
          <w:szCs w:val="32"/>
        </w:rPr>
        <w:t>承担处理群众进京赴省到市、区集体上访和非接待场所上访的责任。</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6.</w:t>
      </w:r>
      <w:r>
        <w:rPr>
          <w:rFonts w:hint="eastAsia" w:ascii="仿宋_GB2312" w:hAnsi="仿宋" w:eastAsia="仿宋_GB2312"/>
          <w:sz w:val="32"/>
          <w:szCs w:val="32"/>
        </w:rPr>
        <w:t>承担上级批示交办信访事项，向镇、街道及区级各部门（单位）转办、交办信访事项，督促检查重要信访事项的处理和落实。</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7.</w:t>
      </w:r>
      <w:r>
        <w:rPr>
          <w:rFonts w:hint="eastAsia" w:ascii="仿宋_GB2312" w:hAnsi="仿宋" w:eastAsia="仿宋_GB2312"/>
          <w:sz w:val="32"/>
          <w:szCs w:val="32"/>
        </w:rPr>
        <w:t>制定信访信息汇集分析机制，指导全区信访信息化建设和应用。</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8.</w:t>
      </w:r>
      <w:r>
        <w:rPr>
          <w:rFonts w:hint="eastAsia" w:ascii="仿宋_GB2312" w:hAnsi="仿宋" w:eastAsia="仿宋_GB2312"/>
          <w:sz w:val="32"/>
          <w:szCs w:val="32"/>
        </w:rPr>
        <w:t>承担区信访工作联席会议、区政府信访事项复查复核委员会日常工作，监督落实有关事项。</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9.</w:t>
      </w:r>
      <w:r>
        <w:rPr>
          <w:rFonts w:hint="eastAsia" w:ascii="仿宋_GB2312" w:hAnsi="仿宋" w:eastAsia="仿宋_GB2312"/>
          <w:sz w:val="32"/>
          <w:szCs w:val="32"/>
        </w:rPr>
        <w:t>负责职责范围内的安全生产和职业健康、生态环境保护、审批服务便民化工作。</w:t>
      </w:r>
    </w:p>
    <w:p>
      <w:pPr>
        <w:numPr>
          <w:ilvl w:val="0"/>
          <w:numId w:val="0"/>
        </w:numPr>
        <w:ind w:firstLine="640" w:firstLineChars="200"/>
      </w:pPr>
      <w:r>
        <w:rPr>
          <w:rFonts w:hint="eastAsia" w:ascii="仿宋_GB2312" w:hAnsi="仿宋" w:eastAsia="仿宋_GB2312"/>
          <w:sz w:val="32"/>
          <w:szCs w:val="32"/>
          <w:lang w:val="en-US" w:eastAsia="zh-CN"/>
        </w:rPr>
        <w:t>10.</w:t>
      </w:r>
      <w:r>
        <w:rPr>
          <w:rFonts w:hint="eastAsia" w:ascii="仿宋_GB2312" w:hAnsi="仿宋" w:eastAsia="仿宋_GB2312"/>
          <w:sz w:val="32"/>
          <w:szCs w:val="32"/>
        </w:rPr>
        <w:t>完成区委和区政府交办的其他任务。</w:t>
      </w:r>
    </w:p>
    <w:p>
      <w:pPr>
        <w:pStyle w:val="4"/>
        <w:ind w:firstLine="640" w:firstLineChars="200"/>
        <w:rPr>
          <w:rStyle w:val="30"/>
          <w:b w:val="0"/>
          <w:bCs w:val="0"/>
        </w:rPr>
      </w:pPr>
      <w:bookmarkStart w:id="14" w:name="_Toc15396601"/>
      <w:bookmarkStart w:id="15" w:name="_Toc15377200"/>
      <w:r>
        <w:rPr>
          <w:rFonts w:hint="eastAsia" w:ascii="黑体" w:eastAsia="黑体"/>
          <w:b w:val="0"/>
        </w:rPr>
        <w:t>二、</w:t>
      </w:r>
      <w:r>
        <w:rPr>
          <w:rFonts w:hint="eastAsia" w:ascii="黑体" w:hAnsi="黑体" w:eastAsia="黑体"/>
          <w:b w:val="0"/>
        </w:rPr>
        <w:t>机</w:t>
      </w:r>
      <w:r>
        <w:rPr>
          <w:rStyle w:val="30"/>
          <w:rFonts w:hint="eastAsia" w:ascii="黑体" w:hAnsi="黑体" w:eastAsia="黑体"/>
          <w:b w:val="0"/>
          <w:bCs w:val="0"/>
        </w:rPr>
        <w:t>构设置</w:t>
      </w:r>
      <w:bookmarkEnd w:id="14"/>
      <w:bookmarkEnd w:id="15"/>
    </w:p>
    <w:p>
      <w:pPr>
        <w:ind w:firstLine="640" w:firstLineChars="200"/>
        <w:rPr>
          <w:rFonts w:ascii="仿宋" w:hAnsi="仿宋" w:eastAsia="仿宋"/>
          <w:sz w:val="32"/>
          <w:szCs w:val="32"/>
        </w:rPr>
      </w:pPr>
      <w:r>
        <w:rPr>
          <w:rFonts w:hint="eastAsia" w:ascii="仿宋_GB2312" w:hAnsi="仿宋" w:eastAsia="仿宋_GB2312"/>
          <w:sz w:val="32"/>
          <w:szCs w:val="32"/>
        </w:rPr>
        <w:t>攀枝花市西区信访局</w:t>
      </w:r>
      <w:r>
        <w:rPr>
          <w:rFonts w:hint="eastAsia" w:ascii="仿宋" w:hAnsi="仿宋" w:eastAsia="仿宋"/>
          <w:sz w:val="32"/>
          <w:szCs w:val="32"/>
        </w:rPr>
        <w:t>下属二级预算单位</w:t>
      </w:r>
      <w:r>
        <w:rPr>
          <w:rFonts w:hint="eastAsia" w:eastAsia="仿宋"/>
          <w:sz w:val="32"/>
          <w:szCs w:val="32"/>
          <w:lang w:val="en-US" w:eastAsia="zh-CN"/>
        </w:rPr>
        <w:t>1</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1</w:t>
      </w:r>
      <w:r>
        <w:rPr>
          <w:rFonts w:hint="eastAsia" w:ascii="仿宋" w:hAnsi="仿宋" w:eastAsia="仿宋"/>
          <w:sz w:val="32"/>
          <w:szCs w:val="32"/>
        </w:rPr>
        <w:t>个</w:t>
      </w:r>
      <w:r>
        <w:rPr>
          <w:rFonts w:hint="eastAsia" w:ascii="仿宋" w:hAnsi="仿宋" w:eastAsia="仿宋"/>
          <w:sz w:val="32"/>
          <w:szCs w:val="32"/>
          <w:lang w:eastAsia="zh-CN"/>
        </w:rPr>
        <w:t>（攀枝花市</w:t>
      </w:r>
      <w:r>
        <w:rPr>
          <w:rFonts w:hint="eastAsia" w:ascii="仿宋_GB2312" w:hAnsi="仿宋" w:eastAsia="仿宋_GB2312"/>
          <w:sz w:val="32"/>
          <w:szCs w:val="32"/>
        </w:rPr>
        <w:t>西区群众工作中心</w:t>
      </w:r>
      <w:r>
        <w:rPr>
          <w:rFonts w:hint="eastAsia" w:ascii="仿宋_GB2312" w:hAnsi="仿宋" w:eastAsia="仿宋_GB2312"/>
          <w:sz w:val="32"/>
          <w:szCs w:val="32"/>
          <w:lang w:eastAsia="zh-CN"/>
        </w:rPr>
        <w:t>）</w:t>
      </w:r>
      <w:r>
        <w:rPr>
          <w:rFonts w:hint="eastAsia" w:ascii="仿宋" w:hAnsi="仿宋" w:eastAsia="仿宋"/>
          <w:sz w:val="32"/>
          <w:szCs w:val="32"/>
        </w:rPr>
        <w:t>。</w:t>
      </w:r>
    </w:p>
    <w:p>
      <w:pPr>
        <w:pStyle w:val="2"/>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w:t>
      </w:r>
      <w:r>
        <w:rPr>
          <w:rFonts w:hint="eastAsia" w:ascii="仿宋_GB2312" w:hAnsi="仿宋" w:eastAsia="仿宋_GB2312" w:cs="Times New Roman"/>
          <w:kern w:val="2"/>
          <w:sz w:val="32"/>
          <w:szCs w:val="32"/>
          <w:lang w:val="en-US" w:eastAsia="zh-CN" w:bidi="ar-SA"/>
        </w:rPr>
        <w:t>攀枝花市西区信访局</w:t>
      </w:r>
      <w:r>
        <w:rPr>
          <w:rFonts w:hint="eastAsia" w:ascii="仿宋" w:hAnsi="仿宋" w:eastAsia="仿宋"/>
          <w:sz w:val="32"/>
          <w:szCs w:val="32"/>
        </w:rPr>
        <w:t>2023年度部门决算编制范围的二级预算单位包括：</w:t>
      </w:r>
    </w:p>
    <w:p>
      <w:pPr>
        <w:pStyle w:val="2"/>
        <w:numPr>
          <w:ilvl w:val="0"/>
          <w:numId w:val="0"/>
        </w:numPr>
        <w:adjustRightInd w:val="0"/>
        <w:snapToGrid w:val="0"/>
        <w:spacing w:before="93" w:line="600" w:lineRule="exact"/>
        <w:ind w:left="672" w:leftChars="0"/>
        <w:outlineLvl w:val="2"/>
        <w:rPr>
          <w:rFonts w:ascii="仿宋" w:hAnsi="仿宋" w:eastAsia="仿宋"/>
          <w:sz w:val="32"/>
          <w:szCs w:val="32"/>
        </w:rPr>
      </w:pPr>
      <w:r>
        <w:rPr>
          <w:rFonts w:hint="eastAsia" w:ascii="仿宋" w:hAnsi="仿宋" w:eastAsia="仿宋"/>
          <w:sz w:val="32"/>
          <w:szCs w:val="32"/>
          <w:lang w:eastAsia="zh-CN"/>
        </w:rPr>
        <w:t>无。</w:t>
      </w:r>
    </w:p>
    <w:p>
      <w:pPr>
        <w:pStyle w:val="2"/>
        <w:adjustRightInd w:val="0"/>
        <w:snapToGrid w:val="0"/>
        <w:spacing w:before="93" w:line="600" w:lineRule="exact"/>
        <w:ind w:firstLine="1120" w:firstLineChars="350"/>
        <w:rPr>
          <w:rFonts w:ascii="仿宋" w:hAnsi="仿宋" w:eastAsia="仿宋"/>
          <w:sz w:val="32"/>
          <w:szCs w:val="32"/>
        </w:rPr>
      </w:pP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9"/>
          <w:rFonts w:ascii="黑体" w:hAnsi="黑体" w:eastAsia="黑体"/>
          <w:b w:val="0"/>
          <w:bCs/>
        </w:rPr>
      </w:pPr>
      <w:bookmarkStart w:id="16" w:name="_Toc15396602"/>
      <w:bookmarkStart w:id="17" w:name="_Toc15377204"/>
      <w:r>
        <w:rPr>
          <w:rFonts w:hint="eastAsia" w:ascii="黑体" w:hAnsi="黑体" w:eastAsia="黑体"/>
          <w:b w:val="0"/>
          <w:lang w:val="en-US" w:eastAsia="zh-CN"/>
        </w:rPr>
        <w:t xml:space="preserve"> </w:t>
      </w:r>
      <w:r>
        <w:rPr>
          <w:rFonts w:hint="eastAsia" w:ascii="黑体" w:hAnsi="黑体" w:eastAsia="黑体"/>
          <w:b w:val="0"/>
        </w:rPr>
        <w:t>第二部分 2023年度</w:t>
      </w:r>
      <w:r>
        <w:rPr>
          <w:rStyle w:val="29"/>
          <w:rFonts w:hint="eastAsia" w:ascii="黑体" w:hAnsi="黑体" w:eastAsia="黑体"/>
          <w:b w:val="0"/>
          <w:bCs/>
        </w:rPr>
        <w:t>部门决算情况说明</w:t>
      </w:r>
      <w:bookmarkEnd w:id="16"/>
      <w:bookmarkEnd w:id="17"/>
    </w:p>
    <w:p/>
    <w:p>
      <w:pPr>
        <w:pStyle w:val="28"/>
        <w:numPr>
          <w:ilvl w:val="0"/>
          <w:numId w:val="1"/>
        </w:numPr>
        <w:spacing w:line="600" w:lineRule="exact"/>
        <w:ind w:firstLineChars="0"/>
        <w:outlineLvl w:val="1"/>
        <w:rPr>
          <w:rStyle w:val="30"/>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30"/>
          <w:rFonts w:hint="eastAsia" w:ascii="黑体" w:hAnsi="黑体" w:eastAsia="黑体"/>
          <w:b w:val="0"/>
        </w:rPr>
        <w:t>入支出决算总体情况说明</w:t>
      </w:r>
      <w:bookmarkEnd w:id="18"/>
      <w:bookmarkEnd w:id="19"/>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2023年度收、支总计均为</w:t>
      </w:r>
      <w:r>
        <w:rPr>
          <w:rFonts w:hint="eastAsia"/>
          <w:sz w:val="32"/>
          <w:szCs w:val="32"/>
        </w:rPr>
        <w:t>235.68</w:t>
      </w:r>
      <w:r>
        <w:rPr>
          <w:rFonts w:hint="eastAsia" w:ascii="仿宋" w:hAnsi="仿宋" w:eastAsia="仿宋"/>
          <w:sz w:val="32"/>
          <w:szCs w:val="32"/>
        </w:rPr>
        <w:t>万元</w:t>
      </w:r>
      <w:r>
        <w:rPr>
          <w:rFonts w:hint="eastAsia"/>
          <w:sz w:val="32"/>
          <w:szCs w:val="32"/>
        </w:rPr>
        <w:t>。</w:t>
      </w:r>
      <w:r>
        <w:rPr>
          <w:rFonts w:hint="eastAsia" w:ascii="仿宋" w:hAnsi="仿宋" w:eastAsia="仿宋"/>
          <w:sz w:val="32"/>
          <w:szCs w:val="32"/>
        </w:rPr>
        <w:t>与2022年度相比，收、支总计各增加</w:t>
      </w:r>
      <w:r>
        <w:rPr>
          <w:rFonts w:hint="eastAsia" w:ascii="仿宋" w:hAnsi="仿宋" w:eastAsia="仿宋"/>
          <w:sz w:val="32"/>
          <w:szCs w:val="32"/>
          <w:lang w:val="en-US" w:eastAsia="zh-CN"/>
        </w:rPr>
        <w:t>12.75</w:t>
      </w:r>
      <w:r>
        <w:rPr>
          <w:rFonts w:hint="eastAsia" w:ascii="仿宋" w:hAnsi="仿宋" w:eastAsia="仿宋"/>
          <w:sz w:val="32"/>
          <w:szCs w:val="32"/>
        </w:rPr>
        <w:t>万元，增长</w:t>
      </w:r>
      <w:r>
        <w:rPr>
          <w:rFonts w:hint="eastAsia" w:ascii="仿宋" w:hAnsi="仿宋" w:eastAsia="仿宋"/>
          <w:sz w:val="32"/>
          <w:szCs w:val="32"/>
          <w:lang w:val="en-US" w:eastAsia="zh-CN"/>
        </w:rPr>
        <w:t>5.72</w:t>
      </w:r>
      <w:r>
        <w:rPr>
          <w:rFonts w:ascii="仿宋" w:hAnsi="仿宋" w:eastAsia="仿宋"/>
          <w:sz w:val="32"/>
          <w:szCs w:val="32"/>
        </w:rPr>
        <w:t>%</w:t>
      </w:r>
      <w:r>
        <w:rPr>
          <w:rFonts w:hint="eastAsia" w:ascii="仿宋" w:hAnsi="仿宋" w:eastAsia="仿宋"/>
          <w:sz w:val="32"/>
          <w:szCs w:val="32"/>
        </w:rPr>
        <w:t>。主要变动原因是人员经费</w:t>
      </w:r>
      <w:r>
        <w:rPr>
          <w:rFonts w:hint="eastAsia" w:ascii="仿宋" w:hAnsi="仿宋" w:eastAsia="仿宋"/>
          <w:sz w:val="32"/>
          <w:szCs w:val="32"/>
          <w:lang w:eastAsia="zh-CN"/>
        </w:rPr>
        <w:t>收、支</w:t>
      </w:r>
      <w:r>
        <w:rPr>
          <w:rFonts w:hint="eastAsia" w:ascii="仿宋" w:hAnsi="仿宋" w:eastAsia="仿宋"/>
          <w:sz w:val="32"/>
          <w:szCs w:val="32"/>
        </w:rPr>
        <w:t>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
        <w:rPr>
          <w:rFonts w:ascii="仿宋_GB2312" w:eastAsia="仿宋_GB2312"/>
          <w:sz w:val="32"/>
          <w:szCs w:val="32"/>
        </w:rPr>
      </w:pPr>
      <w:r>
        <w:rPr>
          <w:rFonts w:hint="eastAsia"/>
          <w:lang w:val="en-US" w:eastAsia="zh-CN"/>
        </w:rPr>
        <w:t xml:space="preserve">    </w:t>
      </w:r>
      <w:r>
        <w:drawing>
          <wp:inline distT="0" distB="0" distL="114300" distR="114300">
            <wp:extent cx="4590415" cy="2212975"/>
            <wp:effectExtent l="0" t="0" r="1206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590415" cy="2212975"/>
                    </a:xfrm>
                    <a:prstGeom prst="rect">
                      <a:avLst/>
                    </a:prstGeom>
                    <a:noFill/>
                    <a:ln>
                      <a:noFill/>
                    </a:ln>
                  </pic:spPr>
                </pic:pic>
              </a:graphicData>
            </a:graphic>
          </wp:inline>
        </w:drawing>
      </w:r>
    </w:p>
    <w:p>
      <w:pPr>
        <w:pStyle w:val="28"/>
        <w:numPr>
          <w:ilvl w:val="0"/>
          <w:numId w:val="1"/>
        </w:numPr>
        <w:spacing w:line="600" w:lineRule="exact"/>
        <w:ind w:firstLineChars="0"/>
        <w:outlineLvl w:val="1"/>
        <w:rPr>
          <w:rStyle w:val="30"/>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30"/>
          <w:rFonts w:hint="eastAsia" w:ascii="黑体" w:hAnsi="黑体" w:eastAsia="黑体"/>
          <w:b w:val="0"/>
        </w:rPr>
        <w:t>入决算情况说明</w:t>
      </w:r>
      <w:bookmarkEnd w:id="20"/>
      <w:bookmarkEnd w:id="21"/>
    </w:p>
    <w:p>
      <w:pPr>
        <w:spacing w:line="600" w:lineRule="exact"/>
        <w:ind w:firstLine="640" w:firstLineChars="200"/>
        <w:jc w:val="left"/>
        <w:outlineLvl w:val="1"/>
        <w:rPr>
          <w:rFonts w:ascii="仿宋" w:hAnsi="仿宋" w:eastAsia="仿宋"/>
          <w:sz w:val="32"/>
          <w:szCs w:val="32"/>
        </w:rPr>
      </w:pPr>
      <w:r>
        <w:rPr>
          <w:rFonts w:hint="eastAsia" w:ascii="仿宋" w:hAnsi="仿宋" w:eastAsia="仿宋"/>
          <w:sz w:val="32"/>
          <w:szCs w:val="32"/>
        </w:rPr>
        <w:t>2023年度本年收入合计</w:t>
      </w:r>
      <w:r>
        <w:rPr>
          <w:sz w:val="32"/>
          <w:szCs w:val="32"/>
        </w:rPr>
        <w:t>218.3</w:t>
      </w:r>
      <w:r>
        <w:rPr>
          <w:rFonts w:hint="eastAsia"/>
          <w:sz w:val="32"/>
          <w:szCs w:val="32"/>
          <w:lang w:val="en-US" w:eastAsia="zh-CN"/>
        </w:rPr>
        <w:t>9</w:t>
      </w:r>
      <w:r>
        <w:rPr>
          <w:rFonts w:hint="eastAsia" w:ascii="仿宋" w:hAnsi="仿宋" w:eastAsia="仿宋"/>
          <w:sz w:val="32"/>
          <w:szCs w:val="32"/>
        </w:rPr>
        <w:t>万元，其中：一般公共预算财政拨款收入</w:t>
      </w:r>
      <w:r>
        <w:rPr>
          <w:sz w:val="32"/>
          <w:szCs w:val="32"/>
        </w:rPr>
        <w:t>203.62</w:t>
      </w:r>
      <w:r>
        <w:rPr>
          <w:rFonts w:hint="eastAsia" w:ascii="仿宋" w:hAnsi="仿宋" w:eastAsia="仿宋"/>
          <w:sz w:val="32"/>
          <w:szCs w:val="32"/>
        </w:rPr>
        <w:t>万元，占</w:t>
      </w:r>
      <w:r>
        <w:rPr>
          <w:sz w:val="32"/>
          <w:szCs w:val="32"/>
        </w:rPr>
        <w:t>93</w:t>
      </w:r>
      <w:r>
        <w:rPr>
          <w:rFonts w:hint="eastAsia"/>
          <w:sz w:val="32"/>
          <w:szCs w:val="32"/>
          <w:lang w:val="en-US" w:eastAsia="zh-CN"/>
        </w:rPr>
        <w:t>.24</w:t>
      </w:r>
      <w:r>
        <w:rPr>
          <w:rFonts w:ascii="仿宋" w:hAnsi="仿宋" w:eastAsia="仿宋"/>
          <w:sz w:val="32"/>
          <w:szCs w:val="32"/>
        </w:rPr>
        <w:t>%</w:t>
      </w:r>
      <w:r>
        <w:rPr>
          <w:rFonts w:hint="eastAsia" w:ascii="仿宋" w:hAnsi="仿宋" w:eastAsia="仿宋"/>
          <w:sz w:val="32"/>
          <w:szCs w:val="32"/>
        </w:rPr>
        <w:t>；政府性基金预算财政拨款收入</w:t>
      </w:r>
      <w:r>
        <w:rPr>
          <w:sz w:val="32"/>
          <w:szCs w:val="32"/>
        </w:rPr>
        <w:t>14.76</w:t>
      </w:r>
      <w:r>
        <w:rPr>
          <w:rFonts w:hint="eastAsia" w:ascii="仿宋" w:hAnsi="仿宋" w:eastAsia="仿宋"/>
          <w:sz w:val="32"/>
          <w:szCs w:val="32"/>
        </w:rPr>
        <w:t>万元，占</w:t>
      </w:r>
      <w:r>
        <w:rPr>
          <w:rFonts w:hint="eastAsia" w:eastAsia="仿宋"/>
          <w:sz w:val="32"/>
          <w:szCs w:val="32"/>
          <w:lang w:val="en-US" w:eastAsia="zh-CN"/>
        </w:rPr>
        <w:t>6.76</w:t>
      </w:r>
      <w:r>
        <w:rPr>
          <w:rFonts w:ascii="仿宋" w:hAnsi="仿宋" w:eastAsia="仿宋"/>
          <w:sz w:val="32"/>
          <w:szCs w:val="32"/>
        </w:rPr>
        <w:t>%</w:t>
      </w:r>
      <w:r>
        <w:rPr>
          <w:rFonts w:hint="eastAsia" w:ascii="仿宋" w:hAnsi="仿宋" w:eastAsia="仿宋"/>
          <w:sz w:val="32"/>
          <w:szCs w:val="32"/>
        </w:rPr>
        <w:t>；其他收入</w:t>
      </w:r>
      <w:r>
        <w:rPr>
          <w:sz w:val="32"/>
          <w:szCs w:val="32"/>
        </w:rPr>
        <w:t>0.01</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（图2：收入决算结构图</w:t>
      </w:r>
      <w:r>
        <w:rPr>
          <w:rFonts w:hint="eastAsia" w:ascii="仿宋" w:hAnsi="仿宋" w:eastAsia="仿宋"/>
          <w:sz w:val="32"/>
          <w:szCs w:val="32"/>
          <w:lang w:eastAsia="zh-CN"/>
        </w:rPr>
        <w:t>）</w:t>
      </w:r>
    </w:p>
    <w:p>
      <w:pPr>
        <w:spacing w:line="600" w:lineRule="exact"/>
        <w:ind w:firstLine="640" w:firstLineChars="200"/>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r>
        <w:rPr>
          <w:rFonts w:hint="eastAsia"/>
          <w:lang w:val="en-US" w:eastAsia="zh-CN"/>
        </w:rPr>
        <w:t xml:space="preserve">    </w:t>
      </w:r>
      <w:r>
        <w:drawing>
          <wp:inline distT="0" distB="0" distL="114300" distR="114300">
            <wp:extent cx="4596130" cy="2200910"/>
            <wp:effectExtent l="0" t="0" r="6350" b="889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7"/>
                    <a:stretch>
                      <a:fillRect/>
                    </a:stretch>
                  </pic:blipFill>
                  <pic:spPr>
                    <a:xfrm>
                      <a:off x="0" y="0"/>
                      <a:ext cx="4596130" cy="2200910"/>
                    </a:xfrm>
                    <a:prstGeom prst="rect">
                      <a:avLst/>
                    </a:prstGeom>
                    <a:noFill/>
                    <a:ln>
                      <a:noFill/>
                    </a:ln>
                  </pic:spPr>
                </pic:pic>
              </a:graphicData>
            </a:graphic>
          </wp:inline>
        </w:drawing>
      </w:r>
    </w:p>
    <w:p>
      <w:pPr>
        <w:pStyle w:val="28"/>
        <w:numPr>
          <w:ilvl w:val="0"/>
          <w:numId w:val="1"/>
        </w:numPr>
        <w:spacing w:line="600" w:lineRule="exact"/>
        <w:ind w:firstLineChars="0"/>
        <w:outlineLvl w:val="1"/>
        <w:rPr>
          <w:rStyle w:val="30"/>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30"/>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sz w:val="32"/>
          <w:szCs w:val="32"/>
        </w:rPr>
        <w:t>235.52</w:t>
      </w:r>
      <w:r>
        <w:rPr>
          <w:rFonts w:hint="eastAsia" w:ascii="仿宋" w:hAnsi="仿宋" w:eastAsia="仿宋"/>
          <w:sz w:val="32"/>
          <w:szCs w:val="32"/>
        </w:rPr>
        <w:t>万元，其中：基本支出</w:t>
      </w:r>
      <w:r>
        <w:rPr>
          <w:sz w:val="32"/>
          <w:szCs w:val="32"/>
        </w:rPr>
        <w:t>199.62</w:t>
      </w:r>
      <w:r>
        <w:rPr>
          <w:rFonts w:hint="eastAsia" w:ascii="仿宋" w:hAnsi="仿宋" w:eastAsia="仿宋"/>
          <w:sz w:val="32"/>
          <w:szCs w:val="32"/>
        </w:rPr>
        <w:t>万元，占</w:t>
      </w:r>
      <w:r>
        <w:rPr>
          <w:sz w:val="32"/>
          <w:szCs w:val="32"/>
        </w:rPr>
        <w:t>8</w:t>
      </w:r>
      <w:r>
        <w:rPr>
          <w:rFonts w:hint="eastAsia"/>
          <w:sz w:val="32"/>
          <w:szCs w:val="32"/>
          <w:lang w:val="en-US" w:eastAsia="zh-CN"/>
        </w:rPr>
        <w:t>4.76</w:t>
      </w:r>
      <w:r>
        <w:rPr>
          <w:rFonts w:ascii="仿宋" w:hAnsi="仿宋" w:eastAsia="仿宋"/>
          <w:sz w:val="32"/>
          <w:szCs w:val="32"/>
        </w:rPr>
        <w:t>%</w:t>
      </w:r>
      <w:r>
        <w:rPr>
          <w:rFonts w:hint="eastAsia" w:ascii="仿宋" w:hAnsi="仿宋" w:eastAsia="仿宋"/>
          <w:sz w:val="32"/>
          <w:szCs w:val="32"/>
        </w:rPr>
        <w:t>；项目支出</w:t>
      </w:r>
      <w:r>
        <w:rPr>
          <w:sz w:val="32"/>
          <w:szCs w:val="32"/>
        </w:rPr>
        <w:t>35.9</w:t>
      </w:r>
      <w:r>
        <w:rPr>
          <w:rFonts w:hint="eastAsia"/>
          <w:sz w:val="32"/>
          <w:szCs w:val="32"/>
          <w:lang w:val="en-US" w:eastAsia="zh-CN"/>
        </w:rPr>
        <w:t>0</w:t>
      </w:r>
      <w:r>
        <w:rPr>
          <w:rFonts w:hint="eastAsia" w:ascii="仿宋" w:hAnsi="仿宋" w:eastAsia="仿宋"/>
          <w:sz w:val="32"/>
          <w:szCs w:val="32"/>
        </w:rPr>
        <w:t>万元，占</w:t>
      </w:r>
      <w:r>
        <w:rPr>
          <w:sz w:val="32"/>
          <w:szCs w:val="32"/>
        </w:rPr>
        <w:t>15</w:t>
      </w:r>
      <w:r>
        <w:rPr>
          <w:rFonts w:hint="eastAsia"/>
          <w:sz w:val="32"/>
          <w:szCs w:val="32"/>
          <w:lang w:val="en-US" w:eastAsia="zh-CN"/>
        </w:rPr>
        <w:t>.24</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pPr>
        <w:pStyle w:val="2"/>
        <w:rPr>
          <w:rFonts w:ascii="仿宋_GB2312" w:eastAsia="仿宋_GB2312"/>
          <w:sz w:val="32"/>
          <w:szCs w:val="32"/>
        </w:rPr>
      </w:pPr>
      <w:r>
        <w:rPr>
          <w:rFonts w:hint="eastAsia"/>
          <w:lang w:val="en-US" w:eastAsia="zh-CN"/>
        </w:rPr>
        <w:t xml:space="preserve">    </w:t>
      </w:r>
      <w:r>
        <w:drawing>
          <wp:inline distT="0" distB="0" distL="114300" distR="114300">
            <wp:extent cx="4596130" cy="2237105"/>
            <wp:effectExtent l="0" t="0" r="6350" b="317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8"/>
                    <a:stretch>
                      <a:fillRect/>
                    </a:stretch>
                  </pic:blipFill>
                  <pic:spPr>
                    <a:xfrm>
                      <a:off x="0" y="0"/>
                      <a:ext cx="4596130" cy="2237105"/>
                    </a:xfrm>
                    <a:prstGeom prst="rect">
                      <a:avLst/>
                    </a:prstGeom>
                    <a:noFill/>
                    <a:ln>
                      <a:noFill/>
                    </a:ln>
                  </pic:spPr>
                </pic:pic>
              </a:graphicData>
            </a:graphic>
          </wp:inline>
        </w:drawing>
      </w:r>
    </w:p>
    <w:p>
      <w:pPr>
        <w:spacing w:line="600" w:lineRule="exact"/>
        <w:ind w:firstLine="640" w:firstLineChars="200"/>
        <w:outlineLvl w:val="1"/>
        <w:rPr>
          <w:rStyle w:val="30"/>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24"/>
      <w:bookmarkEnd w:id="25"/>
    </w:p>
    <w:p>
      <w:pPr>
        <w:spacing w:line="600" w:lineRule="exact"/>
        <w:ind w:firstLine="640"/>
        <w:rPr>
          <w:rFonts w:hint="eastAsia" w:ascii="仿宋" w:hAnsi="仿宋" w:eastAsia="仿宋"/>
          <w:sz w:val="32"/>
          <w:szCs w:val="32"/>
          <w:lang w:eastAsia="zh-CN"/>
        </w:rPr>
      </w:pPr>
      <w:r>
        <w:rPr>
          <w:rFonts w:hint="eastAsia" w:ascii="仿宋" w:hAnsi="仿宋" w:eastAsia="仿宋"/>
          <w:sz w:val="32"/>
          <w:szCs w:val="32"/>
        </w:rPr>
        <w:t>2023年度财政拨款收、支总计均为</w:t>
      </w:r>
      <w:r>
        <w:rPr>
          <w:sz w:val="32"/>
          <w:szCs w:val="32"/>
        </w:rPr>
        <w:t>235.64</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12.74</w:t>
      </w:r>
      <w:r>
        <w:rPr>
          <w:rFonts w:hint="eastAsia" w:ascii="仿宋" w:hAnsi="仿宋" w:eastAsia="仿宋"/>
          <w:sz w:val="32"/>
          <w:szCs w:val="32"/>
        </w:rPr>
        <w:t>万元，增长</w:t>
      </w:r>
      <w:r>
        <w:rPr>
          <w:rFonts w:hint="eastAsia" w:ascii="仿宋" w:hAnsi="仿宋" w:eastAsia="仿宋"/>
          <w:sz w:val="32"/>
          <w:szCs w:val="32"/>
          <w:lang w:val="en-US" w:eastAsia="zh-CN"/>
        </w:rPr>
        <w:t>5.72</w:t>
      </w:r>
      <w:r>
        <w:rPr>
          <w:rFonts w:ascii="仿宋" w:hAnsi="仿宋" w:eastAsia="仿宋"/>
          <w:sz w:val="32"/>
          <w:szCs w:val="32"/>
        </w:rPr>
        <w:t>%</w:t>
      </w:r>
      <w:r>
        <w:rPr>
          <w:rFonts w:hint="eastAsia" w:ascii="仿宋" w:hAnsi="仿宋" w:eastAsia="仿宋"/>
          <w:sz w:val="32"/>
          <w:szCs w:val="32"/>
        </w:rPr>
        <w:t>。主要变动原因是人员经费</w:t>
      </w:r>
      <w:r>
        <w:rPr>
          <w:rFonts w:hint="eastAsia" w:ascii="仿宋" w:hAnsi="仿宋" w:eastAsia="仿宋"/>
          <w:sz w:val="32"/>
          <w:szCs w:val="32"/>
          <w:lang w:eastAsia="zh-CN"/>
        </w:rPr>
        <w:t>收、支</w:t>
      </w:r>
      <w:r>
        <w:rPr>
          <w:rFonts w:hint="eastAsia" w:ascii="仿宋" w:hAnsi="仿宋" w:eastAsia="仿宋"/>
          <w:sz w:val="32"/>
          <w:szCs w:val="32"/>
        </w:rPr>
        <w:t>增加</w:t>
      </w:r>
      <w:r>
        <w:rPr>
          <w:rFonts w:hint="eastAsia" w:ascii="仿宋" w:hAnsi="仿宋" w:eastAsia="仿宋"/>
          <w:sz w:val="32"/>
          <w:szCs w:val="32"/>
          <w:lang w:eastAsia="zh-CN"/>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（图4：财政拨款收、支决算总计变动情况）</w:t>
      </w:r>
    </w:p>
    <w:p>
      <w:pPr>
        <w:pStyle w:val="2"/>
        <w:rPr>
          <w:rFonts w:hint="eastAsia" w:ascii="仿宋" w:hAnsi="仿宋" w:eastAsia="仿宋"/>
          <w:sz w:val="32"/>
          <w:szCs w:val="32"/>
        </w:rPr>
      </w:pPr>
    </w:p>
    <w:p>
      <w:pPr>
        <w:pStyle w:val="2"/>
        <w:rPr>
          <w:rFonts w:hint="eastAsia" w:ascii="仿宋" w:hAnsi="仿宋" w:eastAsia="仿宋"/>
          <w:sz w:val="32"/>
          <w:szCs w:val="32"/>
        </w:rPr>
      </w:pPr>
      <w:r>
        <w:rPr>
          <w:rFonts w:hint="eastAsia"/>
          <w:lang w:val="en-US" w:eastAsia="zh-CN"/>
        </w:rPr>
        <w:t xml:space="preserve">    </w:t>
      </w:r>
      <w:r>
        <w:drawing>
          <wp:inline distT="0" distB="0" distL="114300" distR="114300">
            <wp:extent cx="4596130" cy="221869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4596130" cy="2218690"/>
                    </a:xfrm>
                    <a:prstGeom prst="rect">
                      <a:avLst/>
                    </a:prstGeom>
                    <a:noFill/>
                    <a:ln>
                      <a:noFill/>
                    </a:ln>
                  </pic:spPr>
                </pic:pic>
              </a:graphicData>
            </a:graphic>
          </wp:inline>
        </w:drawing>
      </w:r>
    </w:p>
    <w:p>
      <w:pPr>
        <w:spacing w:line="600" w:lineRule="exact"/>
        <w:ind w:firstLine="640" w:firstLineChars="200"/>
        <w:outlineLvl w:val="1"/>
        <w:rPr>
          <w:rStyle w:val="30"/>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2023年度一般公共预算财政拨款支出</w:t>
      </w:r>
      <w:r>
        <w:rPr>
          <w:sz w:val="32"/>
          <w:szCs w:val="32"/>
        </w:rPr>
        <w:t>214.96</w:t>
      </w:r>
      <w:r>
        <w:rPr>
          <w:rFonts w:hint="eastAsia" w:ascii="仿宋" w:hAnsi="仿宋" w:eastAsia="仿宋"/>
          <w:sz w:val="32"/>
          <w:szCs w:val="32"/>
        </w:rPr>
        <w:t>万元，占本年支出合计的</w:t>
      </w:r>
      <w:r>
        <w:rPr>
          <w:sz w:val="32"/>
          <w:szCs w:val="32"/>
        </w:rPr>
        <w:t>91.27</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1.97</w:t>
      </w:r>
      <w:r>
        <w:rPr>
          <w:rFonts w:hint="eastAsia" w:ascii="仿宋" w:hAnsi="仿宋" w:eastAsia="仿宋"/>
          <w:sz w:val="32"/>
          <w:szCs w:val="32"/>
        </w:rPr>
        <w:t>万元，增长</w:t>
      </w:r>
      <w:r>
        <w:rPr>
          <w:rFonts w:hint="eastAsia" w:ascii="仿宋" w:hAnsi="仿宋" w:eastAsia="仿宋"/>
          <w:sz w:val="32"/>
          <w:szCs w:val="32"/>
          <w:lang w:val="en-US" w:eastAsia="zh-CN"/>
        </w:rPr>
        <w:t>0.92</w:t>
      </w:r>
      <w:r>
        <w:rPr>
          <w:rFonts w:ascii="仿宋" w:hAnsi="仿宋" w:eastAsia="仿宋"/>
          <w:sz w:val="32"/>
          <w:szCs w:val="32"/>
        </w:rPr>
        <w:t>%</w:t>
      </w:r>
      <w:r>
        <w:rPr>
          <w:rFonts w:hint="eastAsia" w:ascii="仿宋" w:hAnsi="仿宋" w:eastAsia="仿宋"/>
          <w:sz w:val="32"/>
          <w:szCs w:val="32"/>
        </w:rPr>
        <w:t>。主要变动原因是人员经费</w:t>
      </w:r>
      <w:r>
        <w:rPr>
          <w:rFonts w:hint="eastAsia" w:ascii="仿宋" w:hAnsi="仿宋" w:eastAsia="仿宋"/>
          <w:sz w:val="32"/>
          <w:szCs w:val="32"/>
          <w:lang w:eastAsia="zh-CN"/>
        </w:rPr>
        <w:t>支出</w:t>
      </w:r>
      <w:r>
        <w:rPr>
          <w:rFonts w:hint="eastAsia" w:ascii="仿宋" w:hAnsi="仿宋" w:eastAsia="仿宋"/>
          <w:sz w:val="32"/>
          <w:szCs w:val="32"/>
        </w:rPr>
        <w:t>增加</w:t>
      </w:r>
      <w:r>
        <w:rPr>
          <w:rFonts w:hint="eastAsia" w:ascii="仿宋" w:hAnsi="仿宋" w:eastAsia="仿宋"/>
          <w:sz w:val="32"/>
          <w:szCs w:val="32"/>
          <w:lang w:eastAsia="zh-CN"/>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pStyle w:val="2"/>
        <w:rPr>
          <w:rFonts w:ascii="仿宋" w:hAnsi="仿宋" w:eastAsia="仿宋"/>
          <w:sz w:val="32"/>
          <w:szCs w:val="32"/>
        </w:rPr>
      </w:pPr>
      <w:r>
        <w:rPr>
          <w:rFonts w:hint="eastAsia"/>
          <w:lang w:val="en-US" w:eastAsia="zh-CN"/>
        </w:rPr>
        <w:t xml:space="preserve">    </w:t>
      </w:r>
      <w:r>
        <w:drawing>
          <wp:inline distT="0" distB="0" distL="114300" distR="114300">
            <wp:extent cx="4596130" cy="221869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4596130" cy="2218690"/>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sz w:val="32"/>
          <w:szCs w:val="32"/>
        </w:rPr>
        <w:t>214.96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163.68</w:t>
      </w:r>
      <w:r>
        <w:rPr>
          <w:rFonts w:hint="eastAsia" w:ascii="仿宋" w:hAnsi="仿宋" w:eastAsia="仿宋"/>
          <w:sz w:val="32"/>
          <w:szCs w:val="32"/>
        </w:rPr>
        <w:t>万元，占</w:t>
      </w:r>
      <w:r>
        <w:rPr>
          <w:rFonts w:hint="eastAsia" w:ascii="仿宋" w:hAnsi="仿宋" w:eastAsia="仿宋"/>
          <w:sz w:val="32"/>
          <w:szCs w:val="32"/>
          <w:lang w:val="en-US" w:eastAsia="zh-CN"/>
        </w:rPr>
        <w:t>76.14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21.86</w:t>
      </w:r>
      <w:r>
        <w:rPr>
          <w:rFonts w:hint="eastAsia" w:ascii="仿宋" w:hAnsi="仿宋" w:eastAsia="仿宋"/>
          <w:sz w:val="32"/>
          <w:szCs w:val="32"/>
        </w:rPr>
        <w:t>万元，占</w:t>
      </w:r>
      <w:r>
        <w:rPr>
          <w:rFonts w:hint="eastAsia" w:ascii="仿宋" w:hAnsi="仿宋" w:eastAsia="仿宋"/>
          <w:sz w:val="32"/>
          <w:szCs w:val="32"/>
          <w:lang w:val="en-US" w:eastAsia="zh-CN"/>
        </w:rPr>
        <w:t>10.17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17.07</w:t>
      </w:r>
      <w:r>
        <w:rPr>
          <w:rFonts w:hint="eastAsia" w:ascii="仿宋" w:hAnsi="仿宋" w:eastAsia="仿宋"/>
          <w:sz w:val="32"/>
          <w:szCs w:val="32"/>
        </w:rPr>
        <w:t>万元，占</w:t>
      </w:r>
      <w:r>
        <w:rPr>
          <w:rFonts w:hint="eastAsia" w:ascii="仿宋" w:hAnsi="仿宋" w:eastAsia="仿宋"/>
          <w:sz w:val="32"/>
          <w:szCs w:val="32"/>
          <w:lang w:val="en-US" w:eastAsia="zh-CN"/>
        </w:rPr>
        <w:t>7.94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12.35</w:t>
      </w:r>
      <w:r>
        <w:rPr>
          <w:rFonts w:hint="eastAsia" w:ascii="仿宋" w:hAnsi="仿宋" w:eastAsia="仿宋"/>
          <w:sz w:val="32"/>
          <w:szCs w:val="32"/>
        </w:rPr>
        <w:t>万元，占</w:t>
      </w:r>
      <w:r>
        <w:rPr>
          <w:rFonts w:hint="eastAsia" w:ascii="仿宋" w:hAnsi="仿宋" w:eastAsia="仿宋"/>
          <w:sz w:val="32"/>
          <w:szCs w:val="32"/>
          <w:lang w:val="en-US" w:eastAsia="zh-CN"/>
        </w:rPr>
        <w:t>5.75</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pStyle w:val="2"/>
        <w:rPr>
          <w:rFonts w:ascii="仿宋" w:hAnsi="仿宋" w:eastAsia="仿宋"/>
          <w:sz w:val="32"/>
          <w:szCs w:val="32"/>
        </w:rPr>
      </w:pPr>
      <w:r>
        <w:rPr>
          <w:rFonts w:hint="eastAsia"/>
          <w:lang w:val="en-US" w:eastAsia="zh-CN"/>
        </w:rPr>
        <w:t xml:space="preserve">    </w:t>
      </w:r>
      <w:r>
        <w:drawing>
          <wp:inline distT="0" distB="0" distL="114300" distR="114300">
            <wp:extent cx="4590415" cy="2225040"/>
            <wp:effectExtent l="0" t="0" r="12065"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4590415" cy="2225040"/>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8460"/>
      <w:bookmarkStart w:id="32" w:name="_Toc15377444"/>
      <w:bookmarkStart w:id="33" w:name="_Toc15377213"/>
      <w:r>
        <w:rPr>
          <w:rFonts w:hint="eastAsia" w:ascii="仿宋" w:hAnsi="仿宋" w:eastAsia="仿宋"/>
          <w:b/>
          <w:sz w:val="32"/>
          <w:szCs w:val="32"/>
        </w:rPr>
        <w:t>2023年度一般公共预算支出决算数为</w:t>
      </w:r>
      <w:r>
        <w:rPr>
          <w:sz w:val="32"/>
          <w:szCs w:val="32"/>
        </w:rPr>
        <w:t>214.96</w:t>
      </w:r>
      <w:r>
        <w:rPr>
          <w:rFonts w:hint="eastAsia"/>
          <w:sz w:val="32"/>
          <w:szCs w:val="32"/>
          <w:lang w:eastAsia="zh-CN"/>
        </w:rPr>
        <w:t>万元</w:t>
      </w:r>
      <w:r>
        <w:rPr>
          <w:rFonts w:hint="eastAsia" w:ascii="仿宋" w:hAnsi="仿宋" w:eastAsia="仿宋"/>
          <w:sz w:val="32"/>
          <w:szCs w:val="32"/>
        </w:rPr>
        <w:t>，</w:t>
      </w:r>
      <w:r>
        <w:rPr>
          <w:rStyle w:val="18"/>
          <w:rFonts w:hint="eastAsia" w:ascii="仿宋" w:hAnsi="仿宋" w:eastAsia="仿宋"/>
          <w:bCs/>
          <w:sz w:val="32"/>
          <w:szCs w:val="32"/>
        </w:rPr>
        <w:t>完成预算</w:t>
      </w:r>
      <w:r>
        <w:rPr>
          <w:rStyle w:val="18"/>
          <w:rFonts w:hint="eastAsia" w:ascii="仿宋" w:hAnsi="仿宋" w:eastAsia="仿宋"/>
          <w:bCs/>
          <w:sz w:val="32"/>
          <w:szCs w:val="32"/>
          <w:lang w:val="en-US" w:eastAsia="zh-CN"/>
        </w:rPr>
        <w:t>100</w:t>
      </w:r>
      <w:r>
        <w:rPr>
          <w:rStyle w:val="18"/>
          <w:rFonts w:ascii="仿宋" w:hAnsi="仿宋" w:eastAsia="仿宋"/>
          <w:bCs/>
          <w:sz w:val="32"/>
          <w:szCs w:val="32"/>
        </w:rPr>
        <w:t>%</w:t>
      </w:r>
      <w:r>
        <w:rPr>
          <w:rStyle w:val="18"/>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color w:val="000000"/>
          <w:sz w:val="32"/>
          <w:szCs w:val="32"/>
        </w:rPr>
      </w:pPr>
      <w:bookmarkStart w:id="34" w:name="_Toc15377214"/>
      <w:bookmarkStart w:id="35" w:name="_Toc15396608"/>
      <w:r>
        <w:rPr>
          <w:rStyle w:val="18"/>
          <w:rFonts w:hint="eastAsia" w:ascii="仿宋" w:hAnsi="仿宋" w:eastAsia="仿宋"/>
          <w:bCs/>
          <w:sz w:val="32"/>
          <w:szCs w:val="32"/>
          <w:lang w:val="en-US" w:eastAsia="zh-CN"/>
        </w:rPr>
        <w:t>1.</w:t>
      </w:r>
      <w:r>
        <w:rPr>
          <w:rStyle w:val="18"/>
          <w:rFonts w:hint="eastAsia" w:ascii="仿宋" w:hAnsi="仿宋" w:eastAsia="仿宋"/>
          <w:bCs/>
          <w:sz w:val="32"/>
          <w:szCs w:val="32"/>
        </w:rPr>
        <w:t>一般公共服务（类））</w:t>
      </w:r>
      <w:r>
        <w:rPr>
          <w:rStyle w:val="18"/>
          <w:rFonts w:hint="eastAsia" w:ascii="仿宋" w:hAnsi="仿宋" w:eastAsia="仿宋"/>
          <w:bCs/>
          <w:color w:val="000000"/>
          <w:sz w:val="32"/>
          <w:szCs w:val="32"/>
        </w:rPr>
        <w:t>政府办公厅（室）及相关机构事务（款）行政运行（项）</w:t>
      </w:r>
      <w:r>
        <w:rPr>
          <w:rStyle w:val="18"/>
          <w:rFonts w:ascii="仿宋" w:hAnsi="仿宋" w:eastAsia="仿宋"/>
          <w:bCs/>
          <w:color w:val="000000"/>
          <w:sz w:val="32"/>
          <w:szCs w:val="32"/>
        </w:rPr>
        <w:t>:</w:t>
      </w:r>
      <w:r>
        <w:rPr>
          <w:rStyle w:val="18"/>
          <w:rFonts w:ascii="仿宋" w:hAnsi="仿宋" w:eastAsia="仿宋"/>
          <w:b w:val="0"/>
          <w:bCs/>
          <w:color w:val="000000"/>
          <w:sz w:val="32"/>
          <w:szCs w:val="32"/>
        </w:rPr>
        <w:t xml:space="preserve"> </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71.27</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r>
        <w:rPr>
          <w:rStyle w:val="18"/>
          <w:rFonts w:hint="eastAsia" w:ascii="仿宋" w:hAnsi="仿宋" w:eastAsia="仿宋"/>
          <w:b/>
          <w:bCs w:val="0"/>
          <w:color w:val="000000"/>
          <w:sz w:val="32"/>
          <w:szCs w:val="32"/>
        </w:rPr>
        <w:t>信访事务</w:t>
      </w:r>
      <w:r>
        <w:rPr>
          <w:rStyle w:val="18"/>
          <w:rFonts w:hint="eastAsia" w:ascii="仿宋" w:hAnsi="仿宋" w:eastAsia="仿宋"/>
          <w:b/>
          <w:bCs w:val="0"/>
          <w:color w:val="000000"/>
          <w:sz w:val="32"/>
          <w:szCs w:val="32"/>
          <w:lang w:eastAsia="zh-CN"/>
        </w:rPr>
        <w:t>（</w:t>
      </w:r>
      <w:r>
        <w:rPr>
          <w:rStyle w:val="18"/>
          <w:rFonts w:hint="eastAsia" w:ascii="仿宋" w:hAnsi="仿宋" w:eastAsia="仿宋"/>
          <w:bCs/>
          <w:color w:val="000000"/>
          <w:sz w:val="32"/>
          <w:szCs w:val="32"/>
        </w:rPr>
        <w:t>项）</w:t>
      </w:r>
      <w:r>
        <w:rPr>
          <w:rStyle w:val="18"/>
          <w:rFonts w:ascii="仿宋" w:hAnsi="仿宋" w:eastAsia="仿宋"/>
          <w:bCs/>
          <w:color w:val="000000"/>
          <w:sz w:val="32"/>
          <w:szCs w:val="32"/>
        </w:rPr>
        <w:t>:</w:t>
      </w:r>
      <w:r>
        <w:rPr>
          <w:rStyle w:val="18"/>
          <w:rFonts w:ascii="仿宋" w:hAnsi="仿宋" w:eastAsia="仿宋"/>
          <w:b w:val="0"/>
          <w:bCs/>
          <w:color w:val="000000"/>
          <w:sz w:val="32"/>
          <w:szCs w:val="32"/>
        </w:rPr>
        <w:t xml:space="preserve"> </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15.34</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r>
        <w:rPr>
          <w:rStyle w:val="18"/>
          <w:rFonts w:hint="eastAsia" w:ascii="仿宋" w:hAnsi="仿宋" w:eastAsia="仿宋"/>
          <w:b/>
          <w:bCs w:val="0"/>
          <w:color w:val="000000"/>
          <w:sz w:val="32"/>
          <w:szCs w:val="32"/>
        </w:rPr>
        <w:t>事业运行</w:t>
      </w:r>
      <w:r>
        <w:rPr>
          <w:rStyle w:val="18"/>
          <w:rFonts w:hint="eastAsia" w:ascii="仿宋" w:hAnsi="仿宋" w:eastAsia="仿宋"/>
          <w:b/>
          <w:bCs w:val="0"/>
          <w:color w:val="000000"/>
          <w:sz w:val="32"/>
          <w:szCs w:val="32"/>
          <w:lang w:eastAsia="zh-CN"/>
        </w:rPr>
        <w:t>（</w:t>
      </w:r>
      <w:r>
        <w:rPr>
          <w:rStyle w:val="18"/>
          <w:rFonts w:hint="eastAsia" w:ascii="仿宋" w:hAnsi="仿宋" w:eastAsia="仿宋"/>
          <w:bCs/>
          <w:color w:val="000000"/>
          <w:sz w:val="32"/>
          <w:szCs w:val="32"/>
        </w:rPr>
        <w:t>项）</w:t>
      </w:r>
      <w:r>
        <w:rPr>
          <w:rStyle w:val="18"/>
          <w:rFonts w:ascii="仿宋" w:hAnsi="仿宋" w:eastAsia="仿宋"/>
          <w:bCs/>
          <w:color w:val="000000"/>
          <w:sz w:val="32"/>
          <w:szCs w:val="32"/>
        </w:rPr>
        <w:t>:</w:t>
      </w:r>
      <w:r>
        <w:rPr>
          <w:rStyle w:val="18"/>
          <w:rFonts w:ascii="仿宋" w:hAnsi="仿宋" w:eastAsia="仿宋"/>
          <w:b w:val="0"/>
          <w:bCs/>
          <w:color w:val="000000"/>
          <w:sz w:val="32"/>
          <w:szCs w:val="32"/>
        </w:rPr>
        <w:t xml:space="preserve"> </w:t>
      </w:r>
      <w:r>
        <w:rPr>
          <w:rStyle w:val="18"/>
          <w:rFonts w:hint="eastAsia" w:ascii="仿宋" w:hAnsi="仿宋" w:eastAsia="仿宋"/>
          <w:b w:val="0"/>
          <w:bCs/>
          <w:color w:val="000000"/>
          <w:sz w:val="32"/>
          <w:szCs w:val="32"/>
        </w:rPr>
        <w:t>支出决算</w:t>
      </w:r>
      <w:r>
        <w:rPr>
          <w:rStyle w:val="18"/>
          <w:rFonts w:hint="eastAsia" w:ascii="仿宋" w:hAnsi="仿宋" w:eastAsia="仿宋"/>
          <w:b w:val="0"/>
          <w:bCs/>
          <w:color w:val="000000"/>
          <w:sz w:val="32"/>
          <w:szCs w:val="32"/>
          <w:lang w:val="en-US" w:eastAsia="zh-CN"/>
        </w:rPr>
        <w:t>77.07</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p>
    <w:p>
      <w:pPr>
        <w:spacing w:line="600" w:lineRule="exact"/>
        <w:ind w:firstLine="643" w:firstLineChars="200"/>
        <w:rPr>
          <w:rStyle w:val="18"/>
          <w:rFonts w:hint="eastAsia" w:ascii="仿宋_GB2312" w:hAnsi="仿宋" w:eastAsia="仿宋_GB2312"/>
          <w:b w:val="0"/>
          <w:bCs w:val="0"/>
          <w:color w:val="000000"/>
          <w:sz w:val="32"/>
          <w:szCs w:val="32"/>
          <w:lang w:eastAsia="zh-CN"/>
        </w:rPr>
      </w:pPr>
      <w:r>
        <w:rPr>
          <w:rStyle w:val="18"/>
          <w:rFonts w:hint="eastAsia" w:ascii="仿宋_GB2312" w:hAnsi="仿宋" w:eastAsia="仿宋_GB2312"/>
          <w:bCs/>
          <w:color w:val="000000"/>
          <w:sz w:val="32"/>
          <w:szCs w:val="32"/>
        </w:rPr>
        <w:t xml:space="preserve">2.社会保障和就业支出（类）行政事业单位养老支出（款）行政单位离退休（项）: </w:t>
      </w:r>
      <w:r>
        <w:rPr>
          <w:rStyle w:val="18"/>
          <w:rFonts w:hint="eastAsia" w:ascii="仿宋_GB2312" w:hAnsi="仿宋" w:eastAsia="仿宋_GB2312"/>
          <w:b w:val="0"/>
          <w:bCs w:val="0"/>
          <w:color w:val="000000"/>
          <w:sz w:val="32"/>
          <w:szCs w:val="32"/>
        </w:rPr>
        <w:t>支出决算为</w:t>
      </w:r>
      <w:r>
        <w:rPr>
          <w:rStyle w:val="18"/>
          <w:rFonts w:hint="eastAsia" w:ascii="仿宋_GB2312" w:hAnsi="仿宋" w:eastAsia="仿宋_GB2312"/>
          <w:b w:val="0"/>
          <w:bCs w:val="0"/>
          <w:color w:val="000000"/>
          <w:sz w:val="32"/>
          <w:szCs w:val="32"/>
          <w:lang w:val="en-US" w:eastAsia="zh-CN"/>
        </w:rPr>
        <w:t>5.08</w:t>
      </w:r>
      <w:r>
        <w:rPr>
          <w:rStyle w:val="18"/>
          <w:rFonts w:hint="eastAsia" w:ascii="仿宋_GB2312" w:hAnsi="仿宋" w:eastAsia="仿宋_GB2312"/>
          <w:b w:val="0"/>
          <w:bCs w:val="0"/>
          <w:color w:val="000000"/>
          <w:sz w:val="32"/>
          <w:szCs w:val="32"/>
        </w:rPr>
        <w:t>万元，完成预算100%；</w:t>
      </w:r>
      <w:r>
        <w:rPr>
          <w:rStyle w:val="18"/>
          <w:rFonts w:hint="eastAsia" w:ascii="仿宋_GB2312" w:hAnsi="仿宋" w:eastAsia="仿宋_GB2312"/>
          <w:bCs/>
          <w:color w:val="000000"/>
          <w:sz w:val="32"/>
          <w:szCs w:val="32"/>
        </w:rPr>
        <w:t xml:space="preserve">机关事业单位基本养老保险缴费支出（项）: </w:t>
      </w:r>
      <w:r>
        <w:rPr>
          <w:rStyle w:val="18"/>
          <w:rFonts w:hint="eastAsia" w:ascii="仿宋_GB2312" w:hAnsi="仿宋" w:eastAsia="仿宋_GB2312"/>
          <w:b w:val="0"/>
          <w:bCs w:val="0"/>
          <w:color w:val="000000"/>
          <w:sz w:val="32"/>
          <w:szCs w:val="32"/>
        </w:rPr>
        <w:t>支出决算为</w:t>
      </w:r>
      <w:r>
        <w:rPr>
          <w:rStyle w:val="18"/>
          <w:rFonts w:hint="eastAsia" w:ascii="仿宋_GB2312" w:hAnsi="仿宋" w:eastAsia="仿宋_GB2312"/>
          <w:b w:val="0"/>
          <w:bCs w:val="0"/>
          <w:color w:val="000000"/>
          <w:sz w:val="32"/>
          <w:szCs w:val="32"/>
          <w:lang w:val="en-US" w:eastAsia="zh-CN"/>
        </w:rPr>
        <w:t>16.7</w:t>
      </w:r>
      <w:r>
        <w:rPr>
          <w:rStyle w:val="18"/>
          <w:rFonts w:hint="eastAsia" w:ascii="仿宋_GB2312" w:hAnsi="仿宋" w:eastAsia="仿宋_GB2312"/>
          <w:b w:val="0"/>
          <w:bCs w:val="0"/>
          <w:color w:val="000000"/>
          <w:sz w:val="32"/>
          <w:szCs w:val="32"/>
        </w:rPr>
        <w:t>8万元，完成预算100%</w:t>
      </w:r>
      <w:r>
        <w:rPr>
          <w:rStyle w:val="18"/>
          <w:rFonts w:hint="eastAsia" w:ascii="仿宋_GB2312" w:hAnsi="仿宋" w:eastAsia="仿宋_GB2312"/>
          <w:b w:val="0"/>
          <w:bCs w:val="0"/>
          <w:color w:val="000000"/>
          <w:sz w:val="32"/>
          <w:szCs w:val="32"/>
          <w:lang w:eastAsia="zh-CN"/>
        </w:rPr>
        <w:t>。</w:t>
      </w:r>
    </w:p>
    <w:p>
      <w:pPr>
        <w:spacing w:line="600" w:lineRule="exact"/>
        <w:ind w:firstLine="643" w:firstLineChars="200"/>
        <w:rPr>
          <w:rStyle w:val="18"/>
          <w:rFonts w:hint="eastAsia" w:ascii="仿宋_GB2312" w:hAnsi="仿宋" w:eastAsia="仿宋_GB2312"/>
          <w:bCs/>
          <w:color w:val="000000"/>
          <w:sz w:val="32"/>
          <w:szCs w:val="32"/>
          <w:lang w:eastAsia="zh-CN"/>
        </w:rPr>
      </w:pPr>
      <w:r>
        <w:rPr>
          <w:rStyle w:val="18"/>
          <w:rFonts w:hint="eastAsia" w:ascii="仿宋_GB2312" w:hAnsi="仿宋" w:eastAsia="仿宋_GB2312"/>
          <w:bCs/>
          <w:color w:val="000000"/>
          <w:sz w:val="32"/>
          <w:szCs w:val="32"/>
        </w:rPr>
        <w:t>3.</w:t>
      </w:r>
      <w:r>
        <w:rPr>
          <w:rFonts w:hint="eastAsia" w:ascii="仿宋_GB2312" w:hAnsi="仿宋" w:eastAsia="仿宋_GB2312"/>
          <w:b/>
          <w:bCs/>
          <w:color w:val="000000"/>
          <w:sz w:val="32"/>
          <w:szCs w:val="32"/>
        </w:rPr>
        <w:t>卫生健康支出</w:t>
      </w:r>
      <w:r>
        <w:rPr>
          <w:rStyle w:val="18"/>
          <w:rFonts w:hint="eastAsia" w:ascii="仿宋_GB2312" w:hAnsi="仿宋" w:eastAsia="仿宋_GB2312"/>
          <w:bCs/>
          <w:color w:val="000000"/>
          <w:sz w:val="32"/>
          <w:szCs w:val="32"/>
        </w:rPr>
        <w:t>（类）行政事业单位医疗（款）行政单位医疗（项）:</w:t>
      </w:r>
      <w:r>
        <w:rPr>
          <w:rStyle w:val="18"/>
          <w:rFonts w:hint="eastAsia" w:ascii="仿宋_GB2312" w:hAnsi="仿宋" w:eastAsia="仿宋_GB2312"/>
          <w:b w:val="0"/>
          <w:bCs w:val="0"/>
          <w:color w:val="000000"/>
          <w:sz w:val="32"/>
          <w:szCs w:val="32"/>
        </w:rPr>
        <w:t>支出决算为</w:t>
      </w:r>
      <w:r>
        <w:rPr>
          <w:rStyle w:val="18"/>
          <w:rFonts w:hint="eastAsia" w:ascii="仿宋_GB2312" w:hAnsi="仿宋" w:eastAsia="仿宋_GB2312"/>
          <w:b w:val="0"/>
          <w:bCs w:val="0"/>
          <w:color w:val="000000"/>
          <w:sz w:val="32"/>
          <w:szCs w:val="32"/>
          <w:lang w:val="en-US" w:eastAsia="zh-CN"/>
        </w:rPr>
        <w:t>4.73</w:t>
      </w:r>
      <w:r>
        <w:rPr>
          <w:rStyle w:val="18"/>
          <w:rFonts w:hint="eastAsia" w:ascii="仿宋_GB2312" w:hAnsi="仿宋" w:eastAsia="仿宋_GB2312"/>
          <w:b w:val="0"/>
          <w:bCs w:val="0"/>
          <w:color w:val="000000"/>
          <w:sz w:val="32"/>
          <w:szCs w:val="32"/>
        </w:rPr>
        <w:t>万元，完成预算100%</w:t>
      </w:r>
      <w:r>
        <w:rPr>
          <w:rStyle w:val="18"/>
          <w:rFonts w:hint="eastAsia" w:ascii="仿宋_GB2312" w:hAnsi="仿宋" w:eastAsia="仿宋_GB2312"/>
          <w:b w:val="0"/>
          <w:bCs w:val="0"/>
          <w:color w:val="000000"/>
          <w:sz w:val="32"/>
          <w:szCs w:val="32"/>
          <w:lang w:eastAsia="zh-CN"/>
        </w:rPr>
        <w:t>；</w:t>
      </w:r>
      <w:r>
        <w:rPr>
          <w:rStyle w:val="18"/>
          <w:rFonts w:hint="eastAsia" w:ascii="仿宋_GB2312" w:hAnsi="仿宋" w:eastAsia="仿宋_GB2312"/>
          <w:bCs/>
          <w:color w:val="000000"/>
          <w:sz w:val="32"/>
          <w:szCs w:val="32"/>
          <w:lang w:eastAsia="zh-CN"/>
        </w:rPr>
        <w:t>事业</w:t>
      </w:r>
      <w:r>
        <w:rPr>
          <w:rStyle w:val="18"/>
          <w:rFonts w:hint="eastAsia" w:ascii="仿宋_GB2312" w:hAnsi="仿宋" w:eastAsia="仿宋_GB2312"/>
          <w:bCs/>
          <w:color w:val="000000"/>
          <w:sz w:val="32"/>
          <w:szCs w:val="32"/>
        </w:rPr>
        <w:t>单位医疗（项）:</w:t>
      </w:r>
      <w:r>
        <w:rPr>
          <w:rStyle w:val="18"/>
          <w:rFonts w:hint="eastAsia" w:ascii="仿宋_GB2312" w:hAnsi="仿宋" w:eastAsia="仿宋_GB2312"/>
          <w:b w:val="0"/>
          <w:bCs w:val="0"/>
          <w:color w:val="000000"/>
          <w:sz w:val="32"/>
          <w:szCs w:val="32"/>
        </w:rPr>
        <w:t>支出决算为</w:t>
      </w:r>
      <w:r>
        <w:rPr>
          <w:rStyle w:val="18"/>
          <w:rFonts w:hint="eastAsia" w:ascii="仿宋_GB2312" w:hAnsi="仿宋" w:eastAsia="仿宋_GB2312"/>
          <w:b w:val="0"/>
          <w:bCs w:val="0"/>
          <w:color w:val="000000"/>
          <w:sz w:val="32"/>
          <w:szCs w:val="32"/>
          <w:lang w:val="en-US" w:eastAsia="zh-CN"/>
        </w:rPr>
        <w:t>5.36</w:t>
      </w:r>
      <w:r>
        <w:rPr>
          <w:rStyle w:val="18"/>
          <w:rFonts w:hint="eastAsia" w:ascii="仿宋_GB2312" w:hAnsi="仿宋" w:eastAsia="仿宋_GB2312"/>
          <w:b w:val="0"/>
          <w:bCs w:val="0"/>
          <w:color w:val="000000"/>
          <w:sz w:val="32"/>
          <w:szCs w:val="32"/>
        </w:rPr>
        <w:t>万元，完成预算100%</w:t>
      </w:r>
      <w:r>
        <w:rPr>
          <w:rStyle w:val="18"/>
          <w:rFonts w:hint="eastAsia" w:ascii="仿宋_GB2312" w:hAnsi="仿宋" w:eastAsia="仿宋_GB2312"/>
          <w:b w:val="0"/>
          <w:bCs w:val="0"/>
          <w:color w:val="000000"/>
          <w:sz w:val="32"/>
          <w:szCs w:val="32"/>
          <w:lang w:eastAsia="zh-CN"/>
        </w:rPr>
        <w:t>；</w:t>
      </w:r>
      <w:r>
        <w:rPr>
          <w:rStyle w:val="18"/>
          <w:rFonts w:hint="eastAsia" w:ascii="仿宋_GB2312" w:hAnsi="仿宋" w:eastAsia="仿宋_GB2312"/>
          <w:color w:val="000000"/>
          <w:sz w:val="32"/>
          <w:szCs w:val="32"/>
        </w:rPr>
        <w:t>公务员医疗补助</w:t>
      </w:r>
      <w:r>
        <w:rPr>
          <w:rStyle w:val="18"/>
          <w:rFonts w:hint="eastAsia" w:ascii="仿宋_GB2312" w:hAnsi="仿宋" w:eastAsia="仿宋_GB2312"/>
          <w:bCs/>
          <w:color w:val="000000"/>
          <w:sz w:val="32"/>
          <w:szCs w:val="32"/>
        </w:rPr>
        <w:t>（项）:</w:t>
      </w:r>
      <w:r>
        <w:rPr>
          <w:rStyle w:val="18"/>
          <w:rFonts w:hint="eastAsia" w:ascii="仿宋_GB2312" w:hAnsi="仿宋" w:eastAsia="仿宋_GB2312"/>
          <w:b w:val="0"/>
          <w:bCs w:val="0"/>
          <w:color w:val="000000"/>
          <w:sz w:val="32"/>
          <w:szCs w:val="32"/>
        </w:rPr>
        <w:t>支出决算为</w:t>
      </w:r>
      <w:r>
        <w:rPr>
          <w:rStyle w:val="18"/>
          <w:rFonts w:hint="eastAsia" w:ascii="仿宋_GB2312" w:hAnsi="仿宋" w:eastAsia="仿宋_GB2312"/>
          <w:b w:val="0"/>
          <w:bCs w:val="0"/>
          <w:color w:val="000000"/>
          <w:sz w:val="32"/>
          <w:szCs w:val="32"/>
          <w:lang w:val="en-US" w:eastAsia="zh-CN"/>
        </w:rPr>
        <w:t>4.32</w:t>
      </w:r>
      <w:r>
        <w:rPr>
          <w:rStyle w:val="18"/>
          <w:rFonts w:hint="eastAsia" w:ascii="仿宋_GB2312" w:hAnsi="仿宋" w:eastAsia="仿宋_GB2312"/>
          <w:b w:val="0"/>
          <w:bCs w:val="0"/>
          <w:color w:val="000000"/>
          <w:sz w:val="32"/>
          <w:szCs w:val="32"/>
        </w:rPr>
        <w:t>万元，完成预算100%</w:t>
      </w:r>
      <w:r>
        <w:rPr>
          <w:rStyle w:val="18"/>
          <w:rFonts w:hint="eastAsia" w:ascii="仿宋_GB2312" w:hAnsi="仿宋" w:eastAsia="仿宋_GB2312"/>
          <w:b w:val="0"/>
          <w:bCs w:val="0"/>
          <w:color w:val="000000"/>
          <w:sz w:val="32"/>
          <w:szCs w:val="32"/>
          <w:lang w:eastAsia="zh-CN"/>
        </w:rPr>
        <w:t>；</w:t>
      </w:r>
      <w:r>
        <w:rPr>
          <w:rStyle w:val="18"/>
          <w:rFonts w:hint="eastAsia" w:ascii="仿宋_GB2312" w:hAnsi="仿宋" w:eastAsia="仿宋_GB2312" w:cs="Times New Roman"/>
          <w:color w:val="000000"/>
          <w:sz w:val="32"/>
          <w:szCs w:val="32"/>
          <w:lang w:eastAsia="zh-CN"/>
        </w:rPr>
        <w:t>其他行政事业单位医疗支出</w:t>
      </w:r>
      <w:r>
        <w:rPr>
          <w:rStyle w:val="18"/>
          <w:rFonts w:hint="eastAsia" w:ascii="仿宋_GB2312" w:hAnsi="仿宋" w:eastAsia="仿宋_GB2312"/>
          <w:bCs/>
          <w:color w:val="000000"/>
          <w:sz w:val="32"/>
          <w:szCs w:val="32"/>
        </w:rPr>
        <w:t>（项）:</w:t>
      </w:r>
      <w:r>
        <w:rPr>
          <w:rStyle w:val="18"/>
          <w:rFonts w:hint="eastAsia" w:ascii="仿宋_GB2312" w:hAnsi="仿宋" w:eastAsia="仿宋_GB2312"/>
          <w:b w:val="0"/>
          <w:bCs w:val="0"/>
          <w:color w:val="000000"/>
          <w:sz w:val="32"/>
          <w:szCs w:val="32"/>
        </w:rPr>
        <w:t>支出决算为</w:t>
      </w:r>
      <w:r>
        <w:rPr>
          <w:rStyle w:val="18"/>
          <w:rFonts w:hint="eastAsia" w:ascii="仿宋_GB2312" w:hAnsi="仿宋" w:eastAsia="仿宋_GB2312"/>
          <w:b w:val="0"/>
          <w:bCs w:val="0"/>
          <w:color w:val="000000"/>
          <w:sz w:val="32"/>
          <w:szCs w:val="32"/>
          <w:lang w:val="en-US" w:eastAsia="zh-CN"/>
        </w:rPr>
        <w:t>2.66</w:t>
      </w:r>
      <w:r>
        <w:rPr>
          <w:rStyle w:val="18"/>
          <w:rFonts w:hint="eastAsia" w:ascii="仿宋_GB2312" w:hAnsi="仿宋" w:eastAsia="仿宋_GB2312"/>
          <w:b w:val="0"/>
          <w:bCs w:val="0"/>
          <w:color w:val="000000"/>
          <w:sz w:val="32"/>
          <w:szCs w:val="32"/>
        </w:rPr>
        <w:t>万元，完成预算100%</w:t>
      </w:r>
      <w:r>
        <w:rPr>
          <w:rStyle w:val="18"/>
          <w:rFonts w:hint="eastAsia" w:ascii="仿宋_GB2312" w:hAnsi="仿宋" w:eastAsia="仿宋_GB2312"/>
          <w:b w:val="0"/>
          <w:bCs w:val="0"/>
          <w:color w:val="000000"/>
          <w:sz w:val="32"/>
          <w:szCs w:val="32"/>
          <w:lang w:eastAsia="zh-CN"/>
        </w:rPr>
        <w:t>。</w:t>
      </w:r>
    </w:p>
    <w:p>
      <w:pPr>
        <w:tabs>
          <w:tab w:val="right" w:pos="8306"/>
        </w:tabs>
        <w:spacing w:line="600" w:lineRule="exact"/>
        <w:ind w:firstLine="640"/>
        <w:outlineLvl w:val="1"/>
        <w:rPr>
          <w:rStyle w:val="18"/>
          <w:rFonts w:hint="eastAsia" w:ascii="仿宋_GB2312" w:hAnsi="仿宋" w:eastAsia="仿宋_GB2312"/>
          <w:b w:val="0"/>
          <w:bCs w:val="0"/>
          <w:color w:val="000000"/>
          <w:sz w:val="32"/>
          <w:szCs w:val="32"/>
        </w:rPr>
      </w:pPr>
      <w:r>
        <w:rPr>
          <w:rStyle w:val="18"/>
          <w:rFonts w:hint="eastAsia" w:ascii="仿宋_GB2312" w:hAnsi="仿宋" w:eastAsia="仿宋_GB2312"/>
          <w:bCs/>
          <w:color w:val="000000"/>
          <w:sz w:val="32"/>
          <w:szCs w:val="32"/>
        </w:rPr>
        <w:t>4.住房保障支出（类）住房改革支出（款）住房公积金（项）:</w:t>
      </w:r>
      <w:r>
        <w:rPr>
          <w:rStyle w:val="18"/>
          <w:rFonts w:hint="eastAsia" w:ascii="仿宋_GB2312" w:hAnsi="仿宋" w:eastAsia="仿宋_GB2312"/>
          <w:b w:val="0"/>
          <w:bCs w:val="0"/>
          <w:color w:val="000000"/>
          <w:sz w:val="32"/>
          <w:szCs w:val="32"/>
        </w:rPr>
        <w:t>支出决算为1</w:t>
      </w:r>
      <w:r>
        <w:rPr>
          <w:rStyle w:val="18"/>
          <w:rFonts w:hint="eastAsia" w:ascii="仿宋_GB2312" w:hAnsi="仿宋" w:eastAsia="仿宋_GB2312"/>
          <w:b w:val="0"/>
          <w:bCs w:val="0"/>
          <w:color w:val="000000"/>
          <w:sz w:val="32"/>
          <w:szCs w:val="32"/>
          <w:lang w:val="en-US" w:eastAsia="zh-CN"/>
        </w:rPr>
        <w:t>2.35</w:t>
      </w:r>
      <w:r>
        <w:rPr>
          <w:rStyle w:val="18"/>
          <w:rFonts w:hint="eastAsia" w:ascii="仿宋_GB2312" w:hAnsi="仿宋" w:eastAsia="仿宋_GB2312"/>
          <w:b w:val="0"/>
          <w:bCs w:val="0"/>
          <w:color w:val="000000"/>
          <w:sz w:val="32"/>
          <w:szCs w:val="32"/>
        </w:rPr>
        <w:t>万元，完成预算100%。</w:t>
      </w:r>
    </w:p>
    <w:p>
      <w:pPr>
        <w:tabs>
          <w:tab w:val="right" w:pos="8306"/>
        </w:tabs>
        <w:spacing w:line="600" w:lineRule="exact"/>
        <w:ind w:firstLine="640"/>
        <w:outlineLvl w:val="1"/>
        <w:rPr>
          <w:rStyle w:val="30"/>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34"/>
      <w:bookmarkEnd w:id="35"/>
      <w:r>
        <w:rPr>
          <w:rStyle w:val="30"/>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sz w:val="32"/>
          <w:szCs w:val="32"/>
        </w:rPr>
        <w:t>199.62</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sz w:val="32"/>
          <w:szCs w:val="32"/>
        </w:rPr>
        <w:t>188.78</w:t>
      </w:r>
      <w:r>
        <w:rPr>
          <w:rFonts w:hint="eastAsia" w:ascii="仿宋" w:hAnsi="仿宋" w:eastAsia="仿宋"/>
          <w:sz w:val="32"/>
          <w:szCs w:val="32"/>
        </w:rPr>
        <w:t>万元，主要包括：基本工资、津贴补贴、奖金、绩效工资、机关事业单位基本养老保险缴费、职工基本医疗保险缴费</w:t>
      </w:r>
      <w:r>
        <w:rPr>
          <w:rFonts w:hint="eastAsia" w:ascii="仿宋" w:hAnsi="仿宋" w:eastAsia="仿宋"/>
          <w:sz w:val="32"/>
          <w:szCs w:val="32"/>
          <w:lang w:eastAsia="zh-CN"/>
        </w:rPr>
        <w:t>、</w:t>
      </w:r>
      <w:r>
        <w:rPr>
          <w:rFonts w:hint="eastAsia" w:ascii="仿宋" w:hAnsi="仿宋" w:eastAsia="仿宋"/>
          <w:sz w:val="32"/>
          <w:szCs w:val="32"/>
        </w:rPr>
        <w:t>公务员医疗补助缴费、其他社会保障缴费、其他工资福利支出、生活补助、医疗费补助、住房公积金等。</w:t>
      </w:r>
      <w:r>
        <w:rPr>
          <w:rFonts w:ascii="仿宋" w:hAnsi="仿宋" w:eastAsia="仿宋"/>
          <w:sz w:val="32"/>
          <w:szCs w:val="32"/>
        </w:rPr>
        <w:br w:type="textWrapping"/>
      </w:r>
      <w:r>
        <w:rPr>
          <w:rFonts w:hint="eastAsia" w:ascii="仿宋" w:hAnsi="仿宋" w:eastAsia="仿宋"/>
          <w:sz w:val="32"/>
          <w:szCs w:val="32"/>
        </w:rPr>
        <w:t>　　公用经费</w:t>
      </w:r>
      <w:r>
        <w:rPr>
          <w:sz w:val="32"/>
          <w:szCs w:val="32"/>
        </w:rPr>
        <w:t>10.84</w:t>
      </w:r>
      <w:r>
        <w:rPr>
          <w:rFonts w:hint="eastAsia" w:ascii="仿宋" w:hAnsi="仿宋" w:eastAsia="仿宋"/>
          <w:sz w:val="32"/>
          <w:szCs w:val="32"/>
        </w:rPr>
        <w:t>万元，主要包括：办公费、邮电费、差旅费、维修（护）费、委托业务费、工会经费、福利费、其他交通费、其他商品和服务支出等。</w:t>
      </w:r>
    </w:p>
    <w:p>
      <w:pPr>
        <w:spacing w:line="600" w:lineRule="exact"/>
        <w:ind w:firstLine="640"/>
        <w:outlineLvl w:val="1"/>
        <w:rPr>
          <w:rStyle w:val="30"/>
          <w:rFonts w:ascii="黑体" w:hAnsi="黑体" w:eastAsia="黑体"/>
          <w:b w:val="0"/>
        </w:rPr>
      </w:pPr>
      <w:bookmarkStart w:id="36" w:name="_Toc15377215"/>
      <w:bookmarkStart w:id="37" w:name="_Toc15396609"/>
      <w:r>
        <w:rPr>
          <w:rFonts w:hint="eastAsia" w:ascii="黑体" w:eastAsia="黑体"/>
          <w:sz w:val="32"/>
          <w:szCs w:val="32"/>
        </w:rPr>
        <w:t>七、</w:t>
      </w:r>
      <w:r>
        <w:rPr>
          <w:rStyle w:val="30"/>
          <w:rFonts w:hint="eastAsia" w:ascii="黑体" w:hAnsi="黑体" w:eastAsia="黑体"/>
          <w:b w:val="0"/>
        </w:rPr>
        <w:t>财政拨款</w:t>
      </w:r>
      <w:r>
        <w:rPr>
          <w:rStyle w:val="30"/>
          <w:rFonts w:hint="eastAsia" w:ascii="黑体" w:hAnsi="黑体" w:eastAsia="黑体"/>
        </w:rPr>
        <w:t>“</w:t>
      </w:r>
      <w:r>
        <w:rPr>
          <w:rStyle w:val="30"/>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sz w:val="32"/>
          <w:szCs w:val="32"/>
        </w:rPr>
        <w:t>0</w:t>
      </w:r>
      <w:r>
        <w:rPr>
          <w:rFonts w:hint="eastAsia" w:ascii="仿宋" w:hAnsi="仿宋" w:eastAsia="仿宋"/>
          <w:sz w:val="32"/>
          <w:szCs w:val="32"/>
        </w:rPr>
        <w:t>万元，完成预算</w:t>
      </w:r>
      <w:r>
        <w:rPr>
          <w:sz w:val="32"/>
          <w:szCs w:val="32"/>
        </w:rPr>
        <w:t>0</w:t>
      </w:r>
      <w:r>
        <w:rPr>
          <w:rFonts w:ascii="仿宋" w:hAnsi="仿宋" w:eastAsia="仿宋"/>
          <w:sz w:val="32"/>
          <w:szCs w:val="32"/>
        </w:rPr>
        <w:t>%</w:t>
      </w:r>
      <w:r>
        <w:rPr>
          <w:rFonts w:hint="eastAsia" w:ascii="仿宋" w:hAnsi="仿宋" w:eastAsia="仿宋"/>
          <w:sz w:val="32"/>
          <w:szCs w:val="32"/>
        </w:rPr>
        <w:t>，较上年度减少</w:t>
      </w:r>
      <w:r>
        <w:rPr>
          <w:rFonts w:hint="eastAsia" w:ascii="仿宋" w:hAnsi="仿宋" w:eastAsia="仿宋"/>
          <w:sz w:val="32"/>
          <w:szCs w:val="32"/>
          <w:lang w:val="en-US" w:eastAsia="zh-CN"/>
        </w:rPr>
        <w:t>0.12</w:t>
      </w:r>
      <w:r>
        <w:rPr>
          <w:rFonts w:hint="eastAsia" w:ascii="仿宋" w:hAnsi="仿宋" w:eastAsia="仿宋"/>
          <w:sz w:val="32"/>
          <w:szCs w:val="32"/>
        </w:rPr>
        <w:t>万元，下降</w:t>
      </w:r>
      <w:r>
        <w:rPr>
          <w:rFonts w:hint="eastAsia" w:ascii="仿宋" w:hAnsi="仿宋" w:eastAsia="仿宋"/>
          <w:sz w:val="32"/>
          <w:szCs w:val="32"/>
          <w:lang w:val="en-US" w:eastAsia="zh-CN"/>
        </w:rPr>
        <w:t>100</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今年没有“三公”经费支出。决算数与预算数持平。</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；公务接待费支出决算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sz w:val="32"/>
          <w:szCs w:val="32"/>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hint="eastAsia" w:ascii="仿宋_GB2312" w:eastAsia="仿宋_GB2312"/>
          <w:sz w:val="32"/>
          <w:szCs w:val="32"/>
        </w:rPr>
        <w:t>2022年</w:t>
      </w:r>
      <w:r>
        <w:rPr>
          <w:rFonts w:hint="eastAsia" w:ascii="仿宋_GB2312" w:eastAsia="仿宋_GB2312"/>
          <w:sz w:val="32"/>
          <w:szCs w:val="32"/>
          <w:lang w:eastAsia="zh-CN"/>
        </w:rPr>
        <w:t>持平</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sz w:val="32"/>
          <w:szCs w:val="32"/>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eastAsia="仿宋_GB2312"/>
          <w:sz w:val="32"/>
          <w:szCs w:val="32"/>
          <w:lang w:eastAsia="zh-CN"/>
        </w:rPr>
        <w:t>与</w:t>
      </w:r>
      <w:r>
        <w:rPr>
          <w:rFonts w:hint="eastAsia" w:ascii="仿宋_GB2312" w:eastAsia="仿宋_GB2312"/>
          <w:sz w:val="32"/>
          <w:szCs w:val="32"/>
        </w:rPr>
        <w:t>2022年</w:t>
      </w:r>
      <w:r>
        <w:rPr>
          <w:rFonts w:hint="eastAsia" w:ascii="仿宋_GB2312" w:eastAsia="仿宋_GB2312"/>
          <w:sz w:val="32"/>
          <w:szCs w:val="32"/>
          <w:lang w:eastAsia="zh-CN"/>
        </w:rPr>
        <w:t>持平</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sz w:val="32"/>
          <w:szCs w:val="32"/>
        </w:rPr>
        <w:t>0%</w:t>
      </w:r>
      <w:r>
        <w:rPr>
          <w:rStyle w:val="18"/>
          <w:rFonts w:hint="eastAsia" w:ascii="仿宋" w:hAnsi="仿宋" w:eastAsia="仿宋"/>
          <w:b w:val="0"/>
          <w:bCs/>
          <w:sz w:val="32"/>
          <w:szCs w:val="32"/>
        </w:rPr>
        <w:t>。</w:t>
      </w:r>
      <w:r>
        <w:rPr>
          <w:rFonts w:hint="eastAsia" w:ascii="仿宋_GB2312" w:eastAsia="仿宋_GB2312"/>
          <w:sz w:val="32"/>
          <w:szCs w:val="32"/>
        </w:rPr>
        <w:t>公务接待费支出决算比2022年度减少</w:t>
      </w:r>
      <w:r>
        <w:rPr>
          <w:rFonts w:hint="eastAsia" w:ascii="仿宋_GB2312" w:eastAsia="仿宋_GB2312"/>
          <w:sz w:val="32"/>
          <w:szCs w:val="32"/>
          <w:lang w:val="en-US" w:eastAsia="zh-CN"/>
        </w:rPr>
        <w:t>0.12</w:t>
      </w:r>
      <w:r>
        <w:rPr>
          <w:rFonts w:hint="eastAsia" w:ascii="仿宋_GB2312" w:eastAsia="仿宋_GB2312"/>
          <w:sz w:val="32"/>
          <w:szCs w:val="32"/>
        </w:rPr>
        <w:t>万元，下降</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。主要原因是今年没有发生公务接待费支出。其中：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b/>
          <w:sz w:val="32"/>
          <w:szCs w:val="32"/>
          <w:lang w:val="en-US" w:eastAsia="zh-CN"/>
        </w:rPr>
        <w:t>0</w:t>
      </w:r>
      <w:r>
        <w:rPr>
          <w:rFonts w:hint="eastAsia" w:ascii="仿宋_GB2312" w:eastAsia="仿宋_GB2312"/>
          <w:sz w:val="32"/>
          <w:szCs w:val="32"/>
        </w:rPr>
        <w:t>万元。国内公务接待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b/>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Fonts w:ascii="黑体" w:eastAsia="黑体"/>
          <w:sz w:val="32"/>
          <w:szCs w:val="32"/>
        </w:rPr>
      </w:pPr>
      <w:bookmarkStart w:id="40" w:name="_Toc15377218"/>
      <w:bookmarkStart w:id="41" w:name="_Toc15396610"/>
    </w:p>
    <w:p>
      <w:pPr>
        <w:spacing w:line="600" w:lineRule="exact"/>
        <w:ind w:firstLine="640"/>
        <w:outlineLvl w:val="1"/>
        <w:rPr>
          <w:rStyle w:val="30"/>
          <w:rFonts w:ascii="黑体" w:hAnsi="黑体" w:eastAsia="黑体"/>
        </w:rPr>
      </w:pPr>
      <w:r>
        <w:rPr>
          <w:rFonts w:hint="eastAsia" w:ascii="黑体" w:eastAsia="黑体"/>
          <w:sz w:val="32"/>
          <w:szCs w:val="32"/>
        </w:rPr>
        <w:t>八、</w:t>
      </w:r>
      <w:r>
        <w:rPr>
          <w:rStyle w:val="30"/>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sz w:val="32"/>
          <w:szCs w:val="32"/>
        </w:rPr>
        <w:t>20.56</w:t>
      </w:r>
      <w:r>
        <w:rPr>
          <w:rFonts w:hint="eastAsia" w:ascii="仿宋_GB2312" w:eastAsia="仿宋_GB2312"/>
          <w:sz w:val="32"/>
          <w:szCs w:val="32"/>
        </w:rPr>
        <w:t>万元。</w:t>
      </w:r>
    </w:p>
    <w:p>
      <w:pPr>
        <w:numPr>
          <w:ilvl w:val="0"/>
          <w:numId w:val="2"/>
        </w:numPr>
        <w:spacing w:line="600" w:lineRule="exact"/>
        <w:ind w:firstLine="640"/>
        <w:outlineLvl w:val="1"/>
        <w:rPr>
          <w:rStyle w:val="30"/>
          <w:rFonts w:ascii="黑体" w:hAnsi="黑体" w:eastAsia="黑体"/>
          <w:b w:val="0"/>
        </w:rPr>
      </w:pPr>
      <w:bookmarkStart w:id="42" w:name="_Toc15396611"/>
      <w:bookmarkStart w:id="43" w:name="_Toc15377219"/>
      <w:r>
        <w:rPr>
          <w:rStyle w:val="30"/>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sz w:val="32"/>
          <w:szCs w:val="32"/>
        </w:rPr>
        <w:t>0</w:t>
      </w:r>
      <w:r>
        <w:rPr>
          <w:rFonts w:hint="eastAsia" w:ascii="仿宋_GB2312" w:eastAsia="仿宋_GB2312"/>
          <w:sz w:val="32"/>
          <w:szCs w:val="32"/>
        </w:rPr>
        <w:t>万元。</w:t>
      </w:r>
    </w:p>
    <w:p>
      <w:pPr>
        <w:numPr>
          <w:ilvl w:val="0"/>
          <w:numId w:val="2"/>
        </w:numPr>
        <w:spacing w:line="600" w:lineRule="exact"/>
        <w:ind w:firstLine="640"/>
        <w:outlineLvl w:val="1"/>
        <w:rPr>
          <w:rStyle w:val="30"/>
          <w:rFonts w:ascii="黑体" w:hAnsi="黑体" w:eastAsia="黑体"/>
          <w:b w:val="0"/>
        </w:rPr>
      </w:pPr>
      <w:bookmarkStart w:id="44" w:name="_Toc15377221"/>
      <w:bookmarkStart w:id="45" w:name="_Toc15396612"/>
      <w:r>
        <w:rPr>
          <w:rStyle w:val="30"/>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2023年度，攀枝花市西区信访局机关运行经费支出</w:t>
      </w:r>
      <w:r>
        <w:rPr>
          <w:sz w:val="32"/>
          <w:szCs w:val="32"/>
        </w:rPr>
        <w:t>10.84</w:t>
      </w:r>
      <w:r>
        <w:rPr>
          <w:rFonts w:hint="eastAsia" w:ascii="仿宋_GB2312" w:eastAsia="仿宋_GB2312"/>
          <w:sz w:val="32"/>
          <w:szCs w:val="32"/>
        </w:rPr>
        <w:t>万元，与2022年度决算数持平。主要原因是</w:t>
      </w:r>
      <w:r>
        <w:rPr>
          <w:rFonts w:hint="eastAsia" w:ascii="仿宋_GB2312" w:eastAsia="仿宋_GB2312"/>
          <w:sz w:val="32"/>
          <w:szCs w:val="32"/>
          <w:lang w:eastAsia="zh-CN"/>
        </w:rPr>
        <w:t>严格控制各项办公经费支出</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2023年度，攀枝花市西区信访局政府采购支出总额</w:t>
      </w:r>
      <w:r>
        <w:rPr>
          <w:sz w:val="32"/>
          <w:szCs w:val="32"/>
        </w:rPr>
        <w:t>0</w:t>
      </w:r>
      <w:r>
        <w:rPr>
          <w:rFonts w:hint="eastAsia" w:ascii="仿宋_GB2312" w:eastAsia="仿宋_GB2312"/>
          <w:sz w:val="32"/>
          <w:szCs w:val="32"/>
        </w:rPr>
        <w:t>万元，其中：政府采购货物支出</w:t>
      </w:r>
      <w:r>
        <w:rPr>
          <w:sz w:val="32"/>
          <w:szCs w:val="32"/>
        </w:rPr>
        <w:t>0</w:t>
      </w:r>
      <w:r>
        <w:rPr>
          <w:rFonts w:hint="eastAsia" w:ascii="仿宋_GB2312" w:eastAsia="仿宋_GB2312"/>
          <w:sz w:val="32"/>
          <w:szCs w:val="32"/>
        </w:rPr>
        <w:t>万元、政府采购工程支出</w:t>
      </w:r>
      <w:r>
        <w:rPr>
          <w:sz w:val="32"/>
          <w:szCs w:val="32"/>
        </w:rPr>
        <w:t>0</w:t>
      </w:r>
      <w:r>
        <w:rPr>
          <w:rFonts w:hint="eastAsia" w:ascii="仿宋_GB2312" w:eastAsia="仿宋_GB2312"/>
          <w:sz w:val="32"/>
          <w:szCs w:val="32"/>
        </w:rPr>
        <w:t>万元、政府采购服务支出</w:t>
      </w:r>
      <w:r>
        <w:rPr>
          <w:sz w:val="32"/>
          <w:szCs w:val="32"/>
        </w:rPr>
        <w:t>0</w:t>
      </w:r>
      <w:r>
        <w:rPr>
          <w:rFonts w:hint="eastAsia" w:ascii="仿宋_GB2312" w:eastAsia="仿宋_GB2312"/>
          <w:sz w:val="32"/>
          <w:szCs w:val="32"/>
        </w:rPr>
        <w:t>万元。授予中小企业合同金额</w:t>
      </w:r>
      <w:r>
        <w:rPr>
          <w:sz w:val="32"/>
          <w:szCs w:val="32"/>
        </w:rPr>
        <w:t>0</w:t>
      </w:r>
      <w:r>
        <w:rPr>
          <w:rFonts w:hint="eastAsia" w:ascii="仿宋_GB2312" w:eastAsia="仿宋_GB2312"/>
          <w:sz w:val="32"/>
          <w:szCs w:val="32"/>
        </w:rPr>
        <w:t>万元，占政府采购支出总额的</w:t>
      </w:r>
      <w:r>
        <w:rPr>
          <w:sz w:val="32"/>
          <w:szCs w:val="32"/>
        </w:rPr>
        <w:t>0</w:t>
      </w:r>
      <w:r>
        <w:rPr>
          <w:rFonts w:ascii="仿宋_GB2312" w:eastAsia="仿宋_GB2312"/>
          <w:sz w:val="32"/>
          <w:szCs w:val="32"/>
        </w:rPr>
        <w:t>%</w:t>
      </w:r>
      <w:r>
        <w:rPr>
          <w:rFonts w:hint="eastAsia" w:ascii="仿宋_GB2312" w:eastAsia="仿宋_GB2312"/>
          <w:sz w:val="32"/>
          <w:szCs w:val="32"/>
        </w:rPr>
        <w:t>，其中：授予小微企业合同金额</w:t>
      </w:r>
      <w:r>
        <w:rPr>
          <w:sz w:val="32"/>
          <w:szCs w:val="32"/>
        </w:rPr>
        <w:t>0</w:t>
      </w:r>
      <w:r>
        <w:rPr>
          <w:rFonts w:hint="eastAsia" w:ascii="仿宋_GB2312" w:eastAsia="仿宋_GB2312"/>
          <w:sz w:val="32"/>
          <w:szCs w:val="32"/>
        </w:rPr>
        <w:t>万元，占政府采购支出总额的</w:t>
      </w:r>
      <w:r>
        <w:rPr>
          <w:sz w:val="32"/>
          <w:szCs w:val="32"/>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日，攀枝花市西区信访局共有车辆</w:t>
      </w:r>
      <w:r>
        <w:rPr>
          <w:rFonts w:ascii="仿宋_GB2312" w:eastAsia="仿宋_GB2312"/>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hint="eastAsia"/>
        </w:rPr>
      </w:pPr>
      <w:r>
        <w:rPr>
          <w:rFonts w:hint="eastAsia" w:ascii="仿宋_GB2312" w:hAnsi="仿宋_GB2312" w:eastAsia="仿宋_GB2312" w:cs="仿宋_GB2312"/>
          <w:sz w:val="32"/>
          <w:szCs w:val="32"/>
        </w:rPr>
        <w:t>根据预算绩效管理要求，本部门在2023年度预算编制阶段，组织对</w:t>
      </w:r>
      <w:r>
        <w:rPr>
          <w:rFonts w:hint="eastAsia" w:ascii="仿宋_GB2312" w:hAnsi="仿宋_GB2312" w:eastAsia="仿宋_GB2312" w:cs="仿宋_GB2312"/>
          <w:sz w:val="32"/>
          <w:szCs w:val="32"/>
          <w:lang w:val="en-US" w:eastAsia="zh-CN"/>
        </w:rPr>
        <w:t>保安费用、接访费用、</w:t>
      </w:r>
      <w:r>
        <w:rPr>
          <w:rFonts w:hint="eastAsia" w:ascii="Times New Roman" w:hAnsi="Times New Roman" w:eastAsia="仿宋_GB2312" w:cs="Times New Roman"/>
          <w:color w:val="auto"/>
          <w:kern w:val="2"/>
          <w:sz w:val="32"/>
          <w:szCs w:val="32"/>
          <w:lang w:eastAsia="zh-CN"/>
        </w:rPr>
        <w:t>矛盾化解和疑难信访问题费用</w:t>
      </w:r>
      <w:r>
        <w:rPr>
          <w:rFonts w:hint="eastAsia" w:eastAsia="仿宋_GB2312" w:cs="Times New Roman"/>
          <w:color w:val="auto"/>
          <w:kern w:val="2"/>
          <w:sz w:val="32"/>
          <w:szCs w:val="32"/>
          <w:lang w:eastAsia="zh-CN"/>
        </w:rPr>
        <w:t>、</w:t>
      </w:r>
      <w:r>
        <w:rPr>
          <w:rFonts w:hint="eastAsia" w:eastAsia="仿宋_GB2312" w:cs="Times New Roman"/>
          <w:color w:val="auto"/>
          <w:kern w:val="2"/>
          <w:sz w:val="32"/>
          <w:szCs w:val="32"/>
          <w:lang w:val="en-US" w:eastAsia="zh-CN"/>
        </w:rPr>
        <w:t>驻京驻蓉信访维稳费用</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个项目开展绩效监控。组织对2023年度一般公共预算、政府性基金预算、国有资本经营预算、社会保险基金预算以及资本资产、债券资金等全面开展绩效自评，形成部门整体（含部门预算项目）绩效自评报告、</w:t>
      </w:r>
      <w:r>
        <w:rPr>
          <w:rFonts w:hint="eastAsia" w:ascii="仿宋_GB2312" w:hAnsi="仿宋_GB2312" w:eastAsia="仿宋_GB2312" w:cs="仿宋_GB2312"/>
          <w:sz w:val="32"/>
          <w:szCs w:val="32"/>
          <w:lang w:val="en-US" w:eastAsia="zh-CN"/>
        </w:rPr>
        <w:t>4个</w:t>
      </w:r>
      <w:r>
        <w:rPr>
          <w:rFonts w:hint="eastAsia" w:ascii="仿宋_GB2312" w:hAnsi="仿宋_GB2312" w:eastAsia="仿宋_GB2312" w:cs="仿宋_GB2312"/>
          <w:sz w:val="32"/>
          <w:szCs w:val="32"/>
        </w:rPr>
        <w:t>专项预算项目绩效自评报告，其中，部门整体（含部门预算项目）绩效自评得分为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综述：保障本年度全局人员基本工资、津补贴支出、机关事业单位养老保险、社会保障缴费、办公费用支出、党建、差旅费、工会等福利支出。完成本年度内来信、来访、来电、网上信访等工作，确保无因特殊疑难信访问题引发的进京赴省缠访、闹访，无因特殊疑难信访问题引发重大群体及极端个人事件，保障全年辖区社会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4个</w:t>
      </w:r>
      <w:r>
        <w:rPr>
          <w:rFonts w:hint="eastAsia" w:ascii="仿宋_GB2312" w:hAnsi="仿宋_GB2312" w:eastAsia="仿宋_GB2312" w:cs="仿宋_GB2312"/>
          <w:sz w:val="32"/>
          <w:szCs w:val="32"/>
        </w:rPr>
        <w:t>专项预算项目绩效自评得分为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分，绩效自评综述：解决全年特殊疑难信访问题，保障本年度确保无因特殊疑难信访问题引发的进京赴省缠访、闹访。确保年度内无因进京赴蓉发生滋事倒流事项，保障全区和谐稳定。绩效自评报告详见附件。</w:t>
      </w:r>
    </w:p>
    <w:p>
      <w:pPr>
        <w:pStyle w:val="2"/>
        <w:rPr>
          <w:rFonts w:hint="eastAsia"/>
        </w:rPr>
      </w:pPr>
    </w:p>
    <w:p>
      <w:pPr>
        <w:pStyle w:val="2"/>
        <w:rPr>
          <w:rFonts w:hint="eastAsia"/>
        </w:rPr>
      </w:pPr>
    </w:p>
    <w:p>
      <w:pPr>
        <w:pStyle w:val="3"/>
        <w:ind w:firstLine="2209" w:firstLineChars="500"/>
        <w:jc w:val="both"/>
      </w:pPr>
      <w:r>
        <w:rPr>
          <w:rFonts w:hint="eastAsia"/>
        </w:rPr>
        <w:t>第三部分 名词解释</w:t>
      </w:r>
    </w:p>
    <w:p/>
    <w:p>
      <w:pPr>
        <w:ind w:firstLine="640" w:firstLineChars="200"/>
        <w:rPr>
          <w:rFonts w:hint="eastAsia" w:ascii="仿宋_GB2312" w:eastAsia="仿宋_GB2312"/>
          <w:sz w:val="32"/>
          <w:szCs w:val="32"/>
        </w:rPr>
      </w:pPr>
      <w:r>
        <w:rPr>
          <w:rFonts w:hint="eastAsia" w:ascii="仿宋_GB2312" w:eastAsia="仿宋_GB2312"/>
          <w:sz w:val="32"/>
          <w:szCs w:val="32"/>
        </w:rPr>
        <w:t>1.财政拨款收入：指单位从同级财政部门取得的财政预算资金。</w:t>
      </w:r>
    </w:p>
    <w:p>
      <w:pPr>
        <w:ind w:firstLine="640" w:firstLineChars="200"/>
        <w:rPr>
          <w:rFonts w:hint="eastAsia" w:ascii="仿宋_GB2312" w:eastAsia="仿宋_GB2312"/>
          <w:sz w:val="32"/>
          <w:szCs w:val="32"/>
        </w:rPr>
      </w:pPr>
      <w:r>
        <w:rPr>
          <w:rFonts w:hint="eastAsia" w:ascii="仿宋_GB2312" w:eastAsia="仿宋_GB2312"/>
          <w:sz w:val="32"/>
          <w:szCs w:val="32"/>
        </w:rPr>
        <w:t>2.事业收入：指事业单位开展专业业务活动及辅助活动取得的收入。</w:t>
      </w:r>
    </w:p>
    <w:p>
      <w:pPr>
        <w:ind w:firstLine="640" w:firstLineChars="200"/>
        <w:rPr>
          <w:rFonts w:hint="eastAsia"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w:t>
      </w:r>
    </w:p>
    <w:p>
      <w:pPr>
        <w:ind w:firstLine="640" w:firstLineChars="200"/>
        <w:rPr>
          <w:rFonts w:hint="eastAsia" w:ascii="仿宋_GB2312" w:eastAsia="仿宋_GB2312"/>
          <w:sz w:val="32"/>
          <w:szCs w:val="32"/>
        </w:rPr>
      </w:pPr>
      <w:r>
        <w:rPr>
          <w:rFonts w:hint="eastAsia" w:ascii="仿宋_GB2312" w:eastAsia="仿宋_GB2312"/>
          <w:sz w:val="32"/>
          <w:szCs w:val="32"/>
        </w:rPr>
        <w:t>4.其他收入：指单位取得的除上述收入以外的各项收入。主要是</w:t>
      </w:r>
      <w:r>
        <w:rPr>
          <w:rFonts w:hint="eastAsia" w:ascii="仿宋_GB2312" w:eastAsia="仿宋_GB2312"/>
          <w:sz w:val="32"/>
          <w:szCs w:val="32"/>
          <w:lang w:eastAsia="zh-CN"/>
        </w:rPr>
        <w:t>银行存款利息</w:t>
      </w:r>
      <w:r>
        <w:rPr>
          <w:rFonts w:hint="eastAsia" w:ascii="仿宋_GB2312" w:eastAsia="仿宋_GB2312"/>
          <w:sz w:val="32"/>
          <w:szCs w:val="32"/>
        </w:rPr>
        <w:t xml:space="preserve">。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5.使用非财政拨款结余（含专用结余）：指事业单位使用以前年度积累的非财政拨款结余弥补当年收支差额的金额。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6.年初结转和结余：指以前年度尚未完成、结转到本年按有关规定继续使用的资金。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7.结余分配：指事业单位按照会计制度规定缴纳的所得税、提取的专用结余以及转入非财政拨款结余的金额等。</w:t>
      </w:r>
    </w:p>
    <w:p>
      <w:pPr>
        <w:ind w:firstLine="640" w:firstLineChars="200"/>
        <w:rPr>
          <w:rFonts w:hint="eastAsia" w:ascii="仿宋_GB2312" w:eastAsia="仿宋_GB2312"/>
          <w:sz w:val="32"/>
          <w:szCs w:val="32"/>
        </w:rPr>
      </w:pPr>
      <w:r>
        <w:rPr>
          <w:rFonts w:hint="eastAsia" w:ascii="仿宋_GB2312" w:eastAsia="仿宋_GB2312"/>
          <w:sz w:val="32"/>
          <w:szCs w:val="32"/>
        </w:rPr>
        <w:t>8.年末结转和结余：指单位按有关规定结转到下年或以后年度继续使用的资金。</w:t>
      </w:r>
    </w:p>
    <w:p>
      <w:pPr>
        <w:ind w:firstLine="640" w:firstLineChars="200"/>
        <w:rPr>
          <w:rFonts w:hint="eastAsia" w:ascii="仿宋_GB2312" w:eastAsia="仿宋_GB2312"/>
          <w:sz w:val="32"/>
          <w:szCs w:val="32"/>
        </w:rPr>
      </w:pPr>
      <w:r>
        <w:rPr>
          <w:rFonts w:hint="eastAsia" w:ascii="仿宋_GB2312" w:eastAsia="仿宋_GB2312"/>
          <w:sz w:val="32"/>
          <w:szCs w:val="32"/>
        </w:rPr>
        <w:t>9.</w:t>
      </w:r>
      <w:r>
        <w:rPr>
          <w:rFonts w:hint="eastAsia" w:ascii="仿宋_GB2312" w:eastAsia="仿宋_GB2312"/>
          <w:color w:val="000000"/>
          <w:sz w:val="32"/>
          <w:szCs w:val="32"/>
        </w:rPr>
        <w:t>一般公共服务（类）</w:t>
      </w:r>
      <w:r>
        <w:rPr>
          <w:rFonts w:hint="eastAsia" w:ascii="仿宋" w:hAnsi="仿宋" w:eastAsia="仿宋"/>
          <w:color w:val="000000"/>
          <w:sz w:val="32"/>
          <w:szCs w:val="32"/>
        </w:rPr>
        <w:t>政府办公厅（室）及相关机构事务（款）行政运行（项）：反映行政单位（包括实行公务员管理的事业单位）的基本支出；信访事务（项）：反映各级政府用于接待群众来信来访方面的支出；事业运行（项）：反映事业单位的基本支出，不包括行政单位（包括实行公务员管理的事业单位）后勤服务中心、医务室等附属事业单位。</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10.社会保障和就业支出（类）行政事业单位养老支出（款）</w:t>
      </w:r>
      <w:r>
        <w:rPr>
          <w:rFonts w:hint="eastAsia" w:ascii="仿宋" w:hAnsi="仿宋" w:eastAsia="仿宋"/>
          <w:color w:val="000000"/>
          <w:sz w:val="32"/>
          <w:szCs w:val="32"/>
        </w:rPr>
        <w:t>行政单位离退休（项）：反映行政单位（包括实行公务员管理的事业单位）开支的离退休经费；</w:t>
      </w:r>
      <w:r>
        <w:rPr>
          <w:rFonts w:hint="eastAsia" w:ascii="仿宋_GB2312" w:eastAsia="仿宋_GB2312"/>
          <w:color w:val="000000"/>
          <w:sz w:val="32"/>
          <w:szCs w:val="32"/>
        </w:rPr>
        <w:t>机关事业单位基本养老保险缴费支出（项）：反映机关事业单位实施养老保险制度由单位缴纳的基本养老保险费支出。</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_GB2312" w:eastAsia="仿宋_GB2312"/>
          <w:color w:val="000000"/>
          <w:sz w:val="32"/>
          <w:szCs w:val="32"/>
        </w:rPr>
        <w:t>11.卫生健康支出（类）行政事业单位医疗（款）行政单位医疗（项）：反映财政部门集中安排的行政单位基本医疗保险缴费经费，未参加医疗保险的行政单位的公费医疗保险经费，按国家规定享受离休人员和红军老战士待遇人员的医疗经费；</w:t>
      </w:r>
      <w:r>
        <w:rPr>
          <w:rFonts w:hint="eastAsia" w:ascii="仿宋" w:hAnsi="仿宋" w:eastAsia="仿宋"/>
          <w:color w:val="000000"/>
          <w:sz w:val="32"/>
          <w:szCs w:val="32"/>
        </w:rPr>
        <w:t>事业单位医疗（项）：反映财政部门集中安排的事业单位基本医疗保险缴费经费，未参加医疗保险的事业单位公费医疗经费，按国家规定享受离休人员待遇人员的医疗经费；</w:t>
      </w:r>
      <w:r>
        <w:rPr>
          <w:rFonts w:hint="eastAsia" w:ascii="仿宋_GB2312" w:eastAsia="仿宋_GB2312"/>
          <w:color w:val="000000"/>
          <w:sz w:val="32"/>
          <w:szCs w:val="32"/>
        </w:rPr>
        <w:t>公务员医疗补助（项）：反映财政部门集中安排的公务员医疗补助经费</w:t>
      </w:r>
      <w:r>
        <w:rPr>
          <w:rFonts w:hint="eastAsia" w:ascii="仿宋_GB2312" w:eastAsia="仿宋_GB2312"/>
          <w:color w:val="000000"/>
          <w:sz w:val="32"/>
          <w:szCs w:val="32"/>
          <w:lang w:eastAsia="zh-CN"/>
        </w:rPr>
        <w:t>；其他行政事业单位医疗支出</w:t>
      </w:r>
      <w:r>
        <w:rPr>
          <w:rFonts w:hint="eastAsia" w:ascii="仿宋" w:hAnsi="仿宋" w:eastAsia="仿宋"/>
          <w:color w:val="000000"/>
          <w:sz w:val="32"/>
          <w:szCs w:val="32"/>
        </w:rPr>
        <w:t>（项）：反映</w:t>
      </w:r>
      <w:r>
        <w:rPr>
          <w:rFonts w:hint="eastAsia" w:ascii="仿宋" w:hAnsi="仿宋" w:eastAsia="仿宋"/>
          <w:color w:val="000000"/>
          <w:sz w:val="32"/>
          <w:szCs w:val="32"/>
          <w:lang w:eastAsia="zh-CN"/>
        </w:rPr>
        <w:t>除上述项目以外其他用于行政事业单位医疗方面的支出。</w:t>
      </w:r>
      <w:r>
        <w:rPr>
          <w:rFonts w:hint="eastAsia" w:ascii="仿宋" w:hAnsi="仿宋" w:eastAsia="仿宋"/>
          <w:color w:val="000000"/>
          <w:sz w:val="32"/>
          <w:szCs w:val="32"/>
          <w:lang w:val="en-US" w:eastAsia="zh-CN"/>
        </w:rPr>
        <w:t xml:space="preserve">                                 </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城乡社区支出（类）国有土地使用权出让收入及对应专项债务收入安排的支出（款）土地开发支出（项）：反映新疆生产建设兵团和地方政府用于前期土地开发性支出以及与前期土地开发相关的费用等支出。</w:t>
      </w:r>
    </w:p>
    <w:p>
      <w:pPr>
        <w:ind w:firstLine="640" w:firstLineChars="200"/>
        <w:rPr>
          <w:rFonts w:ascii="仿宋" w:hAnsi="仿宋" w:eastAsia="仿宋"/>
          <w:b/>
          <w:sz w:val="32"/>
          <w:szCs w:val="32"/>
        </w:rPr>
      </w:pPr>
      <w:r>
        <w:rPr>
          <w:rFonts w:hint="eastAsia" w:ascii="仿宋_GB2312" w:eastAsia="仿宋_GB2312"/>
          <w:color w:val="000000"/>
          <w:sz w:val="32"/>
          <w:szCs w:val="32"/>
        </w:rPr>
        <w:t>13.住房保障支出（类）住房改革支出（款）住房公积金（项）：指行政事业单位按人力资源和社会保障部、财政部规定的基本工资和津贴补贴以及规定比例为职工缴纳的住房公积金。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 xml:space="preserve">.项目支出：指在基本支出之外为完成特定行政任务和事业发展目标所发生的支出。 </w:t>
      </w:r>
    </w:p>
    <w:p>
      <w:pPr>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hint="eastAsia" w:ascii="仿宋_GB2312" w:eastAsia="仿宋_GB2312"/>
          <w:sz w:val="32"/>
          <w:szCs w:val="32"/>
        </w:rPr>
        <w:t>.经营支出：指事业单位在专业业务活动及其辅助活动之外开展非独立核算经营活动发生的支出。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sz w:val="32"/>
          <w:szCs w:val="32"/>
        </w:rPr>
      </w:pPr>
      <w:r>
        <w:rPr>
          <w:rFonts w:ascii="仿宋" w:hAnsi="仿宋" w:eastAsia="仿宋"/>
          <w:b/>
          <w:sz w:val="32"/>
          <w:szCs w:val="32"/>
        </w:rPr>
        <w:br w:type="page"/>
      </w:r>
    </w:p>
    <w:p>
      <w:pPr>
        <w:pStyle w:val="3"/>
        <w:jc w:val="center"/>
        <w:rPr>
          <w:rFonts w:ascii="黑体" w:hAnsi="黑体" w:eastAsia="黑体"/>
          <w:b w:val="0"/>
        </w:rPr>
      </w:pPr>
      <w:r>
        <w:rPr>
          <w:rFonts w:hint="eastAsia" w:ascii="黑体" w:hAnsi="黑体" w:eastAsia="黑体"/>
          <w:b w:val="0"/>
        </w:rPr>
        <w:t>第四部分 附件</w:t>
      </w:r>
    </w:p>
    <w:p/>
    <w:p>
      <w:pPr>
        <w:rPr>
          <w:rFonts w:ascii="黑体" w:hAnsi="黑体" w:eastAsia="黑体"/>
          <w:sz w:val="32"/>
          <w:szCs w:val="32"/>
        </w:rPr>
      </w:pPr>
      <w:r>
        <w:rPr>
          <w:rFonts w:hint="eastAsia" w:ascii="黑体" w:hAnsi="黑体" w:eastAsia="黑体"/>
          <w:sz w:val="32"/>
          <w:szCs w:val="32"/>
        </w:rPr>
        <w:t>附件1</w:t>
      </w: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部门预算绩效评价报告</w:t>
      </w:r>
    </w:p>
    <w:p/>
    <w:p>
      <w:pPr>
        <w:ind w:firstLine="640" w:firstLineChars="200"/>
        <w:rPr>
          <w:rFonts w:ascii="黑体" w:hAnsi="黑体" w:eastAsia="黑体"/>
          <w:sz w:val="32"/>
          <w:szCs w:val="32"/>
        </w:rPr>
      </w:pPr>
      <w:r>
        <w:rPr>
          <w:rFonts w:hint="eastAsia" w:ascii="黑体" w:hAnsi="黑体" w:eastAsia="黑体"/>
          <w:sz w:val="32"/>
          <w:szCs w:val="32"/>
        </w:rPr>
        <w:t>一、部门（单位）基本情况</w:t>
      </w:r>
    </w:p>
    <w:p>
      <w:pPr>
        <w:ind w:firstLine="643" w:firstLineChars="200"/>
        <w:rPr>
          <w:rFonts w:hint="eastAsia" w:ascii="仿宋_GB2312" w:eastAsia="仿宋_GB2312"/>
          <w:sz w:val="32"/>
          <w:szCs w:val="32"/>
        </w:rPr>
      </w:pPr>
      <w:r>
        <w:rPr>
          <w:rFonts w:hint="eastAsia" w:ascii="楷体_GB2312" w:eastAsia="楷体_GB2312"/>
          <w:b/>
          <w:sz w:val="32"/>
          <w:szCs w:val="32"/>
        </w:rPr>
        <w:t>（一）机构组成。</w:t>
      </w:r>
    </w:p>
    <w:p>
      <w:pPr>
        <w:pStyle w:val="2"/>
        <w:ind w:firstLine="660" w:firstLineChars="200"/>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en-US" w:eastAsia="zh-CN" w:bidi="ar-SA"/>
        </w:rPr>
        <w:t>本部门</w:t>
      </w:r>
      <w:r>
        <w:rPr>
          <w:rFonts w:hint="eastAsia" w:ascii="方正仿宋简体" w:hAnsi="Times New Roman" w:eastAsia="方正仿宋简体" w:cs="方正仿宋简体"/>
          <w:color w:val="auto"/>
          <w:kern w:val="2"/>
          <w:sz w:val="33"/>
          <w:szCs w:val="33"/>
          <w:u w:val="none"/>
          <w:lang w:val="zh-CN" w:eastAsia="zh-CN" w:bidi="ar-SA"/>
        </w:rPr>
        <w:t>内设办公室和业务股，下设西区群众工作中心一个二级单位。</w:t>
      </w:r>
    </w:p>
    <w:p>
      <w:pPr>
        <w:ind w:firstLine="643" w:firstLineChars="200"/>
        <w:rPr>
          <w:rFonts w:hint="eastAsia" w:ascii="楷体_GB2312" w:eastAsia="楷体_GB2312"/>
          <w:b/>
          <w:sz w:val="32"/>
          <w:szCs w:val="32"/>
          <w:lang w:val="zh-CN" w:eastAsia="zh-CN"/>
        </w:rPr>
      </w:pPr>
      <w:r>
        <w:rPr>
          <w:rFonts w:hint="eastAsia" w:ascii="楷体_GB2312" w:eastAsia="楷体_GB2312"/>
          <w:b/>
          <w:sz w:val="32"/>
          <w:szCs w:val="32"/>
          <w:lang w:val="zh-CN" w:eastAsia="zh-CN"/>
        </w:rPr>
        <w:t>（</w:t>
      </w:r>
      <w:r>
        <w:rPr>
          <w:rFonts w:hint="eastAsia" w:ascii="楷体_GB2312" w:eastAsia="楷体_GB2312"/>
          <w:b/>
          <w:sz w:val="32"/>
          <w:szCs w:val="32"/>
          <w:lang w:val="en-US" w:eastAsia="zh-CN"/>
        </w:rPr>
        <w:t>二</w:t>
      </w:r>
      <w:r>
        <w:rPr>
          <w:rFonts w:hint="eastAsia" w:ascii="楷体_GB2312" w:eastAsia="楷体_GB2312"/>
          <w:b/>
          <w:sz w:val="32"/>
          <w:szCs w:val="32"/>
          <w:lang w:val="zh-CN" w:eastAsia="zh-CN"/>
        </w:rPr>
        <w:t>）机构职能。</w:t>
      </w:r>
    </w:p>
    <w:p>
      <w:pPr>
        <w:autoSpaceDE w:val="0"/>
        <w:autoSpaceDN w:val="0"/>
        <w:adjustRightInd w:val="0"/>
        <w:ind w:firstLine="660" w:firstLineChars="200"/>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en-US" w:eastAsia="zh-CN" w:bidi="ar-SA"/>
        </w:rPr>
        <w:t>1.</w:t>
      </w:r>
      <w:r>
        <w:rPr>
          <w:rFonts w:hint="eastAsia" w:ascii="方正仿宋简体" w:hAnsi="Times New Roman" w:eastAsia="方正仿宋简体" w:cs="方正仿宋简体"/>
          <w:color w:val="auto"/>
          <w:kern w:val="2"/>
          <w:sz w:val="33"/>
          <w:szCs w:val="33"/>
          <w:u w:val="none"/>
          <w:lang w:val="zh-CN" w:eastAsia="zh-CN" w:bidi="ar-SA"/>
        </w:rPr>
        <w:t>贯彻执行党和国家关于信访工作的方针、政策、法律、法规以及各级党委、政府的决策部署；提出改进和加强信访工作的建议；负责本系统、本部门依法行政工作。</w:t>
      </w:r>
    </w:p>
    <w:p>
      <w:pPr>
        <w:autoSpaceDE w:val="0"/>
        <w:autoSpaceDN w:val="0"/>
        <w:adjustRightInd w:val="0"/>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zh-CN" w:eastAsia="zh-CN" w:bidi="ar-SA"/>
        </w:rPr>
        <w:t xml:space="preserve">    </w:t>
      </w:r>
      <w:r>
        <w:rPr>
          <w:rFonts w:hint="eastAsia" w:ascii="方正仿宋简体" w:hAnsi="Times New Roman" w:eastAsia="方正仿宋简体" w:cs="方正仿宋简体"/>
          <w:color w:val="auto"/>
          <w:kern w:val="2"/>
          <w:sz w:val="33"/>
          <w:szCs w:val="33"/>
          <w:u w:val="none"/>
          <w:lang w:val="en-US" w:eastAsia="zh-CN" w:bidi="ar-SA"/>
        </w:rPr>
        <w:t>2.</w:t>
      </w:r>
      <w:r>
        <w:rPr>
          <w:rFonts w:hint="eastAsia" w:ascii="方正仿宋简体" w:hAnsi="Times New Roman" w:eastAsia="方正仿宋简体" w:cs="方正仿宋简体"/>
          <w:color w:val="auto"/>
          <w:kern w:val="2"/>
          <w:sz w:val="33"/>
          <w:szCs w:val="33"/>
          <w:u w:val="none"/>
          <w:lang w:val="zh-CN" w:eastAsia="zh-CN" w:bidi="ar-SA"/>
        </w:rPr>
        <w:t>负责向区委、区政府反映来信来电来访中提出的重要建议、意见和问题，综合研判信访信息，开展调查研究，提出制定修改完善有关政策法规的建议。</w:t>
      </w:r>
    </w:p>
    <w:p>
      <w:pPr>
        <w:autoSpaceDE w:val="0"/>
        <w:autoSpaceDN w:val="0"/>
        <w:adjustRightInd w:val="0"/>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zh-CN" w:eastAsia="zh-CN" w:bidi="ar-SA"/>
        </w:rPr>
        <w:t xml:space="preserve">    </w:t>
      </w:r>
      <w:r>
        <w:rPr>
          <w:rFonts w:hint="eastAsia" w:ascii="方正仿宋简体" w:hAnsi="Times New Roman" w:eastAsia="方正仿宋简体" w:cs="方正仿宋简体"/>
          <w:color w:val="auto"/>
          <w:kern w:val="2"/>
          <w:sz w:val="33"/>
          <w:szCs w:val="33"/>
          <w:u w:val="none"/>
          <w:lang w:val="en-US" w:eastAsia="zh-CN" w:bidi="ar-SA"/>
        </w:rPr>
        <w:t>3.</w:t>
      </w:r>
      <w:r>
        <w:rPr>
          <w:rFonts w:hint="eastAsia" w:ascii="方正仿宋简体" w:hAnsi="Times New Roman" w:eastAsia="方正仿宋简体" w:cs="方正仿宋简体"/>
          <w:color w:val="auto"/>
          <w:kern w:val="2"/>
          <w:sz w:val="33"/>
          <w:szCs w:val="33"/>
          <w:u w:val="none"/>
          <w:lang w:val="zh-CN" w:eastAsia="zh-CN" w:bidi="ar-SA"/>
        </w:rPr>
        <w:t>指导全区信访工作，督促检查镇、街道和区级各部门（单位）的信访工作，并总结推广信访工作经验，牵头完成信访工作宣传和信息发布。</w:t>
      </w:r>
    </w:p>
    <w:p>
      <w:pPr>
        <w:autoSpaceDE w:val="0"/>
        <w:autoSpaceDN w:val="0"/>
        <w:adjustRightInd w:val="0"/>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zh-CN" w:eastAsia="zh-CN" w:bidi="ar-SA"/>
        </w:rPr>
        <w:t xml:space="preserve">    </w:t>
      </w:r>
      <w:r>
        <w:rPr>
          <w:rFonts w:hint="eastAsia" w:ascii="方正仿宋简体" w:hAnsi="Times New Roman" w:eastAsia="方正仿宋简体" w:cs="方正仿宋简体"/>
          <w:color w:val="auto"/>
          <w:kern w:val="2"/>
          <w:sz w:val="33"/>
          <w:szCs w:val="33"/>
          <w:u w:val="none"/>
          <w:lang w:val="en-US" w:eastAsia="zh-CN" w:bidi="ar-SA"/>
        </w:rPr>
        <w:t>4.</w:t>
      </w:r>
      <w:r>
        <w:rPr>
          <w:rFonts w:hint="eastAsia" w:ascii="方正仿宋简体" w:hAnsi="Times New Roman" w:eastAsia="方正仿宋简体" w:cs="方正仿宋简体"/>
          <w:color w:val="auto"/>
          <w:kern w:val="2"/>
          <w:sz w:val="33"/>
          <w:szCs w:val="33"/>
          <w:u w:val="none"/>
          <w:lang w:val="zh-CN" w:eastAsia="zh-CN" w:bidi="ar-SA"/>
        </w:rPr>
        <w:t>负责处理区内外群众、境外人士、法人及其他组织通过信访渠道给区委、区政府及领导同志涉及本辖区权限内的来信来电，接待来访。</w:t>
      </w:r>
    </w:p>
    <w:p>
      <w:pPr>
        <w:autoSpaceDE w:val="0"/>
        <w:autoSpaceDN w:val="0"/>
        <w:adjustRightInd w:val="0"/>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zh-CN" w:eastAsia="zh-CN" w:bidi="ar-SA"/>
        </w:rPr>
        <w:t xml:space="preserve">    </w:t>
      </w:r>
      <w:r>
        <w:rPr>
          <w:rFonts w:hint="eastAsia" w:ascii="方正仿宋简体" w:hAnsi="Times New Roman" w:eastAsia="方正仿宋简体" w:cs="方正仿宋简体"/>
          <w:color w:val="auto"/>
          <w:kern w:val="2"/>
          <w:sz w:val="33"/>
          <w:szCs w:val="33"/>
          <w:u w:val="none"/>
          <w:lang w:val="en-US" w:eastAsia="zh-CN" w:bidi="ar-SA"/>
        </w:rPr>
        <w:t>5.</w:t>
      </w:r>
      <w:r>
        <w:rPr>
          <w:rFonts w:hint="eastAsia" w:ascii="方正仿宋简体" w:hAnsi="Times New Roman" w:eastAsia="方正仿宋简体" w:cs="方正仿宋简体"/>
          <w:color w:val="auto"/>
          <w:kern w:val="2"/>
          <w:sz w:val="33"/>
          <w:szCs w:val="33"/>
          <w:u w:val="none"/>
          <w:lang w:val="zh-CN" w:eastAsia="zh-CN" w:bidi="ar-SA"/>
        </w:rPr>
        <w:t>承担处理群众进京赴省到市、区集体上访和非接待场所上访的责任。</w:t>
      </w:r>
    </w:p>
    <w:p>
      <w:pPr>
        <w:autoSpaceDE w:val="0"/>
        <w:autoSpaceDN w:val="0"/>
        <w:adjustRightInd w:val="0"/>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zh-CN" w:eastAsia="zh-CN" w:bidi="ar-SA"/>
        </w:rPr>
        <w:t xml:space="preserve">    </w:t>
      </w:r>
      <w:r>
        <w:rPr>
          <w:rFonts w:hint="eastAsia" w:ascii="方正仿宋简体" w:hAnsi="Times New Roman" w:eastAsia="方正仿宋简体" w:cs="方正仿宋简体"/>
          <w:color w:val="auto"/>
          <w:kern w:val="2"/>
          <w:sz w:val="33"/>
          <w:szCs w:val="33"/>
          <w:u w:val="none"/>
          <w:lang w:val="en-US" w:eastAsia="zh-CN" w:bidi="ar-SA"/>
        </w:rPr>
        <w:t>6.</w:t>
      </w:r>
      <w:r>
        <w:rPr>
          <w:rFonts w:hint="eastAsia" w:ascii="方正仿宋简体" w:hAnsi="Times New Roman" w:eastAsia="方正仿宋简体" w:cs="方正仿宋简体"/>
          <w:color w:val="auto"/>
          <w:kern w:val="2"/>
          <w:sz w:val="33"/>
          <w:szCs w:val="33"/>
          <w:u w:val="none"/>
          <w:lang w:val="zh-CN" w:eastAsia="zh-CN" w:bidi="ar-SA"/>
        </w:rPr>
        <w:t>承担上级批示交办信访事项，向镇、街道及区级各部门（单位）转办、交办信访事项，督促检查重要信访事项的处理和落实。</w:t>
      </w:r>
    </w:p>
    <w:p>
      <w:pPr>
        <w:autoSpaceDE w:val="0"/>
        <w:autoSpaceDN w:val="0"/>
        <w:adjustRightInd w:val="0"/>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zh-CN" w:eastAsia="zh-CN" w:bidi="ar-SA"/>
        </w:rPr>
        <w:t xml:space="preserve">    </w:t>
      </w:r>
      <w:r>
        <w:rPr>
          <w:rFonts w:hint="eastAsia" w:ascii="方正仿宋简体" w:hAnsi="Times New Roman" w:eastAsia="方正仿宋简体" w:cs="方正仿宋简体"/>
          <w:color w:val="auto"/>
          <w:kern w:val="2"/>
          <w:sz w:val="33"/>
          <w:szCs w:val="33"/>
          <w:u w:val="none"/>
          <w:lang w:val="en-US" w:eastAsia="zh-CN" w:bidi="ar-SA"/>
        </w:rPr>
        <w:t>7.</w:t>
      </w:r>
      <w:r>
        <w:rPr>
          <w:rFonts w:hint="eastAsia" w:ascii="方正仿宋简体" w:hAnsi="Times New Roman" w:eastAsia="方正仿宋简体" w:cs="方正仿宋简体"/>
          <w:color w:val="auto"/>
          <w:kern w:val="2"/>
          <w:sz w:val="33"/>
          <w:szCs w:val="33"/>
          <w:u w:val="none"/>
          <w:lang w:val="zh-CN" w:eastAsia="zh-CN" w:bidi="ar-SA"/>
        </w:rPr>
        <w:t>制定信访信息汇集分析机制，指导全区信访信息化建设和应用。</w:t>
      </w:r>
    </w:p>
    <w:p>
      <w:pPr>
        <w:autoSpaceDE w:val="0"/>
        <w:autoSpaceDN w:val="0"/>
        <w:adjustRightInd w:val="0"/>
        <w:spacing w:line="360" w:lineRule="auto"/>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zh-CN" w:eastAsia="zh-CN" w:bidi="ar-SA"/>
        </w:rPr>
        <w:t xml:space="preserve">    </w:t>
      </w:r>
      <w:r>
        <w:rPr>
          <w:rFonts w:hint="eastAsia" w:ascii="方正仿宋简体" w:hAnsi="Times New Roman" w:eastAsia="方正仿宋简体" w:cs="方正仿宋简体"/>
          <w:color w:val="auto"/>
          <w:kern w:val="2"/>
          <w:sz w:val="33"/>
          <w:szCs w:val="33"/>
          <w:u w:val="none"/>
          <w:lang w:val="en-US" w:eastAsia="zh-CN" w:bidi="ar-SA"/>
        </w:rPr>
        <w:t>8.</w:t>
      </w:r>
      <w:r>
        <w:rPr>
          <w:rFonts w:hint="eastAsia" w:ascii="方正仿宋简体" w:hAnsi="Times New Roman" w:eastAsia="方正仿宋简体" w:cs="方正仿宋简体"/>
          <w:color w:val="auto"/>
          <w:kern w:val="2"/>
          <w:sz w:val="33"/>
          <w:szCs w:val="33"/>
          <w:u w:val="none"/>
          <w:lang w:val="zh-CN" w:eastAsia="zh-CN" w:bidi="ar-SA"/>
        </w:rPr>
        <w:t>承担区信访工作联席会议、区政府信访事项复查复核委员会日常工作，监督落实有关事项。</w:t>
      </w:r>
    </w:p>
    <w:p>
      <w:pPr>
        <w:autoSpaceDE w:val="0"/>
        <w:autoSpaceDN w:val="0"/>
        <w:adjustRightInd w:val="0"/>
        <w:spacing w:line="360" w:lineRule="auto"/>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zh-CN" w:eastAsia="zh-CN" w:bidi="ar-SA"/>
        </w:rPr>
        <w:t xml:space="preserve">    </w:t>
      </w:r>
      <w:r>
        <w:rPr>
          <w:rFonts w:hint="eastAsia" w:ascii="方正仿宋简体" w:hAnsi="Times New Roman" w:eastAsia="方正仿宋简体" w:cs="方正仿宋简体"/>
          <w:color w:val="auto"/>
          <w:kern w:val="2"/>
          <w:sz w:val="33"/>
          <w:szCs w:val="33"/>
          <w:u w:val="none"/>
          <w:lang w:val="en-US" w:eastAsia="zh-CN" w:bidi="ar-SA"/>
        </w:rPr>
        <w:t>9.</w:t>
      </w:r>
      <w:r>
        <w:rPr>
          <w:rFonts w:hint="eastAsia" w:ascii="方正仿宋简体" w:hAnsi="Times New Roman" w:eastAsia="方正仿宋简体" w:cs="方正仿宋简体"/>
          <w:color w:val="auto"/>
          <w:kern w:val="2"/>
          <w:sz w:val="33"/>
          <w:szCs w:val="33"/>
          <w:u w:val="none"/>
          <w:lang w:val="zh-CN" w:eastAsia="zh-CN" w:bidi="ar-SA"/>
        </w:rPr>
        <w:t>负责职责范围内的安全生产和职业健康、生态环境保护、审批服务便民化工作。</w:t>
      </w:r>
    </w:p>
    <w:p>
      <w:pPr>
        <w:pStyle w:val="2"/>
        <w:numPr>
          <w:ilvl w:val="0"/>
          <w:numId w:val="0"/>
        </w:numPr>
        <w:ind w:firstLine="660" w:firstLineChars="200"/>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en-US" w:eastAsia="zh-CN" w:bidi="ar-SA"/>
        </w:rPr>
        <w:t>10.</w:t>
      </w:r>
      <w:r>
        <w:rPr>
          <w:rFonts w:hint="eastAsia" w:ascii="方正仿宋简体" w:hAnsi="Times New Roman" w:eastAsia="方正仿宋简体" w:cs="方正仿宋简体"/>
          <w:color w:val="auto"/>
          <w:kern w:val="2"/>
          <w:sz w:val="33"/>
          <w:szCs w:val="33"/>
          <w:u w:val="none"/>
          <w:lang w:val="zh-CN" w:eastAsia="zh-CN" w:bidi="ar-SA"/>
        </w:rPr>
        <w:t>完成区委和区政府交办的其他任务。</w:t>
      </w:r>
    </w:p>
    <w:p>
      <w:pPr>
        <w:ind w:firstLine="643" w:firstLineChars="200"/>
        <w:rPr>
          <w:rFonts w:hint="eastAsia" w:ascii="楷体_GB2312" w:eastAsia="楷体_GB2312"/>
          <w:b/>
          <w:sz w:val="32"/>
          <w:szCs w:val="32"/>
          <w:lang w:val="zh-CN" w:eastAsia="zh-CN"/>
        </w:rPr>
      </w:pPr>
      <w:r>
        <w:rPr>
          <w:rFonts w:hint="eastAsia" w:ascii="楷体_GB2312" w:eastAsia="楷体_GB2312"/>
          <w:b/>
          <w:sz w:val="32"/>
          <w:szCs w:val="32"/>
          <w:lang w:val="zh-CN" w:eastAsia="zh-CN"/>
        </w:rPr>
        <w:t>（三）人员概况。</w:t>
      </w:r>
    </w:p>
    <w:p>
      <w:pPr>
        <w:pStyle w:val="2"/>
        <w:ind w:firstLine="660" w:firstLineChars="200"/>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zh-CN" w:eastAsia="zh-CN" w:bidi="ar-SA"/>
        </w:rPr>
        <w:t>本部门核定行政编制3人，事业编制5人。年末实有行政编制人员3人、事业编制人员5人，与去年同期实有人数相比,行政人员和事业人员都无变化。</w:t>
      </w:r>
    </w:p>
    <w:p>
      <w:pPr>
        <w:ind w:firstLine="640" w:firstLineChars="200"/>
        <w:rPr>
          <w:rFonts w:hint="eastAsia" w:ascii="黑体" w:hAnsi="黑体" w:eastAsia="黑体"/>
          <w:sz w:val="32"/>
          <w:szCs w:val="32"/>
          <w:lang w:val="zh-CN" w:eastAsia="zh-CN"/>
        </w:rPr>
      </w:pPr>
      <w:r>
        <w:rPr>
          <w:rFonts w:hint="eastAsia" w:ascii="黑体" w:hAnsi="黑体" w:eastAsia="黑体"/>
          <w:sz w:val="32"/>
          <w:szCs w:val="32"/>
          <w:lang w:val="zh-CN" w:eastAsia="zh-CN"/>
        </w:rPr>
        <w:t>二、部门资金收支情况</w:t>
      </w:r>
    </w:p>
    <w:p>
      <w:pPr>
        <w:ind w:firstLine="643" w:firstLineChars="200"/>
        <w:rPr>
          <w:rFonts w:hint="eastAsia" w:ascii="楷体_GB2312" w:eastAsia="楷体_GB2312"/>
          <w:b/>
          <w:sz w:val="32"/>
          <w:szCs w:val="32"/>
          <w:lang w:val="zh-CN" w:eastAsia="zh-CN"/>
        </w:rPr>
      </w:pPr>
      <w:r>
        <w:rPr>
          <w:rFonts w:hint="eastAsia" w:ascii="楷体_GB2312" w:eastAsia="楷体_GB2312"/>
          <w:b/>
          <w:sz w:val="32"/>
          <w:szCs w:val="32"/>
          <w:lang w:val="zh-CN" w:eastAsia="zh-CN"/>
        </w:rPr>
        <w:t>（一）收入情况。</w:t>
      </w:r>
    </w:p>
    <w:p>
      <w:pPr>
        <w:pStyle w:val="2"/>
        <w:ind w:firstLine="660" w:firstLineChars="200"/>
        <w:rPr>
          <w:rFonts w:hint="default" w:ascii="方正仿宋简体" w:hAnsi="Times New Roman" w:eastAsia="方正仿宋简体" w:cs="方正仿宋简体"/>
          <w:color w:val="auto"/>
          <w:kern w:val="2"/>
          <w:sz w:val="33"/>
          <w:szCs w:val="33"/>
          <w:u w:val="none"/>
          <w:lang w:val="en-US" w:eastAsia="zh-CN" w:bidi="ar-SA"/>
        </w:rPr>
      </w:pPr>
      <w:r>
        <w:rPr>
          <w:rFonts w:hint="eastAsia" w:ascii="方正仿宋简体" w:hAnsi="Times New Roman" w:eastAsia="方正仿宋简体" w:cs="方正仿宋简体"/>
          <w:color w:val="auto"/>
          <w:kern w:val="2"/>
          <w:sz w:val="33"/>
          <w:szCs w:val="33"/>
          <w:u w:val="none"/>
          <w:lang w:val="en-US" w:eastAsia="zh-CN" w:bidi="ar-SA"/>
        </w:rPr>
        <w:t>2023年度，</w:t>
      </w:r>
      <w:r>
        <w:rPr>
          <w:rFonts w:hint="eastAsia" w:ascii="方正仿宋简体" w:hAnsi="Times New Roman" w:eastAsia="方正仿宋简体" w:cs="方正仿宋简体"/>
          <w:color w:val="auto"/>
          <w:kern w:val="2"/>
          <w:sz w:val="33"/>
          <w:szCs w:val="33"/>
          <w:u w:val="none"/>
          <w:lang w:val="zh-CN" w:eastAsia="zh-CN" w:bidi="ar-SA"/>
        </w:rPr>
        <w:t>年初预算安排财政拨款收入1</w:t>
      </w:r>
      <w:r>
        <w:rPr>
          <w:rFonts w:hint="eastAsia" w:ascii="方正仿宋简体" w:hAnsi="Times New Roman" w:eastAsia="方正仿宋简体" w:cs="方正仿宋简体"/>
          <w:color w:val="auto"/>
          <w:kern w:val="2"/>
          <w:sz w:val="33"/>
          <w:szCs w:val="33"/>
          <w:u w:val="none"/>
          <w:lang w:val="en-US" w:eastAsia="zh-CN" w:bidi="ar-SA"/>
        </w:rPr>
        <w:t>96.95万</w:t>
      </w:r>
      <w:r>
        <w:rPr>
          <w:rFonts w:hint="eastAsia" w:ascii="方正仿宋简体" w:hAnsi="Times New Roman" w:eastAsia="方正仿宋简体" w:cs="方正仿宋简体"/>
          <w:color w:val="auto"/>
          <w:kern w:val="2"/>
          <w:sz w:val="33"/>
          <w:szCs w:val="33"/>
          <w:u w:val="none"/>
          <w:lang w:val="zh-CN" w:eastAsia="zh-CN" w:bidi="ar-SA"/>
        </w:rPr>
        <w:t>元，其中：一般公共预算财政拨款收入</w:t>
      </w:r>
      <w:r>
        <w:rPr>
          <w:rFonts w:hint="eastAsia" w:ascii="方正仿宋简体" w:hAnsi="Times New Roman" w:eastAsia="方正仿宋简体" w:cs="方正仿宋简体"/>
          <w:color w:val="auto"/>
          <w:kern w:val="2"/>
          <w:sz w:val="33"/>
          <w:szCs w:val="33"/>
          <w:u w:val="none"/>
          <w:lang w:val="en-US" w:eastAsia="zh-CN" w:bidi="ar-SA"/>
        </w:rPr>
        <w:t>173.95</w:t>
      </w:r>
      <w:r>
        <w:rPr>
          <w:rFonts w:hint="eastAsia" w:ascii="方正仿宋简体" w:hAnsi="Times New Roman" w:eastAsia="方正仿宋简体" w:cs="方正仿宋简体"/>
          <w:color w:val="auto"/>
          <w:kern w:val="2"/>
          <w:sz w:val="33"/>
          <w:szCs w:val="33"/>
          <w:u w:val="none"/>
          <w:lang w:val="zh-CN" w:eastAsia="zh-CN" w:bidi="ar-SA"/>
        </w:rPr>
        <w:t>元，政府性基金预算财政拨款收入</w:t>
      </w:r>
      <w:r>
        <w:rPr>
          <w:rFonts w:hint="eastAsia" w:ascii="方正仿宋简体" w:hAnsi="Times New Roman" w:eastAsia="方正仿宋简体" w:cs="方正仿宋简体"/>
          <w:color w:val="auto"/>
          <w:kern w:val="2"/>
          <w:sz w:val="33"/>
          <w:szCs w:val="33"/>
          <w:u w:val="none"/>
          <w:lang w:val="en-US" w:eastAsia="zh-CN" w:bidi="ar-SA"/>
        </w:rPr>
        <w:t>23</w:t>
      </w:r>
      <w:r>
        <w:rPr>
          <w:rFonts w:hint="eastAsia" w:ascii="方正仿宋简体" w:hAnsi="Times New Roman" w:eastAsia="方正仿宋简体" w:cs="方正仿宋简体"/>
          <w:color w:val="auto"/>
          <w:kern w:val="2"/>
          <w:sz w:val="33"/>
          <w:szCs w:val="33"/>
          <w:u w:val="none"/>
          <w:lang w:val="zh-CN" w:eastAsia="zh-CN" w:bidi="ar-SA"/>
        </w:rPr>
        <w:t>万元。决算报表反映本年收入2</w:t>
      </w:r>
      <w:r>
        <w:rPr>
          <w:rFonts w:hint="eastAsia" w:ascii="方正仿宋简体" w:hAnsi="Times New Roman" w:eastAsia="方正仿宋简体" w:cs="方正仿宋简体"/>
          <w:color w:val="auto"/>
          <w:kern w:val="2"/>
          <w:sz w:val="33"/>
          <w:szCs w:val="33"/>
          <w:u w:val="none"/>
          <w:lang w:val="en-US" w:eastAsia="zh-CN" w:bidi="ar-SA"/>
        </w:rPr>
        <w:t>18.39万</w:t>
      </w:r>
      <w:r>
        <w:rPr>
          <w:rFonts w:hint="eastAsia" w:ascii="方正仿宋简体" w:hAnsi="Times New Roman" w:eastAsia="方正仿宋简体" w:cs="方正仿宋简体"/>
          <w:color w:val="auto"/>
          <w:kern w:val="2"/>
          <w:sz w:val="33"/>
          <w:szCs w:val="33"/>
          <w:u w:val="none"/>
          <w:lang w:val="zh-CN" w:eastAsia="zh-CN" w:bidi="ar-SA"/>
        </w:rPr>
        <w:t>元，其中：一般公共预算财政拨款收入</w:t>
      </w:r>
      <w:r>
        <w:rPr>
          <w:rFonts w:hint="eastAsia" w:ascii="方正仿宋简体" w:hAnsi="Times New Roman" w:eastAsia="方正仿宋简体" w:cs="方正仿宋简体"/>
          <w:color w:val="auto"/>
          <w:kern w:val="2"/>
          <w:sz w:val="33"/>
          <w:szCs w:val="33"/>
          <w:u w:val="none"/>
          <w:lang w:val="en-US" w:eastAsia="zh-CN" w:bidi="ar-SA"/>
        </w:rPr>
        <w:t>203.62万</w:t>
      </w:r>
      <w:r>
        <w:rPr>
          <w:rFonts w:hint="eastAsia" w:ascii="方正仿宋简体" w:hAnsi="Times New Roman" w:eastAsia="方正仿宋简体" w:cs="方正仿宋简体"/>
          <w:color w:val="auto"/>
          <w:kern w:val="2"/>
          <w:sz w:val="33"/>
          <w:szCs w:val="33"/>
          <w:u w:val="none"/>
          <w:lang w:val="zh-CN" w:eastAsia="zh-CN" w:bidi="ar-SA"/>
        </w:rPr>
        <w:t>元，政府性基金预算财政拨款收入</w:t>
      </w:r>
      <w:r>
        <w:rPr>
          <w:rFonts w:hint="eastAsia" w:ascii="方正仿宋简体" w:hAnsi="Times New Roman" w:eastAsia="方正仿宋简体" w:cs="方正仿宋简体"/>
          <w:color w:val="auto"/>
          <w:kern w:val="2"/>
          <w:sz w:val="33"/>
          <w:szCs w:val="33"/>
          <w:u w:val="none"/>
          <w:lang w:val="en-US" w:eastAsia="zh-CN" w:bidi="ar-SA"/>
        </w:rPr>
        <w:t>14.76</w:t>
      </w:r>
      <w:r>
        <w:rPr>
          <w:rFonts w:hint="eastAsia" w:ascii="方正仿宋简体" w:hAnsi="Times New Roman" w:eastAsia="方正仿宋简体" w:cs="方正仿宋简体"/>
          <w:color w:val="auto"/>
          <w:kern w:val="2"/>
          <w:sz w:val="33"/>
          <w:szCs w:val="33"/>
          <w:u w:val="none"/>
          <w:lang w:val="zh-CN" w:eastAsia="zh-CN" w:bidi="ar-SA"/>
        </w:rPr>
        <w:t>万元，其他收入</w:t>
      </w:r>
      <w:r>
        <w:rPr>
          <w:rFonts w:hint="eastAsia" w:ascii="方正仿宋简体" w:hAnsi="Times New Roman" w:eastAsia="方正仿宋简体" w:cs="方正仿宋简体"/>
          <w:color w:val="auto"/>
          <w:kern w:val="2"/>
          <w:sz w:val="33"/>
          <w:szCs w:val="33"/>
          <w:u w:val="none"/>
          <w:lang w:val="en-US" w:eastAsia="zh-CN" w:bidi="ar-SA"/>
        </w:rPr>
        <w:t>0.01万元。</w:t>
      </w:r>
    </w:p>
    <w:p>
      <w:pPr>
        <w:ind w:firstLine="643" w:firstLineChars="200"/>
        <w:rPr>
          <w:rFonts w:hint="eastAsia" w:ascii="楷体_GB2312" w:eastAsia="楷体_GB2312"/>
          <w:b/>
          <w:sz w:val="32"/>
          <w:szCs w:val="32"/>
          <w:lang w:val="zh-CN" w:eastAsia="zh-CN"/>
        </w:rPr>
      </w:pPr>
      <w:r>
        <w:rPr>
          <w:rFonts w:hint="eastAsia" w:ascii="楷体_GB2312" w:eastAsia="楷体_GB2312"/>
          <w:b/>
          <w:sz w:val="32"/>
          <w:szCs w:val="32"/>
          <w:lang w:val="zh-CN" w:eastAsia="zh-CN"/>
        </w:rPr>
        <w:t>（二）支出情况。</w:t>
      </w:r>
    </w:p>
    <w:p>
      <w:pPr>
        <w:pStyle w:val="2"/>
        <w:numPr>
          <w:ilvl w:val="0"/>
          <w:numId w:val="0"/>
        </w:numPr>
        <w:ind w:firstLine="660" w:firstLineChars="200"/>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en-US" w:eastAsia="zh-CN" w:bidi="ar-SA"/>
        </w:rPr>
        <w:t>2023年度，</w:t>
      </w:r>
      <w:r>
        <w:rPr>
          <w:rFonts w:hint="eastAsia" w:ascii="方正仿宋简体" w:hAnsi="Times New Roman" w:eastAsia="方正仿宋简体" w:cs="方正仿宋简体"/>
          <w:color w:val="auto"/>
          <w:kern w:val="2"/>
          <w:sz w:val="33"/>
          <w:szCs w:val="33"/>
          <w:u w:val="none"/>
          <w:lang w:val="zh-CN" w:eastAsia="zh-CN" w:bidi="ar-SA"/>
        </w:rPr>
        <w:t>年初预算安排财政拨款支出1</w:t>
      </w:r>
      <w:r>
        <w:rPr>
          <w:rFonts w:hint="eastAsia" w:ascii="方正仿宋简体" w:hAnsi="Times New Roman" w:eastAsia="方正仿宋简体" w:cs="方正仿宋简体"/>
          <w:color w:val="auto"/>
          <w:kern w:val="2"/>
          <w:sz w:val="33"/>
          <w:szCs w:val="33"/>
          <w:u w:val="none"/>
          <w:lang w:val="en-US" w:eastAsia="zh-CN" w:bidi="ar-SA"/>
        </w:rPr>
        <w:t>96.95万</w:t>
      </w:r>
      <w:r>
        <w:rPr>
          <w:rFonts w:hint="eastAsia" w:ascii="方正仿宋简体" w:hAnsi="Times New Roman" w:eastAsia="方正仿宋简体" w:cs="方正仿宋简体"/>
          <w:color w:val="auto"/>
          <w:kern w:val="2"/>
          <w:sz w:val="33"/>
          <w:szCs w:val="33"/>
          <w:u w:val="none"/>
          <w:lang w:val="zh-CN" w:eastAsia="zh-CN" w:bidi="ar-SA"/>
        </w:rPr>
        <w:t>元，其中：一般公共预算财政拨款支出</w:t>
      </w:r>
      <w:r>
        <w:rPr>
          <w:rFonts w:hint="eastAsia" w:ascii="方正仿宋简体" w:hAnsi="Times New Roman" w:eastAsia="方正仿宋简体" w:cs="方正仿宋简体"/>
          <w:color w:val="auto"/>
          <w:kern w:val="2"/>
          <w:sz w:val="33"/>
          <w:szCs w:val="33"/>
          <w:u w:val="none"/>
          <w:lang w:val="en-US" w:eastAsia="zh-CN" w:bidi="ar-SA"/>
        </w:rPr>
        <w:t>173.95万</w:t>
      </w:r>
      <w:r>
        <w:rPr>
          <w:rFonts w:hint="eastAsia" w:ascii="方正仿宋简体" w:hAnsi="Times New Roman" w:eastAsia="方正仿宋简体" w:cs="方正仿宋简体"/>
          <w:color w:val="auto"/>
          <w:kern w:val="2"/>
          <w:sz w:val="33"/>
          <w:szCs w:val="33"/>
          <w:u w:val="none"/>
          <w:lang w:val="zh-CN" w:eastAsia="zh-CN" w:bidi="ar-SA"/>
        </w:rPr>
        <w:t>元，政府性基金预算财政拨款支出</w:t>
      </w:r>
      <w:r>
        <w:rPr>
          <w:rFonts w:hint="eastAsia" w:ascii="方正仿宋简体" w:hAnsi="Times New Roman" w:eastAsia="方正仿宋简体" w:cs="方正仿宋简体"/>
          <w:color w:val="auto"/>
          <w:kern w:val="2"/>
          <w:sz w:val="33"/>
          <w:szCs w:val="33"/>
          <w:u w:val="none"/>
          <w:lang w:val="en-US" w:eastAsia="zh-CN" w:bidi="ar-SA"/>
        </w:rPr>
        <w:t>23</w:t>
      </w:r>
      <w:r>
        <w:rPr>
          <w:rFonts w:hint="eastAsia" w:ascii="方正仿宋简体" w:hAnsi="Times New Roman" w:eastAsia="方正仿宋简体" w:cs="方正仿宋简体"/>
          <w:color w:val="auto"/>
          <w:kern w:val="2"/>
          <w:sz w:val="33"/>
          <w:szCs w:val="33"/>
          <w:u w:val="none"/>
          <w:lang w:val="zh-CN" w:eastAsia="zh-CN" w:bidi="ar-SA"/>
        </w:rPr>
        <w:t>万元。决算报表反映本年支出2</w:t>
      </w:r>
      <w:r>
        <w:rPr>
          <w:rFonts w:hint="eastAsia" w:ascii="方正仿宋简体" w:hAnsi="Times New Roman" w:eastAsia="方正仿宋简体" w:cs="方正仿宋简体"/>
          <w:color w:val="auto"/>
          <w:kern w:val="2"/>
          <w:sz w:val="33"/>
          <w:szCs w:val="33"/>
          <w:u w:val="none"/>
          <w:lang w:val="en-US" w:eastAsia="zh-CN" w:bidi="ar-SA"/>
        </w:rPr>
        <w:t>35.52万</w:t>
      </w:r>
      <w:r>
        <w:rPr>
          <w:rFonts w:hint="eastAsia" w:ascii="方正仿宋简体" w:hAnsi="Times New Roman" w:eastAsia="方正仿宋简体" w:cs="方正仿宋简体"/>
          <w:color w:val="auto"/>
          <w:kern w:val="2"/>
          <w:sz w:val="33"/>
          <w:szCs w:val="33"/>
          <w:u w:val="none"/>
          <w:lang w:val="zh-CN" w:eastAsia="zh-CN" w:bidi="ar-SA"/>
        </w:rPr>
        <w:t>元，其中：一般公共预算财政拨款支出</w:t>
      </w:r>
      <w:r>
        <w:rPr>
          <w:rFonts w:hint="eastAsia" w:ascii="方正仿宋简体" w:hAnsi="Times New Roman" w:eastAsia="方正仿宋简体" w:cs="方正仿宋简体"/>
          <w:color w:val="auto"/>
          <w:kern w:val="2"/>
          <w:sz w:val="33"/>
          <w:szCs w:val="33"/>
          <w:u w:val="none"/>
          <w:lang w:val="en-US" w:eastAsia="zh-CN" w:bidi="ar-SA"/>
        </w:rPr>
        <w:t>214.96万</w:t>
      </w:r>
      <w:r>
        <w:rPr>
          <w:rFonts w:hint="eastAsia" w:ascii="方正仿宋简体" w:hAnsi="Times New Roman" w:eastAsia="方正仿宋简体" w:cs="方正仿宋简体"/>
          <w:color w:val="auto"/>
          <w:kern w:val="2"/>
          <w:sz w:val="33"/>
          <w:szCs w:val="33"/>
          <w:u w:val="none"/>
          <w:lang w:val="zh-CN" w:eastAsia="zh-CN" w:bidi="ar-SA"/>
        </w:rPr>
        <w:t>元，政府性基金预算财政拨款支出</w:t>
      </w:r>
      <w:r>
        <w:rPr>
          <w:rFonts w:hint="eastAsia" w:ascii="方正仿宋简体" w:hAnsi="Times New Roman" w:eastAsia="方正仿宋简体" w:cs="方正仿宋简体"/>
          <w:color w:val="auto"/>
          <w:kern w:val="2"/>
          <w:sz w:val="33"/>
          <w:szCs w:val="33"/>
          <w:u w:val="none"/>
          <w:lang w:val="en-US" w:eastAsia="zh-CN" w:bidi="ar-SA"/>
        </w:rPr>
        <w:t>20.56</w:t>
      </w:r>
      <w:r>
        <w:rPr>
          <w:rFonts w:hint="eastAsia" w:ascii="方正仿宋简体" w:hAnsi="Times New Roman" w:eastAsia="方正仿宋简体" w:cs="方正仿宋简体"/>
          <w:color w:val="auto"/>
          <w:kern w:val="2"/>
          <w:sz w:val="33"/>
          <w:szCs w:val="33"/>
          <w:u w:val="none"/>
          <w:lang w:val="zh-CN" w:eastAsia="zh-CN" w:bidi="ar-SA"/>
        </w:rPr>
        <w:t>万元</w:t>
      </w:r>
      <w:r>
        <w:rPr>
          <w:rFonts w:hint="eastAsia" w:ascii="方正仿宋简体" w:hAnsi="Times New Roman" w:eastAsia="方正仿宋简体" w:cs="方正仿宋简体"/>
          <w:color w:val="auto"/>
          <w:kern w:val="2"/>
          <w:sz w:val="33"/>
          <w:szCs w:val="33"/>
          <w:u w:val="none"/>
          <w:lang w:val="en-US" w:eastAsia="zh-CN" w:bidi="ar-SA"/>
        </w:rPr>
        <w:t>。本年支出大于本年收入是因：本年支出中财政使用存量资金安排一般公共预算财政拨款支出11.35万元，政府性基金预算财政拨款支出5.80万元。</w:t>
      </w:r>
    </w:p>
    <w:p>
      <w:pPr>
        <w:ind w:firstLine="643" w:firstLineChars="200"/>
        <w:rPr>
          <w:rFonts w:hint="eastAsia" w:ascii="楷体_GB2312" w:eastAsia="楷体_GB2312"/>
          <w:b/>
          <w:sz w:val="32"/>
          <w:szCs w:val="32"/>
          <w:lang w:val="zh-CN" w:eastAsia="zh-CN"/>
        </w:rPr>
      </w:pPr>
      <w:r>
        <w:rPr>
          <w:rFonts w:hint="eastAsia" w:ascii="楷体_GB2312" w:eastAsia="楷体_GB2312"/>
          <w:b/>
          <w:sz w:val="32"/>
          <w:szCs w:val="32"/>
          <w:lang w:val="zh-CN" w:eastAsia="zh-CN"/>
        </w:rPr>
        <w:t>（</w:t>
      </w:r>
      <w:r>
        <w:rPr>
          <w:rFonts w:hint="eastAsia" w:ascii="楷体_GB2312" w:eastAsia="楷体_GB2312"/>
          <w:b/>
          <w:sz w:val="32"/>
          <w:szCs w:val="32"/>
          <w:lang w:val="en-US" w:eastAsia="zh-CN"/>
        </w:rPr>
        <w:t>三</w:t>
      </w:r>
      <w:r>
        <w:rPr>
          <w:rFonts w:hint="eastAsia" w:ascii="楷体_GB2312" w:eastAsia="楷体_GB2312"/>
          <w:b/>
          <w:sz w:val="32"/>
          <w:szCs w:val="32"/>
          <w:lang w:val="zh-CN" w:eastAsia="zh-CN"/>
        </w:rPr>
        <w:t>）2023年度决算报表结转结余</w:t>
      </w:r>
      <w:r>
        <w:rPr>
          <w:rFonts w:hint="eastAsia" w:ascii="楷体_GB2312" w:eastAsia="楷体_GB2312"/>
          <w:b/>
          <w:sz w:val="32"/>
          <w:szCs w:val="32"/>
          <w:lang w:val="en-US" w:eastAsia="zh-CN"/>
        </w:rPr>
        <w:t>0.16万元</w:t>
      </w:r>
      <w:r>
        <w:rPr>
          <w:rFonts w:hint="eastAsia" w:ascii="楷体_GB2312" w:eastAsia="楷体_GB2312"/>
          <w:b/>
          <w:sz w:val="32"/>
          <w:szCs w:val="32"/>
          <w:lang w:val="zh-CN" w:eastAsia="zh-CN"/>
        </w:rPr>
        <w:t>。</w:t>
      </w:r>
    </w:p>
    <w:p>
      <w:pPr>
        <w:ind w:firstLine="640" w:firstLineChars="200"/>
        <w:rPr>
          <w:rFonts w:hint="eastAsia" w:ascii="黑体" w:hAnsi="黑体" w:eastAsia="黑体"/>
          <w:sz w:val="32"/>
          <w:szCs w:val="32"/>
          <w:lang w:val="zh-CN" w:eastAsia="zh-CN"/>
        </w:rPr>
      </w:pPr>
      <w:r>
        <w:rPr>
          <w:rFonts w:hint="eastAsia" w:ascii="黑体" w:hAnsi="黑体" w:eastAsia="黑体"/>
          <w:sz w:val="32"/>
          <w:szCs w:val="32"/>
          <w:lang w:val="zh-CN" w:eastAsia="zh-CN"/>
        </w:rPr>
        <w:t>三、部门预算绩效分析</w:t>
      </w:r>
    </w:p>
    <w:p>
      <w:pPr>
        <w:ind w:firstLine="643" w:firstLineChars="200"/>
        <w:rPr>
          <w:rFonts w:hint="eastAsia" w:ascii="楷体_GB2312" w:eastAsia="楷体_GB2312"/>
          <w:b/>
          <w:sz w:val="32"/>
          <w:szCs w:val="32"/>
          <w:lang w:val="zh-CN" w:eastAsia="zh-CN"/>
        </w:rPr>
      </w:pPr>
      <w:r>
        <w:rPr>
          <w:rFonts w:hint="eastAsia" w:ascii="楷体_GB2312" w:eastAsia="楷体_GB2312"/>
          <w:b/>
          <w:sz w:val="32"/>
          <w:szCs w:val="32"/>
          <w:lang w:val="zh-CN" w:eastAsia="zh-CN"/>
        </w:rPr>
        <w:t>（一）部门预算项目绩效分析。</w:t>
      </w:r>
    </w:p>
    <w:p>
      <w:pPr>
        <w:widowControl/>
        <w:adjustRightInd w:val="0"/>
        <w:snapToGrid w:val="0"/>
        <w:spacing w:line="560" w:lineRule="exact"/>
        <w:ind w:firstLine="663" w:firstLineChars="200"/>
        <w:contextualSpacing/>
        <w:jc w:val="left"/>
        <w:rPr>
          <w:rFonts w:hint="eastAsia" w:ascii="方正仿宋简体" w:hAnsi="Times New Roman" w:eastAsia="方正仿宋简体" w:cs="方正仿宋简体"/>
          <w:b/>
          <w:bCs/>
          <w:color w:val="auto"/>
          <w:kern w:val="2"/>
          <w:sz w:val="33"/>
          <w:szCs w:val="33"/>
          <w:u w:val="none"/>
          <w:lang w:val="zh-CN" w:eastAsia="zh-CN" w:bidi="ar-SA"/>
        </w:rPr>
      </w:pPr>
      <w:r>
        <w:rPr>
          <w:rFonts w:hint="eastAsia" w:ascii="方正仿宋简体" w:hAnsi="Times New Roman" w:eastAsia="方正仿宋简体" w:cs="方正仿宋简体"/>
          <w:b/>
          <w:bCs/>
          <w:color w:val="auto"/>
          <w:kern w:val="2"/>
          <w:sz w:val="33"/>
          <w:szCs w:val="33"/>
          <w:u w:val="none"/>
          <w:lang w:val="zh-CN" w:eastAsia="zh-CN" w:bidi="ar-SA"/>
        </w:rPr>
        <w:t>1.人员类项目绩效分析</w:t>
      </w:r>
    </w:p>
    <w:p>
      <w:pPr>
        <w:widowControl/>
        <w:adjustRightInd w:val="0"/>
        <w:snapToGrid w:val="0"/>
        <w:spacing w:line="560" w:lineRule="exact"/>
        <w:ind w:firstLine="660" w:firstLineChars="200"/>
        <w:contextualSpacing/>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en-US" w:eastAsia="zh-CN" w:bidi="ar-SA"/>
        </w:rPr>
        <w:t>（1）</w:t>
      </w:r>
      <w:r>
        <w:rPr>
          <w:rFonts w:hint="eastAsia" w:ascii="方正仿宋简体" w:hAnsi="Times New Roman" w:eastAsia="方正仿宋简体" w:cs="方正仿宋简体"/>
          <w:color w:val="auto"/>
          <w:kern w:val="2"/>
          <w:sz w:val="33"/>
          <w:szCs w:val="33"/>
          <w:u w:val="none"/>
          <w:lang w:val="zh-CN" w:eastAsia="zh-CN" w:bidi="ar-SA"/>
        </w:rPr>
        <w:t>西区信访局属正科级财政全额机关单位，主要负责全区信访工作，本单位共有行政编制</w:t>
      </w:r>
      <w:r>
        <w:rPr>
          <w:rFonts w:hint="eastAsia" w:ascii="方正仿宋简体" w:hAnsi="Times New Roman" w:eastAsia="方正仿宋简体" w:cs="方正仿宋简体"/>
          <w:color w:val="auto"/>
          <w:kern w:val="2"/>
          <w:sz w:val="33"/>
          <w:szCs w:val="33"/>
          <w:u w:val="none"/>
          <w:lang w:val="en-US" w:eastAsia="zh-CN" w:bidi="ar-SA"/>
        </w:rPr>
        <w:t>3名，事业编制5名，退休人员5名，</w:t>
      </w:r>
      <w:r>
        <w:rPr>
          <w:rFonts w:hint="eastAsia" w:ascii="方正仿宋简体" w:hAnsi="Times New Roman" w:eastAsia="方正仿宋简体" w:cs="方正仿宋简体"/>
          <w:color w:val="auto"/>
          <w:kern w:val="2"/>
          <w:sz w:val="33"/>
          <w:szCs w:val="33"/>
          <w:u w:val="none"/>
          <w:lang w:val="zh-CN" w:eastAsia="zh-CN" w:bidi="ar-SA"/>
        </w:rPr>
        <w:t>聘用编制</w:t>
      </w:r>
      <w:r>
        <w:rPr>
          <w:rFonts w:hint="eastAsia" w:ascii="方正仿宋简体" w:hAnsi="Times New Roman" w:eastAsia="方正仿宋简体" w:cs="方正仿宋简体"/>
          <w:color w:val="auto"/>
          <w:kern w:val="2"/>
          <w:sz w:val="33"/>
          <w:szCs w:val="33"/>
          <w:u w:val="none"/>
          <w:lang w:val="en-US" w:eastAsia="zh-CN" w:bidi="ar-SA"/>
        </w:rPr>
        <w:t>4</w:t>
      </w:r>
      <w:r>
        <w:rPr>
          <w:rFonts w:hint="eastAsia" w:ascii="方正仿宋简体" w:hAnsi="Times New Roman" w:eastAsia="方正仿宋简体" w:cs="方正仿宋简体"/>
          <w:color w:val="auto"/>
          <w:kern w:val="2"/>
          <w:sz w:val="33"/>
          <w:szCs w:val="33"/>
          <w:u w:val="none"/>
          <w:lang w:val="zh-CN" w:eastAsia="zh-CN" w:bidi="ar-SA"/>
        </w:rPr>
        <w:t>名，该项目预算主要用于支付在职人员工资、社保、公积金等支出。</w:t>
      </w:r>
    </w:p>
    <w:p>
      <w:pPr>
        <w:widowControl/>
        <w:adjustRightInd w:val="0"/>
        <w:snapToGrid w:val="0"/>
        <w:spacing w:line="560" w:lineRule="exact"/>
        <w:ind w:firstLine="660" w:firstLineChars="200"/>
        <w:contextualSpacing/>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en-US" w:eastAsia="zh-CN" w:bidi="ar-SA"/>
        </w:rPr>
        <w:t>（2）</w:t>
      </w:r>
      <w:r>
        <w:rPr>
          <w:rFonts w:hint="eastAsia" w:ascii="方正仿宋简体" w:hAnsi="Times New Roman" w:eastAsia="方正仿宋简体" w:cs="方正仿宋简体"/>
          <w:color w:val="auto"/>
          <w:kern w:val="2"/>
          <w:sz w:val="33"/>
          <w:szCs w:val="33"/>
          <w:u w:val="none"/>
          <w:lang w:val="zh-CN" w:eastAsia="zh-CN" w:bidi="ar-SA"/>
        </w:rPr>
        <w:t>该项目于20</w:t>
      </w:r>
      <w:r>
        <w:rPr>
          <w:rFonts w:hint="eastAsia" w:ascii="方正仿宋简体" w:hAnsi="Times New Roman" w:eastAsia="方正仿宋简体" w:cs="方正仿宋简体"/>
          <w:color w:val="auto"/>
          <w:kern w:val="2"/>
          <w:sz w:val="33"/>
          <w:szCs w:val="33"/>
          <w:u w:val="none"/>
          <w:lang w:val="en-US" w:eastAsia="zh-CN" w:bidi="ar-SA"/>
        </w:rPr>
        <w:t>22</w:t>
      </w:r>
      <w:r>
        <w:rPr>
          <w:rFonts w:hint="eastAsia" w:ascii="方正仿宋简体" w:hAnsi="Times New Roman" w:eastAsia="方正仿宋简体" w:cs="方正仿宋简体"/>
          <w:color w:val="auto"/>
          <w:kern w:val="2"/>
          <w:sz w:val="33"/>
          <w:szCs w:val="33"/>
          <w:u w:val="none"/>
          <w:lang w:val="zh-CN" w:eastAsia="zh-CN" w:bidi="ar-SA"/>
        </w:rPr>
        <w:t>年申报，20</w:t>
      </w:r>
      <w:r>
        <w:rPr>
          <w:rFonts w:hint="eastAsia" w:ascii="方正仿宋简体" w:hAnsi="Times New Roman" w:eastAsia="方正仿宋简体" w:cs="方正仿宋简体"/>
          <w:color w:val="auto"/>
          <w:kern w:val="2"/>
          <w:sz w:val="33"/>
          <w:szCs w:val="33"/>
          <w:u w:val="none"/>
          <w:lang w:val="en-US" w:eastAsia="zh-CN" w:bidi="ar-SA"/>
        </w:rPr>
        <w:t>23</w:t>
      </w:r>
      <w:r>
        <w:rPr>
          <w:rFonts w:hint="eastAsia" w:ascii="方正仿宋简体" w:hAnsi="Times New Roman" w:eastAsia="方正仿宋简体" w:cs="方正仿宋简体"/>
          <w:color w:val="auto"/>
          <w:kern w:val="2"/>
          <w:sz w:val="33"/>
          <w:szCs w:val="33"/>
          <w:u w:val="none"/>
          <w:lang w:val="zh-CN" w:eastAsia="zh-CN" w:bidi="ar-SA"/>
        </w:rPr>
        <w:t>年批复。支出项目预算为</w:t>
      </w:r>
      <w:r>
        <w:rPr>
          <w:rFonts w:hint="eastAsia" w:ascii="方正仿宋简体" w:hAnsi="Times New Roman" w:eastAsia="方正仿宋简体" w:cs="方正仿宋简体"/>
          <w:color w:val="auto"/>
          <w:kern w:val="2"/>
          <w:sz w:val="33"/>
          <w:szCs w:val="33"/>
          <w:u w:val="none"/>
          <w:lang w:val="en-US" w:eastAsia="zh-CN" w:bidi="ar-SA"/>
        </w:rPr>
        <w:t>183.2</w:t>
      </w:r>
      <w:r>
        <w:rPr>
          <w:rFonts w:hint="eastAsia" w:ascii="方正仿宋简体" w:hAnsi="Times New Roman" w:eastAsia="方正仿宋简体" w:cs="方正仿宋简体"/>
          <w:color w:val="auto"/>
          <w:kern w:val="2"/>
          <w:sz w:val="33"/>
          <w:szCs w:val="33"/>
          <w:u w:val="none"/>
          <w:lang w:val="zh-CN" w:eastAsia="zh-CN" w:bidi="ar-SA"/>
        </w:rPr>
        <w:t>万元，项目资金到位率为100%。按照专款专用的原则，在本单位严格监督下，该项目资金全部用于支付在职人员工资、社保、公积金等费用，项目资金使用率为100%。</w:t>
      </w:r>
    </w:p>
    <w:p>
      <w:pPr>
        <w:widowControl/>
        <w:adjustRightInd w:val="0"/>
        <w:snapToGrid w:val="0"/>
        <w:spacing w:line="560" w:lineRule="exact"/>
        <w:ind w:firstLine="660" w:firstLineChars="200"/>
        <w:contextualSpacing/>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en-US" w:eastAsia="zh-CN" w:bidi="ar-SA"/>
        </w:rPr>
        <w:t>（3）</w:t>
      </w:r>
      <w:r>
        <w:rPr>
          <w:rFonts w:hint="eastAsia" w:ascii="方正仿宋简体" w:hAnsi="Times New Roman" w:eastAsia="方正仿宋简体" w:cs="方正仿宋简体"/>
          <w:color w:val="auto"/>
          <w:kern w:val="2"/>
          <w:sz w:val="33"/>
          <w:szCs w:val="33"/>
          <w:u w:val="none"/>
          <w:lang w:val="zh-CN" w:eastAsia="zh-CN" w:bidi="ar-SA"/>
        </w:rPr>
        <w:t>有效地维持本单位工作正常运转，实现既定目标、完成预算支出。本单位财务管理制度健全，严格按照合同约定，通过银行系统转账的方式，每月按时发放，不克扣、拖欠人员工资，未存在挪用或超标准开支情况。</w:t>
      </w:r>
    </w:p>
    <w:p>
      <w:pPr>
        <w:widowControl/>
        <w:adjustRightInd w:val="0"/>
        <w:snapToGrid w:val="0"/>
        <w:spacing w:line="560" w:lineRule="exact"/>
        <w:ind w:firstLine="660" w:firstLineChars="200"/>
        <w:contextualSpacing/>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en-US" w:eastAsia="zh-CN" w:bidi="ar-SA"/>
        </w:rPr>
        <w:t>（4）</w:t>
      </w:r>
      <w:r>
        <w:rPr>
          <w:rFonts w:hint="eastAsia" w:ascii="方正仿宋简体" w:hAnsi="Times New Roman" w:eastAsia="方正仿宋简体" w:cs="方正仿宋简体"/>
          <w:color w:val="auto"/>
          <w:kern w:val="2"/>
          <w:sz w:val="33"/>
          <w:szCs w:val="33"/>
          <w:u w:val="none"/>
          <w:lang w:val="zh-CN" w:eastAsia="zh-CN" w:bidi="ar-SA"/>
        </w:rPr>
        <w:t>领导高度重视，立项前多次组织调查研究，经慎重考虑后形成结论，确保该项目的科学性、严谨性；二是实施过程周密细致，项目启动前认真学习相关规定，严格落实财务管理制度，保证经费使用合法合规、公开透明。无违规记录等情况。</w:t>
      </w:r>
    </w:p>
    <w:p>
      <w:pPr>
        <w:widowControl/>
        <w:adjustRightInd w:val="0"/>
        <w:snapToGrid w:val="0"/>
        <w:spacing w:line="560" w:lineRule="exact"/>
        <w:ind w:firstLine="663" w:firstLineChars="200"/>
        <w:contextualSpacing/>
        <w:jc w:val="left"/>
        <w:rPr>
          <w:rFonts w:hint="eastAsia" w:ascii="方正仿宋简体" w:hAnsi="Times New Roman" w:eastAsia="方正仿宋简体" w:cs="方正仿宋简体"/>
          <w:b/>
          <w:bCs/>
          <w:color w:val="auto"/>
          <w:kern w:val="2"/>
          <w:sz w:val="33"/>
          <w:szCs w:val="33"/>
          <w:u w:val="none"/>
          <w:lang w:val="zh-CN" w:eastAsia="zh-CN" w:bidi="ar-SA"/>
        </w:rPr>
      </w:pPr>
      <w:r>
        <w:rPr>
          <w:rFonts w:hint="eastAsia" w:ascii="方正仿宋简体" w:hAnsi="Times New Roman" w:eastAsia="方正仿宋简体" w:cs="方正仿宋简体"/>
          <w:b/>
          <w:bCs/>
          <w:color w:val="auto"/>
          <w:kern w:val="2"/>
          <w:sz w:val="33"/>
          <w:szCs w:val="33"/>
          <w:u w:val="none"/>
          <w:lang w:val="zh-CN" w:eastAsia="zh-CN" w:bidi="ar-SA"/>
        </w:rPr>
        <w:t>2.运转类项目绩效分析</w:t>
      </w:r>
    </w:p>
    <w:p>
      <w:pPr>
        <w:widowControl/>
        <w:adjustRightInd w:val="0"/>
        <w:snapToGrid w:val="0"/>
        <w:spacing w:line="560" w:lineRule="exact"/>
        <w:ind w:firstLine="660" w:firstLineChars="200"/>
        <w:contextualSpacing/>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en-US" w:eastAsia="zh-CN" w:bidi="ar-SA"/>
        </w:rPr>
        <w:t>（1）</w:t>
      </w:r>
      <w:r>
        <w:rPr>
          <w:rFonts w:hint="eastAsia" w:ascii="方正仿宋简体" w:hAnsi="Times New Roman" w:eastAsia="方正仿宋简体" w:cs="方正仿宋简体"/>
          <w:color w:val="auto"/>
          <w:kern w:val="2"/>
          <w:sz w:val="33"/>
          <w:szCs w:val="33"/>
          <w:u w:val="none"/>
          <w:lang w:val="zh-CN" w:eastAsia="zh-CN" w:bidi="ar-SA"/>
        </w:rPr>
        <w:t>该项目于20</w:t>
      </w:r>
      <w:r>
        <w:rPr>
          <w:rFonts w:hint="eastAsia" w:ascii="方正仿宋简体" w:hAnsi="Times New Roman" w:eastAsia="方正仿宋简体" w:cs="方正仿宋简体"/>
          <w:color w:val="auto"/>
          <w:kern w:val="2"/>
          <w:sz w:val="33"/>
          <w:szCs w:val="33"/>
          <w:u w:val="none"/>
          <w:lang w:val="en-US" w:eastAsia="zh-CN" w:bidi="ar-SA"/>
        </w:rPr>
        <w:t>22</w:t>
      </w:r>
      <w:r>
        <w:rPr>
          <w:rFonts w:hint="eastAsia" w:ascii="方正仿宋简体" w:hAnsi="Times New Roman" w:eastAsia="方正仿宋简体" w:cs="方正仿宋简体"/>
          <w:color w:val="auto"/>
          <w:kern w:val="2"/>
          <w:sz w:val="33"/>
          <w:szCs w:val="33"/>
          <w:u w:val="none"/>
          <w:lang w:val="zh-CN" w:eastAsia="zh-CN" w:bidi="ar-SA"/>
        </w:rPr>
        <w:t>年申报，20</w:t>
      </w:r>
      <w:r>
        <w:rPr>
          <w:rFonts w:hint="eastAsia" w:ascii="方正仿宋简体" w:hAnsi="Times New Roman" w:eastAsia="方正仿宋简体" w:cs="方正仿宋简体"/>
          <w:color w:val="auto"/>
          <w:kern w:val="2"/>
          <w:sz w:val="33"/>
          <w:szCs w:val="33"/>
          <w:u w:val="none"/>
          <w:lang w:val="en-US" w:eastAsia="zh-CN" w:bidi="ar-SA"/>
        </w:rPr>
        <w:t>23</w:t>
      </w:r>
      <w:r>
        <w:rPr>
          <w:rFonts w:hint="eastAsia" w:ascii="方正仿宋简体" w:hAnsi="Times New Roman" w:eastAsia="方正仿宋简体" w:cs="方正仿宋简体"/>
          <w:color w:val="auto"/>
          <w:kern w:val="2"/>
          <w:sz w:val="33"/>
          <w:szCs w:val="33"/>
          <w:u w:val="none"/>
          <w:lang w:val="zh-CN" w:eastAsia="zh-CN" w:bidi="ar-SA"/>
        </w:rPr>
        <w:t>年批复。支出项目预算为</w:t>
      </w:r>
      <w:r>
        <w:rPr>
          <w:rFonts w:hint="eastAsia" w:ascii="方正仿宋简体" w:hAnsi="Times New Roman" w:eastAsia="方正仿宋简体" w:cs="方正仿宋简体"/>
          <w:color w:val="auto"/>
          <w:kern w:val="2"/>
          <w:sz w:val="33"/>
          <w:szCs w:val="33"/>
          <w:u w:val="none"/>
          <w:lang w:val="en-US" w:eastAsia="zh-CN" w:bidi="ar-SA"/>
        </w:rPr>
        <w:t>144.51</w:t>
      </w:r>
      <w:r>
        <w:rPr>
          <w:rFonts w:hint="eastAsia" w:ascii="方正仿宋简体" w:hAnsi="Times New Roman" w:eastAsia="方正仿宋简体" w:cs="方正仿宋简体"/>
          <w:color w:val="auto"/>
          <w:kern w:val="2"/>
          <w:sz w:val="33"/>
          <w:szCs w:val="33"/>
          <w:u w:val="none"/>
          <w:lang w:val="zh-CN" w:eastAsia="zh-CN" w:bidi="ar-SA"/>
        </w:rPr>
        <w:t>万元，项目资金到位率为100%。按照专款专用的原则，在本单位严格监督下，该项目资金全部用于支付一般公共服务支出，项目资金使用率为100%。</w:t>
      </w:r>
    </w:p>
    <w:p>
      <w:pPr>
        <w:widowControl/>
        <w:adjustRightInd w:val="0"/>
        <w:snapToGrid w:val="0"/>
        <w:spacing w:line="560" w:lineRule="exact"/>
        <w:ind w:firstLine="660" w:firstLineChars="200"/>
        <w:contextualSpacing/>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en-US" w:eastAsia="zh-CN" w:bidi="ar-SA"/>
        </w:rPr>
        <w:t>（2）</w:t>
      </w:r>
      <w:r>
        <w:rPr>
          <w:rFonts w:hint="eastAsia" w:ascii="方正仿宋简体" w:hAnsi="Times New Roman" w:eastAsia="方正仿宋简体" w:cs="方正仿宋简体"/>
          <w:color w:val="auto"/>
          <w:kern w:val="2"/>
          <w:sz w:val="33"/>
          <w:szCs w:val="33"/>
          <w:u w:val="none"/>
          <w:lang w:val="zh-CN" w:eastAsia="zh-CN" w:bidi="ar-SA"/>
        </w:rPr>
        <w:t>有效地维持本单位工作正常运转，实现既定目标、完成预算支出。本单位财务管理制度健全，严格按照财经制度，无挪用或超标准开支情况。</w:t>
      </w:r>
    </w:p>
    <w:p>
      <w:pPr>
        <w:widowControl/>
        <w:adjustRightInd w:val="0"/>
        <w:snapToGrid w:val="0"/>
        <w:spacing w:line="560" w:lineRule="exact"/>
        <w:ind w:firstLine="660" w:firstLineChars="200"/>
        <w:contextualSpacing/>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en-US" w:eastAsia="zh-CN" w:bidi="ar-SA"/>
        </w:rPr>
        <w:t>（3）</w:t>
      </w:r>
      <w:r>
        <w:rPr>
          <w:rFonts w:hint="eastAsia" w:ascii="方正仿宋简体" w:hAnsi="Times New Roman" w:eastAsia="方正仿宋简体" w:cs="方正仿宋简体"/>
          <w:color w:val="auto"/>
          <w:kern w:val="2"/>
          <w:sz w:val="33"/>
          <w:szCs w:val="33"/>
          <w:u w:val="none"/>
          <w:lang w:val="zh-CN" w:eastAsia="zh-CN" w:bidi="ar-SA"/>
        </w:rPr>
        <w:t>领导高度重视，立项前多次组织调查研究，经慎重考虑后形成结论，确保该项目的科学性、严谨性；二是实施过程周密细致，项目启动前认真学习相关规定，严格落实财务管理制度，保证经费使用合法合规、公开透明。无违规记录等情况。</w:t>
      </w:r>
    </w:p>
    <w:p>
      <w:pPr>
        <w:widowControl/>
        <w:adjustRightInd w:val="0"/>
        <w:snapToGrid w:val="0"/>
        <w:spacing w:line="560" w:lineRule="exact"/>
        <w:ind w:firstLine="663" w:firstLineChars="200"/>
        <w:contextualSpacing/>
        <w:jc w:val="left"/>
        <w:rPr>
          <w:rFonts w:hint="eastAsia" w:ascii="方正仿宋简体" w:hAnsi="Times New Roman" w:eastAsia="方正仿宋简体" w:cs="方正仿宋简体"/>
          <w:b/>
          <w:bCs/>
          <w:color w:val="auto"/>
          <w:kern w:val="2"/>
          <w:sz w:val="33"/>
          <w:szCs w:val="33"/>
          <w:u w:val="none"/>
          <w:lang w:val="zh-CN" w:eastAsia="zh-CN" w:bidi="ar-SA"/>
        </w:rPr>
      </w:pPr>
      <w:r>
        <w:rPr>
          <w:rFonts w:hint="eastAsia" w:ascii="方正仿宋简体" w:hAnsi="Times New Roman" w:eastAsia="方正仿宋简体" w:cs="方正仿宋简体"/>
          <w:b/>
          <w:bCs/>
          <w:color w:val="auto"/>
          <w:kern w:val="2"/>
          <w:sz w:val="33"/>
          <w:szCs w:val="33"/>
          <w:u w:val="none"/>
          <w:lang w:val="zh-CN" w:eastAsia="zh-CN" w:bidi="ar-SA"/>
        </w:rPr>
        <w:t>3.特定目标类项目绩效分析</w:t>
      </w:r>
    </w:p>
    <w:p>
      <w:pPr>
        <w:widowControl/>
        <w:adjustRightInd w:val="0"/>
        <w:snapToGrid w:val="0"/>
        <w:spacing w:line="560" w:lineRule="exact"/>
        <w:ind w:firstLine="660" w:firstLineChars="200"/>
        <w:contextualSpacing/>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en-US" w:eastAsia="zh-CN" w:bidi="ar-SA"/>
        </w:rPr>
        <w:t>（1）</w:t>
      </w:r>
      <w:r>
        <w:rPr>
          <w:rFonts w:hint="eastAsia" w:ascii="方正仿宋简体" w:hAnsi="Times New Roman" w:eastAsia="方正仿宋简体" w:cs="方正仿宋简体"/>
          <w:color w:val="auto"/>
          <w:kern w:val="2"/>
          <w:sz w:val="33"/>
          <w:szCs w:val="33"/>
          <w:u w:val="none"/>
          <w:lang w:val="zh-CN" w:eastAsia="zh-CN" w:bidi="ar-SA"/>
        </w:rPr>
        <w:t>该项目于20</w:t>
      </w:r>
      <w:r>
        <w:rPr>
          <w:rFonts w:hint="eastAsia" w:ascii="方正仿宋简体" w:hAnsi="Times New Roman" w:eastAsia="方正仿宋简体" w:cs="方正仿宋简体"/>
          <w:color w:val="auto"/>
          <w:kern w:val="2"/>
          <w:sz w:val="33"/>
          <w:szCs w:val="33"/>
          <w:u w:val="none"/>
          <w:lang w:val="en-US" w:eastAsia="zh-CN" w:bidi="ar-SA"/>
        </w:rPr>
        <w:t>21</w:t>
      </w:r>
      <w:r>
        <w:rPr>
          <w:rFonts w:hint="eastAsia" w:ascii="方正仿宋简体" w:hAnsi="Times New Roman" w:eastAsia="方正仿宋简体" w:cs="方正仿宋简体"/>
          <w:color w:val="auto"/>
          <w:kern w:val="2"/>
          <w:sz w:val="33"/>
          <w:szCs w:val="33"/>
          <w:u w:val="none"/>
          <w:lang w:val="zh-CN" w:eastAsia="zh-CN" w:bidi="ar-SA"/>
        </w:rPr>
        <w:t>年申报，20</w:t>
      </w:r>
      <w:r>
        <w:rPr>
          <w:rFonts w:hint="eastAsia" w:ascii="方正仿宋简体" w:hAnsi="Times New Roman" w:eastAsia="方正仿宋简体" w:cs="方正仿宋简体"/>
          <w:color w:val="auto"/>
          <w:kern w:val="2"/>
          <w:sz w:val="33"/>
          <w:szCs w:val="33"/>
          <w:u w:val="none"/>
          <w:lang w:val="en-US" w:eastAsia="zh-CN" w:bidi="ar-SA"/>
        </w:rPr>
        <w:t>22</w:t>
      </w:r>
      <w:r>
        <w:rPr>
          <w:rFonts w:hint="eastAsia" w:ascii="方正仿宋简体" w:hAnsi="Times New Roman" w:eastAsia="方正仿宋简体" w:cs="方正仿宋简体"/>
          <w:color w:val="auto"/>
          <w:kern w:val="2"/>
          <w:sz w:val="33"/>
          <w:szCs w:val="33"/>
          <w:u w:val="none"/>
          <w:lang w:val="zh-CN" w:eastAsia="zh-CN" w:bidi="ar-SA"/>
        </w:rPr>
        <w:t>年批复。支出项目预算为</w:t>
      </w:r>
      <w:r>
        <w:rPr>
          <w:rFonts w:hint="eastAsia" w:ascii="方正仿宋简体" w:hAnsi="Times New Roman" w:eastAsia="方正仿宋简体" w:cs="方正仿宋简体"/>
          <w:color w:val="auto"/>
          <w:kern w:val="2"/>
          <w:sz w:val="33"/>
          <w:szCs w:val="33"/>
          <w:u w:val="none"/>
          <w:lang w:val="en-US" w:eastAsia="zh-CN" w:bidi="ar-SA"/>
        </w:rPr>
        <w:t>23</w:t>
      </w:r>
      <w:r>
        <w:rPr>
          <w:rFonts w:hint="eastAsia" w:ascii="方正仿宋简体" w:hAnsi="Times New Roman" w:eastAsia="方正仿宋简体" w:cs="方正仿宋简体"/>
          <w:color w:val="auto"/>
          <w:kern w:val="2"/>
          <w:sz w:val="33"/>
          <w:szCs w:val="33"/>
          <w:u w:val="none"/>
          <w:lang w:val="zh-CN" w:eastAsia="zh-CN" w:bidi="ar-SA"/>
        </w:rPr>
        <w:t>万元，项目资金到位率为100%。按照专款专用的原则，在本单位严格监督下，该项目资金全部用于支付一般公共服务支出，项目资金使用率为100%。</w:t>
      </w:r>
    </w:p>
    <w:p>
      <w:pPr>
        <w:widowControl/>
        <w:adjustRightInd w:val="0"/>
        <w:snapToGrid w:val="0"/>
        <w:spacing w:line="560" w:lineRule="exact"/>
        <w:ind w:firstLine="660" w:firstLineChars="200"/>
        <w:contextualSpacing/>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en-US" w:eastAsia="zh-CN" w:bidi="ar-SA"/>
        </w:rPr>
        <w:t>（2）</w:t>
      </w:r>
      <w:r>
        <w:rPr>
          <w:rFonts w:hint="eastAsia" w:ascii="方正仿宋简体" w:hAnsi="Times New Roman" w:eastAsia="方正仿宋简体" w:cs="方正仿宋简体"/>
          <w:color w:val="auto"/>
          <w:kern w:val="2"/>
          <w:sz w:val="33"/>
          <w:szCs w:val="33"/>
          <w:u w:val="none"/>
          <w:lang w:val="zh-CN" w:eastAsia="zh-CN" w:bidi="ar-SA"/>
        </w:rPr>
        <w:t>有效地维持本单位工作正常运转，实现既定目标、完成预算支出。本单位财务管理制度健全，严格按照财经制度，无挪用或超标准开支情况。</w:t>
      </w:r>
    </w:p>
    <w:p>
      <w:pPr>
        <w:widowControl/>
        <w:adjustRightInd w:val="0"/>
        <w:snapToGrid w:val="0"/>
        <w:spacing w:line="560" w:lineRule="exact"/>
        <w:ind w:firstLine="660" w:firstLineChars="200"/>
        <w:contextualSpacing/>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en-US" w:eastAsia="zh-CN" w:bidi="ar-SA"/>
        </w:rPr>
        <w:t>（3）</w:t>
      </w:r>
      <w:r>
        <w:rPr>
          <w:rFonts w:hint="eastAsia" w:ascii="方正仿宋简体" w:hAnsi="Times New Roman" w:eastAsia="方正仿宋简体" w:cs="方正仿宋简体"/>
          <w:color w:val="auto"/>
          <w:kern w:val="2"/>
          <w:sz w:val="33"/>
          <w:szCs w:val="33"/>
          <w:u w:val="none"/>
          <w:lang w:val="zh-CN" w:eastAsia="zh-CN" w:bidi="ar-SA"/>
        </w:rPr>
        <w:t>领导高度重视，立项前多次组织调查研究，经慎重考虑后形成结论，确保该项目的科学性、严谨性；二是实施过程周密细致，项目启动前认真学习相关规定，严格落实财务管理制度，保证经费使用合法合规、公开透明。无违规记录等情况。</w:t>
      </w:r>
    </w:p>
    <w:p>
      <w:pPr>
        <w:adjustRightInd w:val="0"/>
        <w:snapToGrid w:val="0"/>
        <w:spacing w:line="560" w:lineRule="exact"/>
        <w:ind w:firstLine="643" w:firstLineChars="200"/>
        <w:rPr>
          <w:rFonts w:hint="eastAsia" w:ascii="楷体_GB2312" w:eastAsia="楷体_GB2312"/>
          <w:b/>
          <w:sz w:val="32"/>
          <w:szCs w:val="32"/>
          <w:lang w:val="zh-CN" w:eastAsia="zh-CN"/>
        </w:rPr>
      </w:pPr>
      <w:r>
        <w:rPr>
          <w:rFonts w:hint="eastAsia" w:ascii="楷体_GB2312" w:eastAsia="楷体_GB2312"/>
          <w:b/>
          <w:sz w:val="32"/>
          <w:szCs w:val="32"/>
          <w:lang w:val="zh-CN" w:eastAsia="zh-CN"/>
        </w:rPr>
        <w:t>（二）部门预算项目绩效分析。</w:t>
      </w:r>
    </w:p>
    <w:p>
      <w:pPr>
        <w:adjustRightInd w:val="0"/>
        <w:snapToGrid w:val="0"/>
        <w:spacing w:line="560" w:lineRule="exact"/>
        <w:ind w:firstLine="660" w:firstLineChars="200"/>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zh-CN" w:eastAsia="zh-CN" w:bidi="ar-SA"/>
        </w:rPr>
        <w:t>常年项目绩效分析。该类项目总数</w:t>
      </w:r>
      <w:r>
        <w:rPr>
          <w:rFonts w:hint="eastAsia" w:ascii="方正仿宋简体" w:hAnsi="Times New Roman" w:eastAsia="方正仿宋简体" w:cs="方正仿宋简体"/>
          <w:color w:val="auto"/>
          <w:kern w:val="2"/>
          <w:sz w:val="33"/>
          <w:szCs w:val="33"/>
          <w:u w:val="none"/>
          <w:lang w:val="en-US" w:eastAsia="zh-CN" w:bidi="ar-SA"/>
        </w:rPr>
        <w:t>4</w:t>
      </w:r>
      <w:r>
        <w:rPr>
          <w:rFonts w:hint="eastAsia" w:ascii="方正仿宋简体" w:hAnsi="Times New Roman" w:eastAsia="方正仿宋简体" w:cs="方正仿宋简体"/>
          <w:color w:val="auto"/>
          <w:kern w:val="2"/>
          <w:sz w:val="33"/>
          <w:szCs w:val="33"/>
          <w:u w:val="none"/>
          <w:lang w:val="zh-CN" w:eastAsia="zh-CN" w:bidi="ar-SA"/>
        </w:rPr>
        <w:t>个，涉及预算总金额</w:t>
      </w:r>
      <w:r>
        <w:rPr>
          <w:rFonts w:hint="eastAsia" w:ascii="方正仿宋简体" w:hAnsi="Times New Roman" w:eastAsia="方正仿宋简体" w:cs="方正仿宋简体"/>
          <w:color w:val="auto"/>
          <w:kern w:val="2"/>
          <w:sz w:val="33"/>
          <w:szCs w:val="33"/>
          <w:u w:val="none"/>
          <w:lang w:val="en-US" w:eastAsia="zh-CN" w:bidi="ar-SA"/>
        </w:rPr>
        <w:t>23</w:t>
      </w:r>
      <w:r>
        <w:rPr>
          <w:rFonts w:hint="eastAsia" w:ascii="方正仿宋简体" w:hAnsi="Times New Roman" w:eastAsia="方正仿宋简体" w:cs="方正仿宋简体"/>
          <w:color w:val="auto"/>
          <w:kern w:val="2"/>
          <w:sz w:val="33"/>
          <w:szCs w:val="33"/>
          <w:u w:val="none"/>
          <w:lang w:val="zh-CN" w:eastAsia="zh-CN" w:bidi="ar-SA"/>
        </w:rPr>
        <w:t>万元，1—12月预算执行总体进度为</w:t>
      </w:r>
      <w:r>
        <w:rPr>
          <w:rFonts w:hint="eastAsia" w:ascii="方正仿宋简体" w:hAnsi="Times New Roman" w:eastAsia="方正仿宋简体" w:cs="方正仿宋简体"/>
          <w:color w:val="auto"/>
          <w:kern w:val="2"/>
          <w:sz w:val="33"/>
          <w:szCs w:val="33"/>
          <w:u w:val="none"/>
          <w:lang w:val="en-US" w:eastAsia="zh-CN" w:bidi="ar-SA"/>
        </w:rPr>
        <w:t>100</w:t>
      </w:r>
      <w:r>
        <w:rPr>
          <w:rFonts w:hint="eastAsia" w:ascii="方正仿宋简体" w:hAnsi="Times New Roman" w:eastAsia="方正仿宋简体" w:cs="方正仿宋简体"/>
          <w:color w:val="auto"/>
          <w:kern w:val="2"/>
          <w:sz w:val="33"/>
          <w:szCs w:val="33"/>
          <w:u w:val="none"/>
          <w:lang w:val="zh-CN" w:eastAsia="zh-CN" w:bidi="ar-SA"/>
        </w:rPr>
        <w:t>%，其中：预算结余率大于10%的项目共计</w:t>
      </w:r>
      <w:r>
        <w:rPr>
          <w:rFonts w:hint="eastAsia" w:ascii="方正仿宋简体" w:hAnsi="Times New Roman" w:eastAsia="方正仿宋简体" w:cs="方正仿宋简体"/>
          <w:color w:val="auto"/>
          <w:kern w:val="2"/>
          <w:sz w:val="33"/>
          <w:szCs w:val="33"/>
          <w:u w:val="none"/>
          <w:lang w:val="en-US" w:eastAsia="zh-CN" w:bidi="ar-SA"/>
        </w:rPr>
        <w:t>4</w:t>
      </w:r>
      <w:r>
        <w:rPr>
          <w:rFonts w:hint="eastAsia" w:ascii="方正仿宋简体" w:hAnsi="Times New Roman" w:eastAsia="方正仿宋简体" w:cs="方正仿宋简体"/>
          <w:color w:val="auto"/>
          <w:kern w:val="2"/>
          <w:sz w:val="33"/>
          <w:szCs w:val="33"/>
          <w:u w:val="none"/>
          <w:lang w:val="zh-CN" w:eastAsia="zh-CN" w:bidi="ar-SA"/>
        </w:rPr>
        <w:t>个。</w:t>
      </w:r>
    </w:p>
    <w:p>
      <w:pPr>
        <w:adjustRightInd w:val="0"/>
        <w:snapToGrid w:val="0"/>
        <w:spacing w:line="560" w:lineRule="exact"/>
        <w:ind w:firstLine="660" w:firstLineChars="200"/>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zh-CN" w:eastAsia="zh-CN" w:bidi="ar-SA"/>
        </w:rPr>
        <w:t>阶段（一次性）项目绩效分析。该类项目总数</w:t>
      </w:r>
      <w:r>
        <w:rPr>
          <w:rFonts w:hint="eastAsia" w:ascii="方正仿宋简体" w:hAnsi="Times New Roman" w:eastAsia="方正仿宋简体" w:cs="方正仿宋简体"/>
          <w:color w:val="auto"/>
          <w:kern w:val="2"/>
          <w:sz w:val="33"/>
          <w:szCs w:val="33"/>
          <w:u w:val="none"/>
          <w:lang w:val="en-US" w:eastAsia="zh-CN" w:bidi="ar-SA"/>
        </w:rPr>
        <w:t>2</w:t>
      </w:r>
      <w:r>
        <w:rPr>
          <w:rFonts w:hint="eastAsia" w:ascii="方正仿宋简体" w:hAnsi="Times New Roman" w:eastAsia="方正仿宋简体" w:cs="方正仿宋简体"/>
          <w:color w:val="auto"/>
          <w:kern w:val="2"/>
          <w:sz w:val="33"/>
          <w:szCs w:val="33"/>
          <w:u w:val="none"/>
          <w:lang w:val="zh-CN" w:eastAsia="zh-CN" w:bidi="ar-SA"/>
        </w:rPr>
        <w:t>个，涉及预算总金额</w:t>
      </w:r>
      <w:r>
        <w:rPr>
          <w:rFonts w:hint="eastAsia" w:ascii="方正仿宋简体" w:hAnsi="Times New Roman" w:eastAsia="方正仿宋简体" w:cs="方正仿宋简体"/>
          <w:color w:val="auto"/>
          <w:kern w:val="2"/>
          <w:sz w:val="33"/>
          <w:szCs w:val="33"/>
          <w:u w:val="none"/>
          <w:lang w:val="en-US" w:eastAsia="zh-CN" w:bidi="ar-SA"/>
        </w:rPr>
        <w:t>10.62</w:t>
      </w:r>
      <w:r>
        <w:rPr>
          <w:rFonts w:hint="eastAsia" w:ascii="方正仿宋简体" w:hAnsi="Times New Roman" w:eastAsia="方正仿宋简体" w:cs="方正仿宋简体"/>
          <w:color w:val="auto"/>
          <w:kern w:val="2"/>
          <w:sz w:val="33"/>
          <w:szCs w:val="33"/>
          <w:u w:val="none"/>
          <w:lang w:val="zh-CN" w:eastAsia="zh-CN" w:bidi="ar-SA"/>
        </w:rPr>
        <w:t>万元，1—12月预算执行总体进度为</w:t>
      </w:r>
      <w:r>
        <w:rPr>
          <w:rFonts w:hint="eastAsia" w:ascii="方正仿宋简体" w:hAnsi="Times New Roman" w:eastAsia="方正仿宋简体" w:cs="方正仿宋简体"/>
          <w:color w:val="auto"/>
          <w:kern w:val="2"/>
          <w:sz w:val="33"/>
          <w:szCs w:val="33"/>
          <w:u w:val="none"/>
          <w:lang w:val="en-US" w:eastAsia="zh-CN" w:bidi="ar-SA"/>
        </w:rPr>
        <w:t>100</w:t>
      </w:r>
      <w:r>
        <w:rPr>
          <w:rFonts w:hint="eastAsia" w:ascii="方正仿宋简体" w:hAnsi="Times New Roman" w:eastAsia="方正仿宋简体" w:cs="方正仿宋简体"/>
          <w:color w:val="auto"/>
          <w:kern w:val="2"/>
          <w:sz w:val="33"/>
          <w:szCs w:val="33"/>
          <w:u w:val="none"/>
          <w:lang w:val="zh-CN" w:eastAsia="zh-CN" w:bidi="ar-SA"/>
        </w:rPr>
        <w:t>%，其中：预算结余率大于10%的项目共计</w:t>
      </w:r>
      <w:r>
        <w:rPr>
          <w:rFonts w:hint="eastAsia" w:ascii="方正仿宋简体" w:hAnsi="Times New Roman" w:eastAsia="方正仿宋简体" w:cs="方正仿宋简体"/>
          <w:color w:val="auto"/>
          <w:kern w:val="2"/>
          <w:sz w:val="33"/>
          <w:szCs w:val="33"/>
          <w:u w:val="none"/>
          <w:lang w:val="en-US" w:eastAsia="zh-CN" w:bidi="ar-SA"/>
        </w:rPr>
        <w:t>3</w:t>
      </w:r>
      <w:r>
        <w:rPr>
          <w:rFonts w:hint="eastAsia" w:ascii="方正仿宋简体" w:hAnsi="Times New Roman" w:eastAsia="方正仿宋简体" w:cs="方正仿宋简体"/>
          <w:color w:val="auto"/>
          <w:kern w:val="2"/>
          <w:sz w:val="33"/>
          <w:szCs w:val="33"/>
          <w:u w:val="none"/>
          <w:lang w:val="zh-CN" w:eastAsia="zh-CN" w:bidi="ar-SA"/>
        </w:rPr>
        <w:t>个。</w:t>
      </w:r>
    </w:p>
    <w:p>
      <w:pPr>
        <w:adjustRightInd w:val="0"/>
        <w:snapToGrid w:val="0"/>
        <w:spacing w:line="560" w:lineRule="exact"/>
        <w:ind w:firstLine="663" w:firstLineChars="200"/>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b/>
          <w:bCs/>
          <w:color w:val="auto"/>
          <w:kern w:val="2"/>
          <w:sz w:val="33"/>
          <w:szCs w:val="33"/>
          <w:u w:val="none"/>
          <w:lang w:val="en-US" w:eastAsia="zh-CN" w:bidi="ar-SA"/>
        </w:rPr>
        <w:t>1.项目决策。</w:t>
      </w:r>
      <w:r>
        <w:rPr>
          <w:rFonts w:hint="eastAsia" w:ascii="方正仿宋简体" w:hAnsi="Times New Roman" w:eastAsia="方正仿宋简体" w:cs="方正仿宋简体"/>
          <w:color w:val="auto"/>
          <w:kern w:val="2"/>
          <w:sz w:val="33"/>
          <w:szCs w:val="33"/>
          <w:u w:val="none"/>
          <w:lang w:val="zh-CN" w:eastAsia="zh-CN" w:bidi="ar-SA"/>
        </w:rPr>
        <w:t>围绕决策程序、目标设置、项目入库进行绩效分析。</w:t>
      </w:r>
    </w:p>
    <w:p>
      <w:pPr>
        <w:adjustRightInd w:val="0"/>
        <w:snapToGrid w:val="0"/>
        <w:spacing w:line="560" w:lineRule="exact"/>
        <w:ind w:firstLine="663" w:firstLineChars="200"/>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b/>
          <w:bCs/>
          <w:color w:val="auto"/>
          <w:kern w:val="2"/>
          <w:sz w:val="33"/>
          <w:szCs w:val="33"/>
          <w:u w:val="none"/>
          <w:lang w:val="en-US" w:eastAsia="zh-CN" w:bidi="ar-SA"/>
        </w:rPr>
        <w:t>2.项目执行。</w:t>
      </w:r>
      <w:r>
        <w:rPr>
          <w:rFonts w:hint="eastAsia" w:ascii="方正仿宋简体" w:hAnsi="Times New Roman" w:eastAsia="方正仿宋简体" w:cs="方正仿宋简体"/>
          <w:color w:val="auto"/>
          <w:kern w:val="2"/>
          <w:sz w:val="33"/>
          <w:szCs w:val="33"/>
          <w:u w:val="none"/>
          <w:lang w:val="en-US" w:eastAsia="zh-CN" w:bidi="ar-SA"/>
        </w:rPr>
        <w:t>该笔资金来源渠道的合法合规，评估内容具有公共性，属于公共财政支持范围，筹资渠道符合法律法规规定，筹资结构合理。严格按照批复的支出预算执行，对人员经费严格按照上级的有关政策规定执行，无擅自扩大开支范围和提高开支标准情况。项目支出严格按照批复的项目和用途使用，无自行改变项目内容及扩大使用范围情况，保证专款专用，无截留、挪用专项资金情况。保证在财政批复部门预算后20日内，通过攀枝花市西区人民政府网站预决算公开统一平台公开绩效目标情况，并妥善做好解释说明工作，确保公开信息规范化、标准化，主动接受预算监督。</w:t>
      </w:r>
    </w:p>
    <w:p>
      <w:pPr>
        <w:adjustRightInd w:val="0"/>
        <w:snapToGrid w:val="0"/>
        <w:spacing w:line="560" w:lineRule="exact"/>
        <w:ind w:firstLine="663" w:firstLineChars="200"/>
        <w:rPr>
          <w:rFonts w:hint="eastAsia" w:ascii="方正仿宋简体" w:hAnsi="Times New Roman" w:eastAsia="方正仿宋简体" w:cs="方正仿宋简体"/>
          <w:color w:val="auto"/>
          <w:kern w:val="2"/>
          <w:sz w:val="33"/>
          <w:szCs w:val="33"/>
          <w:u w:val="none"/>
          <w:lang w:val="en-US" w:eastAsia="zh-CN" w:bidi="ar-SA"/>
        </w:rPr>
      </w:pPr>
      <w:r>
        <w:rPr>
          <w:rFonts w:hint="eastAsia" w:ascii="方正仿宋简体" w:hAnsi="Times New Roman" w:eastAsia="方正仿宋简体" w:cs="方正仿宋简体"/>
          <w:b/>
          <w:bCs/>
          <w:color w:val="auto"/>
          <w:kern w:val="2"/>
          <w:sz w:val="33"/>
          <w:szCs w:val="33"/>
          <w:u w:val="none"/>
          <w:lang w:val="en-US" w:eastAsia="zh-CN" w:bidi="ar-SA"/>
        </w:rPr>
        <w:t>3.目标实现。</w:t>
      </w:r>
      <w:r>
        <w:rPr>
          <w:rFonts w:hint="eastAsia" w:ascii="方正仿宋简体" w:hAnsi="Times New Roman" w:eastAsia="方正仿宋简体" w:cs="方正仿宋简体"/>
          <w:color w:val="auto"/>
          <w:kern w:val="2"/>
          <w:sz w:val="33"/>
          <w:szCs w:val="33"/>
          <w:u w:val="none"/>
          <w:lang w:val="en-US" w:eastAsia="zh-CN" w:bidi="ar-SA"/>
        </w:rPr>
        <w:t>区级财政年初安排235.68万元，用于全局人员基本工资、津补贴支出、机关事业单位养老保险、社会保障缴费、办公费用支出、党建、差旅费、工会等福利支出，信访事项处置、矛盾纠纷化解及特殊疑难信访问题补助等。时效一年，已全部落实到位。</w:t>
      </w:r>
    </w:p>
    <w:p>
      <w:pPr>
        <w:adjustRightInd w:val="0"/>
        <w:snapToGrid w:val="0"/>
        <w:spacing w:line="560" w:lineRule="exact"/>
        <w:ind w:firstLine="660" w:firstLineChars="200"/>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en-US" w:eastAsia="zh-CN" w:bidi="ar-SA"/>
        </w:rPr>
        <w:t>保障本年度全职干部职工工资待遇、津贴补贴、养老保险及保障2023年度信访工作顺利开展。</w:t>
      </w:r>
    </w:p>
    <w:p>
      <w:pPr>
        <w:numPr>
          <w:ilvl w:val="0"/>
          <w:numId w:val="3"/>
        </w:numPr>
        <w:adjustRightInd w:val="0"/>
        <w:snapToGrid w:val="0"/>
        <w:spacing w:line="560" w:lineRule="exact"/>
        <w:ind w:firstLine="643" w:firstLineChars="200"/>
        <w:rPr>
          <w:rFonts w:hint="eastAsia" w:ascii="楷体_GB2312" w:eastAsia="楷体_GB2312"/>
          <w:b/>
          <w:sz w:val="32"/>
          <w:szCs w:val="32"/>
          <w:lang w:val="zh-CN" w:eastAsia="zh-CN"/>
        </w:rPr>
      </w:pPr>
      <w:r>
        <w:rPr>
          <w:rFonts w:hint="eastAsia" w:ascii="楷体_GB2312" w:eastAsia="楷体_GB2312"/>
          <w:b/>
          <w:sz w:val="32"/>
          <w:szCs w:val="32"/>
          <w:lang w:val="zh-CN" w:eastAsia="zh-CN"/>
        </w:rPr>
        <w:t>项目组织架构及实施流程。</w:t>
      </w:r>
    </w:p>
    <w:p>
      <w:pPr>
        <w:numPr>
          <w:ilvl w:val="0"/>
          <w:numId w:val="0"/>
        </w:numPr>
        <w:adjustRightInd w:val="0"/>
        <w:snapToGrid w:val="0"/>
        <w:spacing w:line="560" w:lineRule="exact"/>
        <w:ind w:firstLine="660" w:firstLineChars="200"/>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eastAsia="方正仿宋简体" w:cs="方正仿宋简体"/>
          <w:color w:val="auto"/>
          <w:kern w:val="2"/>
          <w:sz w:val="33"/>
          <w:szCs w:val="33"/>
          <w:u w:val="none"/>
          <w:lang w:val="en-US" w:eastAsia="zh-CN" w:bidi="ar-SA"/>
        </w:rPr>
        <w:t>1.</w:t>
      </w:r>
      <w:r>
        <w:rPr>
          <w:rFonts w:hint="eastAsia" w:ascii="方正仿宋简体" w:hAnsi="Times New Roman" w:eastAsia="方正仿宋简体" w:cs="方正仿宋简体"/>
          <w:color w:val="auto"/>
          <w:kern w:val="2"/>
          <w:sz w:val="33"/>
          <w:szCs w:val="33"/>
          <w:u w:val="none"/>
          <w:lang w:val="zh-CN" w:eastAsia="zh-CN" w:bidi="ar-SA"/>
        </w:rPr>
        <w:t>省级部门2023年度若涉及国有资本经营预算、社会保险基金预算的，应在部门预算绩效自评报告中对完成情况进行梳理阐述。国有资本经营预算绩效自评重点关注企业的运营质量、行业水平等情况；社会保险基金预算绩效自评重点关注基金可持续性、区域安全性等情况。</w:t>
      </w:r>
    </w:p>
    <w:p>
      <w:pPr>
        <w:adjustRightInd w:val="0"/>
        <w:snapToGrid w:val="0"/>
        <w:spacing w:line="560" w:lineRule="exact"/>
        <w:ind w:firstLine="660" w:firstLineChars="200"/>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eastAsia="方正仿宋简体" w:cs="方正仿宋简体"/>
          <w:color w:val="auto"/>
          <w:kern w:val="2"/>
          <w:sz w:val="33"/>
          <w:szCs w:val="33"/>
          <w:u w:val="none"/>
          <w:lang w:val="en-US" w:eastAsia="zh-CN" w:bidi="ar-SA"/>
        </w:rPr>
        <w:t>2.</w:t>
      </w:r>
      <w:r>
        <w:rPr>
          <w:rFonts w:hint="eastAsia" w:ascii="方正仿宋简体" w:hAnsi="Times New Roman" w:eastAsia="方正仿宋简体" w:cs="方正仿宋简体"/>
          <w:color w:val="auto"/>
          <w:kern w:val="2"/>
          <w:sz w:val="33"/>
          <w:szCs w:val="33"/>
          <w:u w:val="none"/>
          <w:lang w:val="en-US" w:eastAsia="zh-CN" w:bidi="ar-SA"/>
        </w:rPr>
        <w:t>重点领域绩效分析。本</w:t>
      </w:r>
      <w:r>
        <w:rPr>
          <w:rFonts w:hint="eastAsia" w:ascii="方正仿宋简体" w:hAnsi="Times New Roman" w:eastAsia="方正仿宋简体" w:cs="方正仿宋简体"/>
          <w:color w:val="auto"/>
          <w:kern w:val="2"/>
          <w:sz w:val="33"/>
          <w:szCs w:val="33"/>
          <w:u w:val="none"/>
          <w:lang w:val="zh-CN" w:eastAsia="zh-CN" w:bidi="ar-SA"/>
        </w:rPr>
        <w:t>部门2023年度</w:t>
      </w:r>
      <w:r>
        <w:rPr>
          <w:rFonts w:hint="eastAsia" w:ascii="方正仿宋简体" w:hAnsi="Times New Roman" w:eastAsia="方正仿宋简体" w:cs="方正仿宋简体"/>
          <w:color w:val="auto"/>
          <w:kern w:val="2"/>
          <w:sz w:val="33"/>
          <w:szCs w:val="33"/>
          <w:u w:val="none"/>
          <w:lang w:val="en-US" w:eastAsia="zh-CN" w:bidi="ar-SA"/>
        </w:rPr>
        <w:t>不</w:t>
      </w:r>
      <w:r>
        <w:rPr>
          <w:rFonts w:hint="eastAsia" w:ascii="方正仿宋简体" w:hAnsi="Times New Roman" w:eastAsia="方正仿宋简体" w:cs="方正仿宋简体"/>
          <w:color w:val="auto"/>
          <w:kern w:val="2"/>
          <w:sz w:val="33"/>
          <w:szCs w:val="33"/>
          <w:u w:val="none"/>
          <w:lang w:val="zh-CN" w:eastAsia="zh-CN" w:bidi="ar-SA"/>
        </w:rPr>
        <w:t>涉及国有资本、行政事业性国有资产、债券资金、政府采购和政府购买服务等重点领域的。</w:t>
      </w:r>
    </w:p>
    <w:p>
      <w:pPr>
        <w:adjustRightInd w:val="0"/>
        <w:snapToGrid w:val="0"/>
        <w:spacing w:line="560" w:lineRule="exact"/>
        <w:ind w:firstLine="643" w:firstLineChars="200"/>
        <w:rPr>
          <w:rFonts w:hint="eastAsia" w:ascii="仿宋_GB2312" w:hAnsi="仿宋" w:eastAsia="仿宋_GB2312"/>
          <w:sz w:val="32"/>
          <w:szCs w:val="32"/>
        </w:rPr>
      </w:pPr>
      <w:r>
        <w:rPr>
          <w:rFonts w:hint="eastAsia" w:ascii="楷体_GB2312" w:eastAsia="楷体_GB2312"/>
          <w:b/>
          <w:sz w:val="32"/>
          <w:szCs w:val="32"/>
          <w:lang w:val="en-US" w:eastAsia="zh-CN"/>
        </w:rPr>
        <w:t>（四）绩效结果应用情况。</w:t>
      </w:r>
      <w:r>
        <w:rPr>
          <w:rFonts w:hint="eastAsia" w:ascii="方正仿宋简体" w:hAnsi="Times New Roman" w:eastAsia="方正仿宋简体" w:cs="方正仿宋简体"/>
          <w:color w:val="auto"/>
          <w:kern w:val="2"/>
          <w:sz w:val="33"/>
          <w:szCs w:val="33"/>
          <w:u w:val="none"/>
          <w:lang w:val="en-US" w:eastAsia="zh-CN" w:bidi="ar-SA"/>
        </w:rPr>
        <w:t>一是结合内部控制要求，科学设计绩效评价指标体系。将内部控制的理念融合到预算绩效管理中，实现预算绩效管理与内部控制的融合推进。二是积极推进信息化建设，提高预算绩效管理的效率。建立绩效目标设置、预算编制、执行追踪管理、绩效评价报告提交、绩效评价结果应用等内容，充分发挥信息技术在政府预算绩效管理中信息收集、比较、分析、共享等方面的作用，实现预算绩效管理与信息系统的有效衔接，提高预算绩效管理的效率。及时、准确地在政府网站公开本单位的绩效目标、绩效评价、绩效监控等公开情况，并定期进行维护和更新。</w:t>
      </w:r>
    </w:p>
    <w:p>
      <w:pPr>
        <w:ind w:firstLine="640" w:firstLineChars="200"/>
        <w:rPr>
          <w:rFonts w:hint="eastAsia" w:ascii="黑体" w:hAnsi="黑体" w:eastAsia="黑体"/>
          <w:sz w:val="32"/>
          <w:szCs w:val="32"/>
          <w:lang w:val="zh-CN" w:eastAsia="zh-CN"/>
        </w:rPr>
      </w:pPr>
      <w:r>
        <w:rPr>
          <w:rFonts w:hint="eastAsia" w:ascii="黑体" w:hAnsi="黑体" w:eastAsia="黑体"/>
          <w:sz w:val="32"/>
          <w:szCs w:val="32"/>
          <w:lang w:val="zh-CN" w:eastAsia="zh-CN"/>
        </w:rPr>
        <w:t>四、评价结论及建议</w:t>
      </w:r>
    </w:p>
    <w:p>
      <w:pPr>
        <w:adjustRightInd w:val="0"/>
        <w:snapToGrid w:val="0"/>
        <w:spacing w:line="560" w:lineRule="exact"/>
        <w:ind w:firstLine="643" w:firstLineChars="200"/>
        <w:rPr>
          <w:rFonts w:hint="eastAsia" w:ascii="方正仿宋简体" w:hAnsi="Times New Roman" w:eastAsia="方正仿宋简体" w:cs="方正仿宋简体"/>
          <w:color w:val="auto"/>
          <w:kern w:val="2"/>
          <w:sz w:val="33"/>
          <w:szCs w:val="33"/>
          <w:u w:val="none"/>
          <w:lang w:val="zh-CN" w:eastAsia="zh-CN" w:bidi="ar-SA"/>
        </w:rPr>
      </w:pPr>
      <w:r>
        <w:rPr>
          <w:rFonts w:hint="eastAsia" w:ascii="楷体_GB2312" w:eastAsia="楷体_GB2312"/>
          <w:b/>
          <w:sz w:val="32"/>
          <w:szCs w:val="32"/>
          <w:lang w:val="zh-CN" w:eastAsia="zh-CN"/>
        </w:rPr>
        <w:t>（一）评价结论。</w:t>
      </w:r>
      <w:r>
        <w:rPr>
          <w:rFonts w:hint="eastAsia" w:ascii="方正仿宋简体" w:hAnsi="Times New Roman" w:eastAsia="方正仿宋简体" w:cs="方正仿宋简体"/>
          <w:color w:val="auto"/>
          <w:kern w:val="2"/>
          <w:sz w:val="33"/>
          <w:szCs w:val="33"/>
          <w:u w:val="none"/>
          <w:lang w:val="zh-CN" w:eastAsia="zh-CN" w:bidi="ar-SA"/>
        </w:rPr>
        <w:t>本年度在习近平新时代中国特色社会主义思想和对四川工作系列重要指示精神指引下，着眼进一步提升群众来访接待服务质量，坚持以人民为中心的发展思想，不忘初心，牢记使命，践行“人民信访为人民”，紧紧围绕打造“阳光信访、责任信访、法治信访、开放信访、和谐信访”，以创建人民满意窗口为载体，着力在精研业务、精准接谈、精建队伍上狠下功夫，切实改进工作作风，提供一流窗口服务，树立一流窗口形象，积极推动信访基础设施标准化、信访基础业务规范化、信访工作队伍专业化建设。</w:t>
      </w:r>
    </w:p>
    <w:p>
      <w:pPr>
        <w:adjustRightInd w:val="0"/>
        <w:snapToGrid w:val="0"/>
        <w:spacing w:line="560" w:lineRule="exact"/>
        <w:ind w:firstLine="643" w:firstLineChars="200"/>
        <w:rPr>
          <w:rFonts w:hint="eastAsia" w:ascii="方正仿宋简体" w:hAnsi="Times New Roman" w:eastAsia="方正仿宋简体" w:cs="方正仿宋简体"/>
          <w:color w:val="auto"/>
          <w:kern w:val="2"/>
          <w:sz w:val="33"/>
          <w:szCs w:val="33"/>
          <w:u w:val="none"/>
          <w:lang w:val="en-US" w:eastAsia="zh-CN" w:bidi="ar-SA"/>
        </w:rPr>
      </w:pPr>
      <w:r>
        <w:rPr>
          <w:rFonts w:hint="eastAsia" w:ascii="楷体_GB2312" w:eastAsia="楷体_GB2312"/>
          <w:b/>
          <w:sz w:val="32"/>
          <w:szCs w:val="32"/>
          <w:lang w:val="zh-CN" w:eastAsia="zh-CN"/>
        </w:rPr>
        <w:t>（二）存在问题。</w:t>
      </w:r>
      <w:r>
        <w:rPr>
          <w:rFonts w:hint="eastAsia" w:ascii="方正仿宋简体" w:hAnsi="Times New Roman" w:eastAsia="方正仿宋简体" w:cs="方正仿宋简体"/>
          <w:color w:val="auto"/>
          <w:kern w:val="2"/>
          <w:sz w:val="33"/>
          <w:szCs w:val="33"/>
          <w:u w:val="none"/>
          <w:lang w:val="en-US" w:eastAsia="zh-CN" w:bidi="ar-SA"/>
        </w:rPr>
        <w:t>无。</w:t>
      </w:r>
    </w:p>
    <w:p>
      <w:pPr>
        <w:adjustRightInd w:val="0"/>
        <w:snapToGrid w:val="0"/>
        <w:spacing w:line="560" w:lineRule="exact"/>
        <w:ind w:firstLine="643" w:firstLineChars="200"/>
        <w:rPr>
          <w:rFonts w:hint="eastAsia" w:ascii="方正仿宋简体" w:hAnsi="Times New Roman" w:eastAsia="方正仿宋简体" w:cs="方正仿宋简体"/>
          <w:color w:val="auto"/>
          <w:kern w:val="2"/>
          <w:sz w:val="33"/>
          <w:szCs w:val="33"/>
          <w:u w:val="none"/>
          <w:lang w:val="en-US" w:eastAsia="zh-CN" w:bidi="ar-SA"/>
        </w:rPr>
      </w:pPr>
      <w:r>
        <w:rPr>
          <w:rFonts w:hint="eastAsia" w:ascii="楷体_GB2312" w:eastAsia="楷体_GB2312"/>
          <w:b/>
          <w:sz w:val="32"/>
          <w:szCs w:val="32"/>
          <w:lang w:val="zh-CN" w:eastAsia="zh-CN"/>
        </w:rPr>
        <w:t>（三）改进建议。</w:t>
      </w:r>
      <w:r>
        <w:rPr>
          <w:rFonts w:hint="eastAsia" w:ascii="方正仿宋简体" w:hAnsi="Times New Roman" w:eastAsia="方正仿宋简体" w:cs="方正仿宋简体"/>
          <w:color w:val="auto"/>
          <w:kern w:val="2"/>
          <w:sz w:val="33"/>
          <w:szCs w:val="33"/>
          <w:u w:val="none"/>
          <w:lang w:val="en-US" w:eastAsia="zh-CN" w:bidi="ar-SA"/>
        </w:rPr>
        <w:t>无。</w:t>
      </w:r>
    </w:p>
    <w:p>
      <w:pPr>
        <w:adjustRightInd w:val="0"/>
        <w:snapToGrid w:val="0"/>
        <w:spacing w:line="560" w:lineRule="exact"/>
        <w:ind w:firstLine="660" w:firstLineChars="200"/>
        <w:rPr>
          <w:rFonts w:hint="eastAsia" w:ascii="方正仿宋简体" w:hAnsi="Times New Roman" w:eastAsia="方正仿宋简体" w:cs="方正仿宋简体"/>
          <w:color w:val="auto"/>
          <w:kern w:val="2"/>
          <w:sz w:val="33"/>
          <w:szCs w:val="33"/>
          <w:u w:val="none"/>
          <w:lang w:val="zh-CN" w:eastAsia="zh-CN" w:bidi="ar-SA"/>
        </w:rPr>
      </w:pPr>
    </w:p>
    <w:p>
      <w:pPr>
        <w:adjustRightInd w:val="0"/>
        <w:snapToGrid w:val="0"/>
        <w:spacing w:line="560" w:lineRule="exact"/>
        <w:ind w:firstLine="660" w:firstLineChars="200"/>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zh-CN" w:eastAsia="zh-CN" w:bidi="ar-SA"/>
        </w:rPr>
        <w:t>附表：部门预算项目支出绩效自评表（2023年度）</w:t>
      </w:r>
    </w:p>
    <w:p/>
    <w:p>
      <w:pPr>
        <w:pStyle w:val="2"/>
      </w:pPr>
    </w:p>
    <w:p/>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附件2</w:t>
      </w: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专项预算项目绩效评价报告</w:t>
      </w:r>
    </w:p>
    <w:p>
      <w:pPr>
        <w:pStyle w:val="35"/>
        <w:spacing w:line="600" w:lineRule="exact"/>
        <w:jc w:val="center"/>
        <w:rPr>
          <w:rFonts w:hint="eastAsia" w:ascii="Times New Roman" w:hAnsi="Times New Roman" w:eastAsia="仿宋_GB2312"/>
          <w:b/>
          <w:bCs/>
          <w:color w:val="auto"/>
          <w:kern w:val="2"/>
          <w:sz w:val="36"/>
          <w:szCs w:val="36"/>
          <w:lang w:val="en-US" w:eastAsia="zh-CN"/>
        </w:rPr>
      </w:pPr>
      <w:r>
        <w:rPr>
          <w:rFonts w:hint="eastAsia" w:ascii="Times New Roman" w:hAnsi="Times New Roman" w:eastAsia="仿宋_GB2312"/>
          <w:b/>
          <w:bCs/>
          <w:color w:val="auto"/>
          <w:kern w:val="2"/>
          <w:sz w:val="36"/>
          <w:szCs w:val="36"/>
          <w:lang w:val="en-US" w:eastAsia="zh-CN"/>
        </w:rPr>
        <w:t>保安费用</w:t>
      </w:r>
    </w:p>
    <w:p>
      <w:pPr>
        <w:pStyle w:val="35"/>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sz w:val="33"/>
          <w:szCs w:val="33"/>
          <w:lang w:val="zh-CN"/>
        </w:rPr>
      </w:pPr>
      <w:r>
        <w:rPr>
          <w:rFonts w:eastAsia="黑体"/>
          <w:sz w:val="33"/>
          <w:szCs w:val="33"/>
        </w:rPr>
        <w:t>一、</w:t>
      </w:r>
      <w:r>
        <w:rPr>
          <w:rFonts w:eastAsia="黑体"/>
          <w:sz w:val="33"/>
          <w:szCs w:val="33"/>
          <w:lang w:val="zh-CN"/>
        </w:rPr>
        <w:t>项目概况</w:t>
      </w:r>
    </w:p>
    <w:p>
      <w:pPr>
        <w:adjustRightInd w:val="0"/>
        <w:snapToGrid w:val="0"/>
        <w:spacing w:line="600" w:lineRule="exact"/>
        <w:ind w:firstLine="720"/>
        <w:rPr>
          <w:rFonts w:eastAsia="楷体_GB2312"/>
          <w:b/>
          <w:lang w:val="zh-CN"/>
        </w:rPr>
      </w:pPr>
      <w:r>
        <w:rPr>
          <w:rFonts w:eastAsia="楷体_GB2312"/>
          <w:b/>
          <w:sz w:val="33"/>
          <w:szCs w:val="33"/>
          <w:lang w:val="zh-CN"/>
        </w:rPr>
        <w:t>（一）项目基本情况</w:t>
      </w:r>
      <w:r>
        <w:rPr>
          <w:rFonts w:eastAsia="楷体_GB2312"/>
          <w:b/>
          <w:lang w:val="zh-CN"/>
        </w:rPr>
        <w:t>。</w:t>
      </w:r>
    </w:p>
    <w:p>
      <w:pPr>
        <w:adjustRightInd w:val="0"/>
        <w:snapToGrid w:val="0"/>
        <w:spacing w:line="600" w:lineRule="exact"/>
        <w:ind w:left="420" w:leftChars="200" w:firstLine="82" w:firstLineChars="25"/>
        <w:rPr>
          <w:rFonts w:hint="eastAsia" w:ascii="方正仿宋简体" w:eastAsia="方正仿宋简体" w:cs="方正仿宋简体"/>
          <w:sz w:val="33"/>
          <w:szCs w:val="33"/>
          <w:u w:val="none"/>
        </w:rPr>
      </w:pPr>
      <w:r>
        <w:rPr>
          <w:rFonts w:hint="eastAsia" w:ascii="方正仿宋简体" w:eastAsia="方正仿宋简体" w:cs="方正仿宋简体"/>
          <w:sz w:val="33"/>
          <w:szCs w:val="33"/>
          <w:u w:val="none"/>
          <w:lang w:val="en-US" w:eastAsia="zh-CN"/>
        </w:rPr>
        <w:t>1.</w:t>
      </w:r>
      <w:r>
        <w:rPr>
          <w:rFonts w:hint="eastAsia" w:ascii="方正仿宋简体" w:eastAsia="方正仿宋简体" w:cs="方正仿宋简体"/>
          <w:sz w:val="33"/>
          <w:szCs w:val="33"/>
          <w:u w:val="none"/>
        </w:rPr>
        <w:t>保障本年度内两名保安人员的经费，确保信访安保</w:t>
      </w:r>
    </w:p>
    <w:p>
      <w:pPr>
        <w:adjustRightInd w:val="0"/>
        <w:snapToGrid w:val="0"/>
        <w:spacing w:line="600" w:lineRule="exact"/>
        <w:rPr>
          <w:rFonts w:hint="eastAsia" w:ascii="方正仿宋简体" w:eastAsia="方正仿宋简体" w:cs="方正仿宋简体"/>
          <w:sz w:val="33"/>
          <w:szCs w:val="33"/>
          <w:u w:val="none"/>
          <w:lang w:eastAsia="zh-CN"/>
        </w:rPr>
      </w:pPr>
      <w:r>
        <w:rPr>
          <w:rFonts w:hint="eastAsia" w:ascii="方正仿宋简体" w:eastAsia="方正仿宋简体" w:cs="方正仿宋简体"/>
          <w:sz w:val="33"/>
          <w:szCs w:val="33"/>
          <w:u w:val="none"/>
        </w:rPr>
        <w:t>工作质量，完成本年度内信访安保工作</w:t>
      </w:r>
      <w:r>
        <w:rPr>
          <w:rFonts w:hint="eastAsia" w:ascii="方正仿宋简体" w:eastAsia="方正仿宋简体" w:cs="方正仿宋简体"/>
          <w:sz w:val="33"/>
          <w:szCs w:val="33"/>
          <w:u w:val="none"/>
          <w:lang w:eastAsia="zh-CN"/>
        </w:rPr>
        <w:t>。</w:t>
      </w:r>
    </w:p>
    <w:p>
      <w:pPr>
        <w:numPr>
          <w:ilvl w:val="0"/>
          <w:numId w:val="4"/>
        </w:numPr>
        <w:adjustRightInd w:val="0"/>
        <w:snapToGrid w:val="0"/>
        <w:spacing w:line="600" w:lineRule="exact"/>
        <w:ind w:left="420" w:leftChars="200" w:firstLine="82" w:firstLineChars="25"/>
        <w:rPr>
          <w:rFonts w:hint="eastAsia" w:ascii="方正仿宋简体" w:eastAsia="方正仿宋简体" w:cs="方正仿宋简体"/>
          <w:sz w:val="33"/>
          <w:szCs w:val="33"/>
          <w:u w:val="none"/>
        </w:rPr>
      </w:pPr>
      <w:r>
        <w:rPr>
          <w:rFonts w:hint="eastAsia" w:ascii="方正仿宋简体" w:eastAsia="方正仿宋简体" w:cs="方正仿宋简体"/>
          <w:sz w:val="33"/>
          <w:szCs w:val="33"/>
          <w:u w:val="none"/>
        </w:rPr>
        <w:t>一是党政机关办公场所、信访场所保安人员要履职尽</w:t>
      </w:r>
    </w:p>
    <w:p>
      <w:pPr>
        <w:numPr>
          <w:ilvl w:val="0"/>
          <w:numId w:val="0"/>
        </w:numPr>
        <w:adjustRightInd w:val="0"/>
        <w:snapToGrid w:val="0"/>
        <w:spacing w:line="600" w:lineRule="exact"/>
        <w:rPr>
          <w:rFonts w:hint="eastAsia" w:ascii="方正仿宋简体" w:eastAsia="方正仿宋简体" w:cs="方正仿宋简体"/>
          <w:sz w:val="33"/>
          <w:szCs w:val="33"/>
          <w:u w:val="none"/>
        </w:rPr>
      </w:pPr>
      <w:r>
        <w:rPr>
          <w:rFonts w:hint="eastAsia" w:ascii="方正仿宋简体" w:eastAsia="方正仿宋简体" w:cs="方正仿宋简体"/>
          <w:sz w:val="33"/>
          <w:szCs w:val="33"/>
          <w:u w:val="none"/>
        </w:rPr>
        <w:t>责，做好上访人员甄别；二是对办公场所、信访场所配备必要的消防器材，确保人员会使用；三是对相关工作人员自身安全防范教育，进行必要的知识培训；四是要举一反三，对办公场所、信访场所安全隐患进行整治，做好防火、防盗、防爆、防喝农药等工作，切忌出现问题，产生负面影响。</w:t>
      </w:r>
    </w:p>
    <w:p>
      <w:pPr>
        <w:numPr>
          <w:ilvl w:val="0"/>
          <w:numId w:val="4"/>
        </w:numPr>
        <w:adjustRightInd w:val="0"/>
        <w:snapToGrid w:val="0"/>
        <w:spacing w:line="600" w:lineRule="exact"/>
        <w:ind w:left="420" w:leftChars="200" w:firstLine="82" w:firstLineChars="25"/>
        <w:rPr>
          <w:rFonts w:hint="eastAsia" w:ascii="方正仿宋简体" w:eastAsia="方正仿宋简体" w:cs="方正仿宋简体"/>
          <w:sz w:val="33"/>
          <w:szCs w:val="33"/>
          <w:u w:val="none"/>
        </w:rPr>
      </w:pPr>
      <w:r>
        <w:rPr>
          <w:rFonts w:hint="eastAsia" w:ascii="方正仿宋简体" w:eastAsia="方正仿宋简体" w:cs="方正仿宋简体"/>
          <w:sz w:val="33"/>
          <w:szCs w:val="33"/>
          <w:u w:val="none"/>
        </w:rPr>
        <w:t>根据20</w:t>
      </w:r>
      <w:r>
        <w:rPr>
          <w:rFonts w:hint="eastAsia" w:ascii="方正仿宋简体" w:eastAsia="方正仿宋简体" w:cs="方正仿宋简体"/>
          <w:sz w:val="33"/>
          <w:szCs w:val="33"/>
          <w:u w:val="none"/>
          <w:lang w:val="en-US" w:eastAsia="zh-CN"/>
        </w:rPr>
        <w:t>23</w:t>
      </w:r>
      <w:r>
        <w:rPr>
          <w:rFonts w:hint="eastAsia" w:ascii="方正仿宋简体" w:eastAsia="方正仿宋简体" w:cs="方正仿宋简体"/>
          <w:sz w:val="33"/>
          <w:szCs w:val="33"/>
          <w:u w:val="none"/>
        </w:rPr>
        <w:t>年预算编制要求，绩效评估本着真正过紧</w:t>
      </w:r>
    </w:p>
    <w:p>
      <w:pPr>
        <w:numPr>
          <w:ilvl w:val="0"/>
          <w:numId w:val="0"/>
        </w:numPr>
        <w:adjustRightInd w:val="0"/>
        <w:snapToGrid w:val="0"/>
        <w:spacing w:line="600" w:lineRule="exact"/>
        <w:rPr>
          <w:rFonts w:hint="eastAsia" w:ascii="方正仿宋简体" w:eastAsia="方正仿宋简体" w:cs="方正仿宋简体"/>
          <w:sz w:val="33"/>
          <w:szCs w:val="33"/>
          <w:u w:val="none"/>
          <w:lang w:val="zh-CN"/>
        </w:rPr>
      </w:pPr>
      <w:r>
        <w:rPr>
          <w:rFonts w:hint="eastAsia" w:ascii="方正仿宋简体" w:eastAsia="方正仿宋简体" w:cs="方正仿宋简体"/>
          <w:sz w:val="33"/>
          <w:szCs w:val="33"/>
          <w:u w:val="none"/>
        </w:rPr>
        <w:t>日子的原则，厉行节约、精打细算，从严从紧控制项目申报和预算安排，非必要项目和工作内容可压尽压、应压尽压，做到客观、绩效、精准。</w:t>
      </w:r>
    </w:p>
    <w:p>
      <w:pPr>
        <w:numPr>
          <w:ilvl w:val="0"/>
          <w:numId w:val="4"/>
        </w:numPr>
        <w:adjustRightInd w:val="0"/>
        <w:snapToGrid w:val="0"/>
        <w:spacing w:line="600" w:lineRule="exact"/>
        <w:ind w:left="420" w:leftChars="200" w:firstLine="82" w:firstLineChars="25"/>
        <w:rPr>
          <w:rFonts w:hint="eastAsia" w:ascii="方正仿宋简体" w:eastAsia="方正仿宋简体" w:cs="方正仿宋简体"/>
          <w:sz w:val="33"/>
          <w:szCs w:val="33"/>
          <w:u w:val="none"/>
        </w:rPr>
      </w:pPr>
      <w:r>
        <w:rPr>
          <w:rFonts w:hint="eastAsia" w:ascii="方正仿宋简体" w:eastAsia="方正仿宋简体" w:cs="方正仿宋简体"/>
          <w:sz w:val="33"/>
          <w:szCs w:val="33"/>
          <w:u w:val="none"/>
        </w:rPr>
        <w:t>202</w:t>
      </w:r>
      <w:r>
        <w:rPr>
          <w:rFonts w:hint="eastAsia" w:ascii="方正仿宋简体" w:eastAsia="方正仿宋简体" w:cs="方正仿宋简体"/>
          <w:sz w:val="33"/>
          <w:szCs w:val="33"/>
          <w:u w:val="none"/>
          <w:lang w:val="en-US" w:eastAsia="zh-CN"/>
        </w:rPr>
        <w:t>2</w:t>
      </w:r>
      <w:r>
        <w:rPr>
          <w:rFonts w:hint="eastAsia" w:ascii="方正仿宋简体" w:eastAsia="方正仿宋简体" w:cs="方正仿宋简体"/>
          <w:sz w:val="33"/>
          <w:szCs w:val="33"/>
          <w:u w:val="none"/>
        </w:rPr>
        <w:t>年预算安排</w:t>
      </w:r>
      <w:r>
        <w:rPr>
          <w:rFonts w:hint="eastAsia" w:ascii="方正仿宋简体" w:eastAsia="方正仿宋简体" w:cs="方正仿宋简体"/>
          <w:sz w:val="33"/>
          <w:szCs w:val="33"/>
          <w:u w:val="none"/>
          <w:lang w:val="en-US" w:eastAsia="zh-CN"/>
        </w:rPr>
        <w:t>8</w:t>
      </w:r>
      <w:r>
        <w:rPr>
          <w:rFonts w:hint="eastAsia" w:ascii="方正仿宋简体" w:eastAsia="方正仿宋简体" w:cs="方正仿宋简体"/>
          <w:sz w:val="33"/>
          <w:szCs w:val="33"/>
          <w:u w:val="none"/>
        </w:rPr>
        <w:t>万元，实际执行</w:t>
      </w:r>
      <w:r>
        <w:rPr>
          <w:rFonts w:hint="eastAsia" w:ascii="方正仿宋简体" w:eastAsia="方正仿宋简体" w:cs="方正仿宋简体"/>
          <w:sz w:val="33"/>
          <w:szCs w:val="33"/>
          <w:u w:val="none"/>
          <w:lang w:val="en-US" w:eastAsia="zh-CN"/>
        </w:rPr>
        <w:t>8</w:t>
      </w:r>
      <w:r>
        <w:rPr>
          <w:rFonts w:hint="eastAsia" w:ascii="方正仿宋简体" w:eastAsia="方正仿宋简体" w:cs="方正仿宋简体"/>
          <w:sz w:val="33"/>
          <w:szCs w:val="33"/>
          <w:u w:val="none"/>
        </w:rPr>
        <w:t>万元；202</w:t>
      </w:r>
      <w:r>
        <w:rPr>
          <w:rFonts w:hint="eastAsia" w:ascii="方正仿宋简体" w:eastAsia="方正仿宋简体" w:cs="方正仿宋简体"/>
          <w:sz w:val="33"/>
          <w:szCs w:val="33"/>
          <w:u w:val="none"/>
          <w:lang w:val="en-US" w:eastAsia="zh-CN"/>
        </w:rPr>
        <w:t>3</w:t>
      </w:r>
      <w:r>
        <w:rPr>
          <w:rFonts w:hint="eastAsia" w:ascii="方正仿宋简体" w:eastAsia="方正仿宋简体" w:cs="方正仿宋简体"/>
          <w:sz w:val="33"/>
          <w:szCs w:val="33"/>
          <w:u w:val="none"/>
        </w:rPr>
        <w:t>年</w:t>
      </w:r>
    </w:p>
    <w:p>
      <w:pPr>
        <w:numPr>
          <w:ilvl w:val="0"/>
          <w:numId w:val="0"/>
        </w:numPr>
        <w:adjustRightInd w:val="0"/>
        <w:snapToGrid w:val="0"/>
        <w:spacing w:line="600" w:lineRule="exact"/>
        <w:rPr>
          <w:rFonts w:hint="eastAsia" w:ascii="方正仿宋简体" w:eastAsia="方正仿宋简体" w:cs="方正仿宋简体"/>
          <w:sz w:val="33"/>
          <w:szCs w:val="33"/>
          <w:u w:val="none"/>
          <w:lang w:val="zh-CN"/>
        </w:rPr>
      </w:pPr>
      <w:r>
        <w:rPr>
          <w:rFonts w:hint="eastAsia" w:ascii="方正仿宋简体" w:eastAsia="方正仿宋简体" w:cs="方正仿宋简体"/>
          <w:sz w:val="33"/>
          <w:szCs w:val="33"/>
          <w:u w:val="none"/>
        </w:rPr>
        <w:t>预算安排</w:t>
      </w:r>
      <w:r>
        <w:rPr>
          <w:rFonts w:hint="eastAsia" w:ascii="方正仿宋简体" w:eastAsia="方正仿宋简体" w:cs="方正仿宋简体"/>
          <w:sz w:val="33"/>
          <w:szCs w:val="33"/>
          <w:u w:val="none"/>
          <w:lang w:val="en-US" w:eastAsia="zh-CN"/>
        </w:rPr>
        <w:t>8</w:t>
      </w:r>
      <w:r>
        <w:rPr>
          <w:rFonts w:hint="eastAsia" w:ascii="方正仿宋简体" w:eastAsia="方正仿宋简体" w:cs="方正仿宋简体"/>
          <w:sz w:val="33"/>
          <w:szCs w:val="33"/>
          <w:u w:val="none"/>
        </w:rPr>
        <w:t>万元，实际执行</w:t>
      </w:r>
      <w:r>
        <w:rPr>
          <w:rFonts w:hint="eastAsia" w:ascii="方正仿宋简体" w:eastAsia="方正仿宋简体" w:cs="方正仿宋简体"/>
          <w:sz w:val="33"/>
          <w:szCs w:val="33"/>
          <w:u w:val="none"/>
          <w:lang w:val="en-US" w:eastAsia="zh-CN"/>
        </w:rPr>
        <w:t>8</w:t>
      </w:r>
      <w:r>
        <w:rPr>
          <w:rFonts w:hint="eastAsia" w:ascii="方正仿宋简体" w:eastAsia="方正仿宋简体" w:cs="方正仿宋简体"/>
          <w:sz w:val="33"/>
          <w:szCs w:val="33"/>
          <w:u w:val="none"/>
        </w:rPr>
        <w:t>万元</w:t>
      </w:r>
      <w:r>
        <w:rPr>
          <w:rFonts w:hint="eastAsia" w:ascii="方正仿宋简体" w:eastAsia="方正仿宋简体" w:cs="方正仿宋简体"/>
          <w:sz w:val="33"/>
          <w:szCs w:val="33"/>
          <w:u w:val="none"/>
          <w:lang w:eastAsia="zh-CN"/>
        </w:rPr>
        <w:t>，</w:t>
      </w:r>
      <w:r>
        <w:rPr>
          <w:rFonts w:hint="eastAsia" w:ascii="方正仿宋简体" w:eastAsia="方正仿宋简体" w:cs="方正仿宋简体"/>
          <w:sz w:val="33"/>
          <w:szCs w:val="33"/>
          <w:u w:val="none"/>
        </w:rPr>
        <w:t>较上年</w:t>
      </w:r>
      <w:r>
        <w:rPr>
          <w:rFonts w:hint="eastAsia" w:ascii="方正仿宋简体" w:eastAsia="方正仿宋简体" w:cs="方正仿宋简体"/>
          <w:sz w:val="33"/>
          <w:szCs w:val="33"/>
          <w:u w:val="none"/>
          <w:lang w:eastAsia="zh-CN"/>
        </w:rPr>
        <w:t>无变化</w:t>
      </w:r>
      <w:r>
        <w:rPr>
          <w:rFonts w:hint="eastAsia" w:ascii="方正仿宋简体" w:eastAsia="方正仿宋简体" w:cs="方正仿宋简体"/>
          <w:sz w:val="33"/>
          <w:szCs w:val="33"/>
          <w:u w:val="none"/>
        </w:rPr>
        <w:t>。</w:t>
      </w:r>
    </w:p>
    <w:p>
      <w:pPr>
        <w:numPr>
          <w:ilvl w:val="0"/>
          <w:numId w:val="0"/>
        </w:numPr>
        <w:snapToGrid w:val="0"/>
        <w:spacing w:line="600" w:lineRule="exact"/>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w:t>
      </w:r>
      <w:r>
        <w:rPr>
          <w:rFonts w:hint="eastAsia" w:ascii="楷体_GB2312" w:eastAsia="楷体_GB2312"/>
          <w:b/>
          <w:sz w:val="32"/>
          <w:szCs w:val="32"/>
          <w:lang w:val="en-US" w:eastAsia="zh-CN"/>
        </w:rPr>
        <w:t>二</w:t>
      </w:r>
      <w:r>
        <w:rPr>
          <w:rFonts w:hint="eastAsia" w:ascii="楷体_GB2312" w:eastAsia="楷体_GB2312"/>
          <w:b/>
          <w:sz w:val="32"/>
          <w:szCs w:val="32"/>
          <w:lang w:val="zh-CN"/>
        </w:rPr>
        <w:t>）项目绩效目标设置。</w:t>
      </w:r>
    </w:p>
    <w:p>
      <w:pPr>
        <w:numPr>
          <w:ilvl w:val="0"/>
          <w:numId w:val="0"/>
        </w:numPr>
        <w:snapToGrid w:val="0"/>
        <w:spacing w:line="600" w:lineRule="exact"/>
        <w:ind w:firstLine="660" w:firstLineChars="200"/>
        <w:rPr>
          <w:rFonts w:hint="eastAsia" w:ascii="方正仿宋简体" w:eastAsia="方正仿宋简体" w:cs="方正仿宋简体"/>
          <w:sz w:val="33"/>
          <w:szCs w:val="33"/>
          <w:u w:val="none"/>
        </w:rPr>
      </w:pPr>
      <w:r>
        <w:rPr>
          <w:rFonts w:hint="eastAsia" w:ascii="方正仿宋简体" w:eastAsia="方正仿宋简体" w:cs="方正仿宋简体"/>
          <w:sz w:val="33"/>
          <w:szCs w:val="33"/>
          <w:u w:val="none"/>
          <w:lang w:val="zh-CN"/>
        </w:rPr>
        <w:t>1. 项目主要内容。</w:t>
      </w:r>
      <w:r>
        <w:rPr>
          <w:rFonts w:hint="eastAsia" w:ascii="方正仿宋简体" w:eastAsia="方正仿宋简体" w:cs="方正仿宋简体"/>
          <w:sz w:val="33"/>
          <w:szCs w:val="33"/>
          <w:u w:val="none"/>
        </w:rPr>
        <w:t>为认真贯彻落实会议精神，并经请示分管、联系的区委、区政府领导同意，西区信访局公开招聘符合信访工作条件保安人员2名，维持信访秩序，24小时对周边环境进行巡逻和值班。</w:t>
      </w:r>
    </w:p>
    <w:p>
      <w:pPr>
        <w:numPr>
          <w:ilvl w:val="0"/>
          <w:numId w:val="0"/>
        </w:numPr>
        <w:snapToGrid w:val="0"/>
        <w:spacing w:line="600" w:lineRule="exact"/>
        <w:ind w:firstLine="660" w:firstLineChars="200"/>
        <w:rPr>
          <w:rFonts w:hint="eastAsia" w:ascii="方正仿宋简体" w:eastAsia="方正仿宋简体" w:cs="方正仿宋简体"/>
          <w:sz w:val="33"/>
          <w:szCs w:val="33"/>
          <w:u w:val="none"/>
        </w:rPr>
      </w:pPr>
      <w:r>
        <w:rPr>
          <w:rFonts w:hint="eastAsia" w:ascii="方正仿宋简体" w:eastAsia="方正仿宋简体" w:cs="方正仿宋简体"/>
          <w:sz w:val="33"/>
          <w:szCs w:val="33"/>
          <w:u w:val="none"/>
          <w:lang w:val="zh-CN"/>
        </w:rPr>
        <w:t xml:space="preserve">2. </w:t>
      </w:r>
      <w:r>
        <w:rPr>
          <w:rFonts w:hint="eastAsia" w:ascii="方正仿宋简体" w:eastAsia="方正仿宋简体" w:cs="方正仿宋简体"/>
          <w:sz w:val="33"/>
          <w:szCs w:val="33"/>
          <w:u w:val="none"/>
        </w:rPr>
        <w:t>有效地保障信访部门上访群众和信访工作人员的人身安全，更好的完成接访工作，提高群众满意度。</w:t>
      </w:r>
    </w:p>
    <w:p>
      <w:pPr>
        <w:numPr>
          <w:ilvl w:val="0"/>
          <w:numId w:val="0"/>
        </w:numPr>
        <w:snapToGrid w:val="0"/>
        <w:spacing w:line="600" w:lineRule="exact"/>
        <w:ind w:firstLine="660" w:firstLineChars="200"/>
        <w:rPr>
          <w:rFonts w:eastAsia="仿宋_GB2312"/>
          <w:sz w:val="32"/>
          <w:szCs w:val="32"/>
          <w:lang w:val="zh-CN"/>
        </w:rPr>
      </w:pPr>
      <w:r>
        <w:rPr>
          <w:rFonts w:hint="eastAsia" w:ascii="方正仿宋简体" w:eastAsia="方正仿宋简体" w:cs="方正仿宋简体"/>
          <w:sz w:val="33"/>
          <w:szCs w:val="33"/>
          <w:u w:val="none"/>
          <w:lang w:val="zh-CN"/>
        </w:rPr>
        <w:t xml:space="preserve">3. </w:t>
      </w:r>
      <w:r>
        <w:rPr>
          <w:rFonts w:hint="eastAsia" w:ascii="方正仿宋简体" w:eastAsia="方正仿宋简体" w:cs="方正仿宋简体"/>
          <w:sz w:val="33"/>
          <w:szCs w:val="33"/>
          <w:u w:val="none"/>
        </w:rPr>
        <w:t>按照</w:t>
      </w:r>
      <w:r>
        <w:rPr>
          <w:rFonts w:hint="eastAsia" w:ascii="方正仿宋简体" w:eastAsia="方正仿宋简体" w:cs="方正仿宋简体"/>
          <w:sz w:val="33"/>
          <w:szCs w:val="33"/>
          <w:u w:val="none"/>
          <w:lang w:eastAsia="zh-CN"/>
        </w:rPr>
        <w:t>攀枝花市信访联席会议办公室</w:t>
      </w:r>
      <w:r>
        <w:rPr>
          <w:rFonts w:hint="eastAsia" w:ascii="方正仿宋简体" w:eastAsia="方正仿宋简体" w:cs="方正仿宋简体"/>
          <w:sz w:val="33"/>
          <w:szCs w:val="33"/>
          <w:u w:val="none"/>
        </w:rPr>
        <w:t>《关于</w:t>
      </w:r>
      <w:r>
        <w:rPr>
          <w:rFonts w:hint="eastAsia" w:ascii="方正仿宋简体" w:eastAsia="方正仿宋简体" w:cs="方正仿宋简体"/>
          <w:sz w:val="33"/>
          <w:szCs w:val="33"/>
          <w:u w:val="none"/>
          <w:lang w:eastAsia="zh-CN"/>
        </w:rPr>
        <w:t>进一步做好涉稳涉访重点问题和重点人员信访稳定工作</w:t>
      </w:r>
      <w:r>
        <w:rPr>
          <w:rFonts w:hint="eastAsia" w:ascii="方正仿宋简体" w:eastAsia="方正仿宋简体" w:cs="方正仿宋简体"/>
          <w:sz w:val="33"/>
          <w:szCs w:val="33"/>
          <w:u w:val="none"/>
        </w:rPr>
        <w:t>的通知》（攀信联办〔20</w:t>
      </w:r>
      <w:r>
        <w:rPr>
          <w:rFonts w:hint="eastAsia" w:ascii="方正仿宋简体" w:eastAsia="方正仿宋简体" w:cs="方正仿宋简体"/>
          <w:sz w:val="33"/>
          <w:szCs w:val="33"/>
          <w:u w:val="none"/>
          <w:lang w:val="en-US" w:eastAsia="zh-CN"/>
        </w:rPr>
        <w:t>22</w:t>
      </w:r>
      <w:r>
        <w:rPr>
          <w:rFonts w:hint="eastAsia" w:ascii="方正仿宋简体" w:eastAsia="方正仿宋简体" w:cs="方正仿宋简体"/>
          <w:sz w:val="33"/>
          <w:szCs w:val="33"/>
          <w:u w:val="none"/>
        </w:rPr>
        <w:t>〕</w:t>
      </w:r>
      <w:r>
        <w:rPr>
          <w:rFonts w:hint="eastAsia" w:ascii="方正仿宋简体" w:eastAsia="方正仿宋简体" w:cs="方正仿宋简体"/>
          <w:sz w:val="33"/>
          <w:szCs w:val="33"/>
          <w:u w:val="none"/>
          <w:lang w:val="en-US" w:eastAsia="zh-CN"/>
        </w:rPr>
        <w:t>34</w:t>
      </w:r>
      <w:r>
        <w:rPr>
          <w:rFonts w:hint="eastAsia" w:ascii="方正仿宋简体" w:eastAsia="方正仿宋简体" w:cs="方正仿宋简体"/>
          <w:sz w:val="33"/>
          <w:szCs w:val="33"/>
          <w:u w:val="none"/>
        </w:rPr>
        <w:t>号）</w:t>
      </w:r>
      <w:r>
        <w:rPr>
          <w:rFonts w:hint="eastAsia" w:ascii="方正仿宋简体" w:eastAsia="方正仿宋简体" w:cs="方正仿宋简体"/>
          <w:sz w:val="33"/>
          <w:szCs w:val="33"/>
          <w:u w:val="none"/>
          <w:lang w:eastAsia="zh-CN"/>
        </w:rPr>
        <w:t>，攀枝花市信访联席会议办公室关于转发</w:t>
      </w:r>
      <w:r>
        <w:rPr>
          <w:rFonts w:hint="eastAsia" w:ascii="方正仿宋简体" w:eastAsia="方正仿宋简体" w:cs="方正仿宋简体"/>
          <w:sz w:val="33"/>
          <w:szCs w:val="33"/>
          <w:u w:val="none"/>
        </w:rPr>
        <w:t>《</w:t>
      </w:r>
      <w:r>
        <w:rPr>
          <w:rFonts w:hint="eastAsia" w:ascii="方正仿宋简体" w:eastAsia="方正仿宋简体" w:cs="方正仿宋简体"/>
          <w:sz w:val="33"/>
          <w:szCs w:val="33"/>
          <w:u w:val="none"/>
          <w:lang w:eastAsia="zh-CN"/>
        </w:rPr>
        <w:t>四川省信访联席会议办公室关于进一步做好信访安全稳定风险事项化解稳定工作</w:t>
      </w:r>
      <w:r>
        <w:rPr>
          <w:rFonts w:hint="eastAsia" w:ascii="方正仿宋简体" w:eastAsia="方正仿宋简体" w:cs="方正仿宋简体"/>
          <w:sz w:val="33"/>
          <w:szCs w:val="33"/>
          <w:u w:val="none"/>
        </w:rPr>
        <w:t>的通知》文件要求，20</w:t>
      </w:r>
      <w:r>
        <w:rPr>
          <w:rFonts w:hint="eastAsia" w:ascii="方正仿宋简体" w:eastAsia="方正仿宋简体" w:cs="方正仿宋简体"/>
          <w:sz w:val="33"/>
          <w:szCs w:val="33"/>
          <w:u w:val="none"/>
          <w:lang w:val="en-US" w:eastAsia="zh-CN"/>
        </w:rPr>
        <w:t>22</w:t>
      </w:r>
      <w:r>
        <w:rPr>
          <w:rFonts w:hint="eastAsia" w:ascii="方正仿宋简体" w:eastAsia="方正仿宋简体" w:cs="方正仿宋简体"/>
          <w:sz w:val="33"/>
          <w:szCs w:val="33"/>
          <w:u w:val="none"/>
        </w:rPr>
        <w:t>年</w:t>
      </w:r>
      <w:r>
        <w:rPr>
          <w:rFonts w:hint="eastAsia" w:ascii="方正仿宋简体" w:eastAsia="方正仿宋简体" w:cs="方正仿宋简体"/>
          <w:sz w:val="33"/>
          <w:szCs w:val="33"/>
          <w:u w:val="none"/>
          <w:lang w:val="en-US" w:eastAsia="zh-CN"/>
        </w:rPr>
        <w:t>9</w:t>
      </w:r>
      <w:r>
        <w:rPr>
          <w:rFonts w:hint="eastAsia" w:ascii="方正仿宋简体" w:eastAsia="方正仿宋简体" w:cs="方正仿宋简体"/>
          <w:sz w:val="33"/>
          <w:szCs w:val="33"/>
          <w:u w:val="none"/>
        </w:rPr>
        <w:t>月</w:t>
      </w:r>
      <w:r>
        <w:rPr>
          <w:rFonts w:hint="eastAsia" w:ascii="方正仿宋简体" w:eastAsia="方正仿宋简体" w:cs="方正仿宋简体"/>
          <w:sz w:val="33"/>
          <w:szCs w:val="33"/>
          <w:u w:val="none"/>
          <w:lang w:val="en-US" w:eastAsia="zh-CN"/>
        </w:rPr>
        <w:t>15</w:t>
      </w:r>
      <w:r>
        <w:rPr>
          <w:rFonts w:hint="eastAsia" w:ascii="方正仿宋简体" w:eastAsia="方正仿宋简体" w:cs="方正仿宋简体"/>
          <w:sz w:val="33"/>
          <w:szCs w:val="33"/>
          <w:u w:val="none"/>
        </w:rPr>
        <w:t>日，</w:t>
      </w:r>
      <w:r>
        <w:rPr>
          <w:rFonts w:hint="eastAsia" w:ascii="方正仿宋简体" w:eastAsia="方正仿宋简体" w:cs="方正仿宋简体"/>
          <w:sz w:val="33"/>
          <w:szCs w:val="33"/>
          <w:u w:val="none"/>
          <w:lang w:eastAsia="zh-CN"/>
        </w:rPr>
        <w:t>市政府副市长、市公安局局长周强</w:t>
      </w:r>
      <w:r>
        <w:rPr>
          <w:rFonts w:hint="eastAsia" w:ascii="方正仿宋简体" w:eastAsia="方正仿宋简体" w:cs="方正仿宋简体"/>
          <w:sz w:val="33"/>
          <w:szCs w:val="33"/>
          <w:u w:val="none"/>
        </w:rPr>
        <w:t>组织召开了</w:t>
      </w:r>
      <w:r>
        <w:rPr>
          <w:rFonts w:hint="eastAsia" w:ascii="方正仿宋简体" w:eastAsia="方正仿宋简体" w:cs="方正仿宋简体"/>
          <w:sz w:val="33"/>
          <w:szCs w:val="33"/>
          <w:u w:val="none"/>
          <w:lang w:eastAsia="zh-CN"/>
        </w:rPr>
        <w:t>信访安全保障工作专题会议</w:t>
      </w:r>
      <w:r>
        <w:rPr>
          <w:rFonts w:hint="eastAsia" w:ascii="方正仿宋简体" w:eastAsia="方正仿宋简体" w:cs="方正仿宋简体"/>
          <w:sz w:val="33"/>
          <w:szCs w:val="33"/>
          <w:u w:val="none"/>
        </w:rPr>
        <w:t>，</w:t>
      </w:r>
      <w:r>
        <w:rPr>
          <w:rFonts w:hint="eastAsia" w:ascii="方正仿宋简体" w:eastAsia="方正仿宋简体" w:cs="方正仿宋简体"/>
          <w:sz w:val="33"/>
          <w:szCs w:val="33"/>
          <w:u w:val="none"/>
          <w:lang w:eastAsia="zh-CN"/>
        </w:rPr>
        <w:t>要求做好信访安全保障工作，营造安全稳定和谐社会环境。</w:t>
      </w:r>
    </w:p>
    <w:p>
      <w:pPr>
        <w:ind w:firstLine="640" w:firstLineChars="200"/>
        <w:rPr>
          <w:rFonts w:ascii="黑体" w:hAnsi="黑体" w:eastAsia="黑体"/>
          <w:sz w:val="32"/>
          <w:szCs w:val="32"/>
          <w:lang w:val="zh-CN"/>
        </w:rPr>
      </w:pPr>
      <w:r>
        <w:rPr>
          <w:rFonts w:hint="eastAsia" w:ascii="黑体" w:hAnsi="黑体" w:eastAsia="黑体"/>
          <w:sz w:val="32"/>
          <w:szCs w:val="32"/>
          <w:lang w:val="zh-CN"/>
        </w:rPr>
        <w:t>二、评价实施</w:t>
      </w:r>
    </w:p>
    <w:p>
      <w:pPr>
        <w:autoSpaceDE w:val="0"/>
        <w:autoSpaceDN w:val="0"/>
        <w:adjustRightInd w:val="0"/>
        <w:spacing w:line="520" w:lineRule="exact"/>
        <w:ind w:firstLine="643" w:firstLineChars="200"/>
        <w:jc w:val="left"/>
        <w:rPr>
          <w:rFonts w:hint="eastAsia" w:ascii="方正仿宋简体" w:hAnsi="Times New Roman" w:eastAsia="方正仿宋简体" w:cs="方正仿宋简体"/>
          <w:sz w:val="33"/>
          <w:szCs w:val="33"/>
          <w:u w:val="none"/>
          <w:lang w:val="zh-CN" w:eastAsia="zh-CN"/>
        </w:rPr>
      </w:pPr>
      <w:r>
        <w:rPr>
          <w:rFonts w:hint="eastAsia" w:ascii="楷体_GB2312" w:eastAsia="楷体_GB2312"/>
          <w:b/>
          <w:sz w:val="32"/>
          <w:szCs w:val="32"/>
          <w:lang w:val="zh-CN"/>
        </w:rPr>
        <w:t>（一）评价目的。</w:t>
      </w:r>
      <w:r>
        <w:rPr>
          <w:rFonts w:hint="eastAsia" w:ascii="方正仿宋简体" w:hAnsi="Times New Roman" w:eastAsia="方正仿宋简体" w:cs="方正仿宋简体"/>
          <w:sz w:val="33"/>
          <w:szCs w:val="33"/>
          <w:u w:val="none"/>
          <w:lang w:eastAsia="zh-CN"/>
        </w:rPr>
        <w:t>绩效目标为8万元，完成情况为8万元，确保全年不因工作不当不力引发重大信访事项，圆满完成202</w:t>
      </w:r>
      <w:r>
        <w:rPr>
          <w:rFonts w:hint="eastAsia" w:ascii="方正仿宋简体" w:hAnsi="Times New Roman" w:eastAsia="方正仿宋简体" w:cs="方正仿宋简体"/>
          <w:sz w:val="33"/>
          <w:szCs w:val="33"/>
          <w:u w:val="none"/>
          <w:lang w:val="en-US" w:eastAsia="zh-CN"/>
        </w:rPr>
        <w:t>3</w:t>
      </w:r>
      <w:r>
        <w:rPr>
          <w:rFonts w:hint="eastAsia" w:ascii="方正仿宋简体" w:hAnsi="Times New Roman" w:eastAsia="方正仿宋简体" w:cs="方正仿宋简体"/>
          <w:sz w:val="33"/>
          <w:szCs w:val="33"/>
          <w:u w:val="none"/>
          <w:lang w:eastAsia="zh-CN"/>
        </w:rPr>
        <w:t>年信访安保工作。</w:t>
      </w:r>
    </w:p>
    <w:p>
      <w:pPr>
        <w:ind w:firstLine="643" w:firstLineChars="200"/>
        <w:rPr>
          <w:rFonts w:eastAsia="仿宋_GB2312"/>
          <w:sz w:val="32"/>
          <w:szCs w:val="32"/>
          <w:lang w:val="zh-CN"/>
        </w:rPr>
      </w:pPr>
      <w:r>
        <w:rPr>
          <w:rFonts w:hint="eastAsia" w:ascii="楷体_GB2312" w:eastAsia="楷体_GB2312"/>
          <w:b/>
          <w:sz w:val="32"/>
          <w:szCs w:val="32"/>
          <w:lang w:val="zh-CN"/>
        </w:rPr>
        <w:t>（二）预设问题及评价重点。</w:t>
      </w:r>
      <w:r>
        <w:rPr>
          <w:rFonts w:hint="eastAsia" w:ascii="方正仿宋简体" w:hAnsi="Times New Roman" w:eastAsia="方正仿宋简体" w:cs="方正仿宋简体"/>
          <w:sz w:val="33"/>
          <w:szCs w:val="33"/>
          <w:u w:val="none"/>
          <w:lang w:val="en-US" w:eastAsia="zh-CN"/>
        </w:rPr>
        <w:t>西区历史遗留问题多，辖区改制企业多，困难群体多，各类矛盾突出，受整体经济下行全区财政困难，保安人员待遇较低，人员波动大</w:t>
      </w:r>
      <w:r>
        <w:rPr>
          <w:rFonts w:hint="eastAsia" w:ascii="方正仿宋简体" w:hAnsi="Times New Roman" w:eastAsia="方正仿宋简体" w:cs="方正仿宋简体"/>
          <w:sz w:val="33"/>
          <w:szCs w:val="33"/>
          <w:u w:val="none"/>
          <w:lang w:val="zh-CN" w:eastAsia="zh-CN"/>
        </w:rPr>
        <w:t>。</w:t>
      </w:r>
    </w:p>
    <w:p>
      <w:pPr>
        <w:snapToGrid w:val="0"/>
        <w:spacing w:line="600" w:lineRule="exact"/>
        <w:ind w:firstLine="643" w:firstLineChars="200"/>
        <w:jc w:val="left"/>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b/>
          <w:sz w:val="32"/>
          <w:szCs w:val="32"/>
          <w:lang w:val="zh-CN"/>
        </w:rPr>
        <w:t>（三）</w:t>
      </w:r>
      <w:r>
        <w:rPr>
          <w:rFonts w:ascii="楷体_GB2312" w:hAnsi="Times New Roman" w:eastAsia="楷体_GB2312"/>
          <w:b/>
          <w:sz w:val="33"/>
          <w:szCs w:val="33"/>
          <w:u w:val="none"/>
        </w:rPr>
        <w:t>评估程序</w:t>
      </w:r>
      <w:r>
        <w:rPr>
          <w:rFonts w:hint="eastAsia" w:ascii="方正仿宋简体" w:hAnsi="Times New Roman" w:eastAsia="方正仿宋简体" w:cs="方正仿宋简体"/>
          <w:kern w:val="2"/>
          <w:sz w:val="33"/>
          <w:szCs w:val="33"/>
          <w:u w:val="none"/>
          <w:lang w:val="zh-CN" w:eastAsia="zh-CN" w:bidi="ar-SA"/>
        </w:rPr>
        <w:t>20</w:t>
      </w:r>
      <w:r>
        <w:rPr>
          <w:rFonts w:hint="eastAsia" w:ascii="方正仿宋简体" w:hAnsi="Times New Roman" w:eastAsia="方正仿宋简体" w:cs="方正仿宋简体"/>
          <w:kern w:val="2"/>
          <w:sz w:val="33"/>
          <w:szCs w:val="33"/>
          <w:u w:val="none"/>
          <w:lang w:val="en-US" w:eastAsia="zh-CN" w:bidi="ar-SA"/>
        </w:rPr>
        <w:t>2</w:t>
      </w:r>
      <w:r>
        <w:rPr>
          <w:rFonts w:hint="eastAsia" w:ascii="方正仿宋简体" w:eastAsia="方正仿宋简体" w:cs="方正仿宋简体"/>
          <w:kern w:val="2"/>
          <w:sz w:val="33"/>
          <w:szCs w:val="33"/>
          <w:u w:val="none"/>
          <w:lang w:val="en-US" w:eastAsia="zh-CN" w:bidi="ar-SA"/>
        </w:rPr>
        <w:t>3</w:t>
      </w:r>
      <w:r>
        <w:rPr>
          <w:rFonts w:hint="eastAsia" w:ascii="方正仿宋简体" w:hAnsi="Times New Roman" w:eastAsia="方正仿宋简体" w:cs="方正仿宋简体"/>
          <w:kern w:val="2"/>
          <w:sz w:val="33"/>
          <w:szCs w:val="33"/>
          <w:u w:val="none"/>
          <w:lang w:val="zh-CN" w:eastAsia="zh-CN" w:bidi="ar-SA"/>
        </w:rPr>
        <w:t>年度预算项目绩效评估工作通过线上与线下相结合方式开展。按照有关规定和工作安排，我单位开展自行评估，通过自行成立组建评估组，通过收集被评估项目相关基础资料，并查阅资料、收集数据信息等，深入论证分析后，形成绩效评估报告。</w:t>
      </w:r>
    </w:p>
    <w:p>
      <w:pPr>
        <w:snapToGrid w:val="0"/>
        <w:spacing w:line="600" w:lineRule="exact"/>
        <w:ind w:firstLine="663" w:firstLineChars="200"/>
        <w:jc w:val="left"/>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b/>
          <w:sz w:val="33"/>
          <w:szCs w:val="33"/>
          <w:u w:val="none"/>
          <w:lang w:eastAsia="zh-CN"/>
        </w:rPr>
        <w:t>（</w:t>
      </w:r>
      <w:r>
        <w:rPr>
          <w:rFonts w:hint="eastAsia" w:ascii="楷体_GB2312" w:eastAsia="楷体_GB2312"/>
          <w:b/>
          <w:sz w:val="33"/>
          <w:szCs w:val="33"/>
          <w:u w:val="none"/>
          <w:lang w:val="en-US" w:eastAsia="zh-CN"/>
        </w:rPr>
        <w:t>四</w:t>
      </w:r>
      <w:r>
        <w:rPr>
          <w:rFonts w:hint="eastAsia" w:ascii="楷体_GB2312" w:eastAsia="楷体_GB2312"/>
          <w:b/>
          <w:sz w:val="33"/>
          <w:szCs w:val="33"/>
          <w:u w:val="none"/>
          <w:lang w:eastAsia="zh-CN"/>
        </w:rPr>
        <w:t>）</w:t>
      </w:r>
      <w:r>
        <w:rPr>
          <w:rFonts w:hint="eastAsia" w:ascii="楷体_GB2312" w:hAnsi="Times New Roman" w:eastAsia="楷体_GB2312"/>
          <w:b/>
          <w:sz w:val="33"/>
          <w:szCs w:val="33"/>
          <w:u w:val="none"/>
        </w:rPr>
        <w:t>评估方法</w:t>
      </w:r>
      <w:r>
        <w:rPr>
          <w:rFonts w:hint="eastAsia" w:ascii="方正仿宋简体" w:hAnsi="Times New Roman" w:eastAsia="方正仿宋简体" w:cs="方正仿宋简体"/>
          <w:kern w:val="2"/>
          <w:sz w:val="33"/>
          <w:szCs w:val="33"/>
          <w:u w:val="none"/>
          <w:lang w:val="zh-CN" w:eastAsia="zh-CN" w:bidi="ar-SA"/>
        </w:rPr>
        <w:t>本项目通过现场踏勘、与项目相关人员座谈或讨论、聘请相关专业专家、市场调研等方法了解项目情况，收集相关资料，综合分析相关情况后，对项目的立项必要性、投入经济性、目标合理性、方案可行性以及筹资合规性实施评估。</w:t>
      </w:r>
    </w:p>
    <w:p>
      <w:pPr>
        <w:snapToGrid w:val="0"/>
        <w:spacing w:line="600" w:lineRule="exact"/>
        <w:ind w:firstLine="643" w:firstLineChars="200"/>
        <w:jc w:val="left"/>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b/>
          <w:color w:val="auto"/>
          <w:sz w:val="32"/>
          <w:szCs w:val="32"/>
          <w:lang w:val="zh-CN"/>
        </w:rPr>
        <w:t>（</w:t>
      </w:r>
      <w:r>
        <w:rPr>
          <w:rFonts w:hint="eastAsia" w:ascii="楷体_GB2312" w:eastAsia="楷体_GB2312"/>
          <w:b/>
          <w:color w:val="auto"/>
          <w:sz w:val="32"/>
          <w:szCs w:val="32"/>
          <w:lang w:val="en-US" w:eastAsia="zh-CN"/>
        </w:rPr>
        <w:t>五</w:t>
      </w:r>
      <w:r>
        <w:rPr>
          <w:rFonts w:hint="eastAsia" w:ascii="楷体_GB2312" w:eastAsia="楷体_GB2312"/>
          <w:b/>
          <w:color w:val="auto"/>
          <w:sz w:val="32"/>
          <w:szCs w:val="32"/>
          <w:lang w:val="zh-CN"/>
        </w:rPr>
        <w:t>）评价组织。</w:t>
      </w:r>
      <w:r>
        <w:rPr>
          <w:rFonts w:hint="eastAsia" w:ascii="楷体_GB2312" w:eastAsia="楷体_GB2312"/>
          <w:b/>
          <w:color w:val="auto"/>
          <w:sz w:val="32"/>
          <w:szCs w:val="32"/>
          <w:lang w:val="en-US" w:eastAsia="zh-CN"/>
        </w:rPr>
        <w:t>成立绩效评价小组，</w:t>
      </w:r>
      <w:r>
        <w:rPr>
          <w:rFonts w:hint="eastAsia" w:ascii="方正仿宋简体" w:hAnsi="Times New Roman" w:eastAsia="方正仿宋简体" w:cs="方正仿宋简体"/>
          <w:kern w:val="2"/>
          <w:sz w:val="33"/>
          <w:szCs w:val="33"/>
          <w:u w:val="none"/>
          <w:lang w:val="en-US" w:eastAsia="zh-CN" w:bidi="ar-SA"/>
        </w:rPr>
        <w:t>局长担任组长</w:t>
      </w:r>
      <w:r>
        <w:rPr>
          <w:rFonts w:hint="eastAsia" w:ascii="方正仿宋简体" w:hAnsi="Times New Roman" w:eastAsia="方正仿宋简体" w:cs="方正仿宋简体"/>
          <w:kern w:val="2"/>
          <w:sz w:val="33"/>
          <w:szCs w:val="33"/>
          <w:u w:val="none"/>
          <w:lang w:val="zh-CN" w:eastAsia="zh-CN" w:bidi="ar-SA"/>
        </w:rPr>
        <w:t>负责统一部署和管理绩效考核工作，对各部门负责人进行绩效考核评价，对各部门的考核结果进行审核，</w:t>
      </w:r>
      <w:r>
        <w:rPr>
          <w:rFonts w:hint="eastAsia" w:ascii="方正仿宋简体" w:eastAsia="方正仿宋简体" w:cs="方正仿宋简体"/>
          <w:kern w:val="2"/>
          <w:sz w:val="33"/>
          <w:szCs w:val="33"/>
          <w:u w:val="none"/>
          <w:lang w:val="en-US" w:eastAsia="zh-CN" w:bidi="ar-SA"/>
        </w:rPr>
        <w:t>及工作</w:t>
      </w:r>
      <w:r>
        <w:rPr>
          <w:rFonts w:hint="eastAsia" w:ascii="方正仿宋简体" w:hAnsi="Times New Roman" w:eastAsia="方正仿宋简体" w:cs="方正仿宋简体"/>
          <w:kern w:val="2"/>
          <w:sz w:val="33"/>
          <w:szCs w:val="33"/>
          <w:u w:val="none"/>
          <w:lang w:val="zh-CN" w:eastAsia="zh-CN" w:bidi="ar-SA"/>
        </w:rPr>
        <w:t>指导，促进整体绩效目标的达成和提高。</w:t>
      </w:r>
      <w:r>
        <w:rPr>
          <w:rFonts w:hint="eastAsia" w:ascii="方正仿宋简体" w:hAnsi="Times New Roman" w:eastAsia="方正仿宋简体" w:cs="方正仿宋简体"/>
          <w:kern w:val="2"/>
          <w:sz w:val="33"/>
          <w:szCs w:val="33"/>
          <w:u w:val="none"/>
          <w:lang w:val="en-US" w:eastAsia="zh-CN" w:bidi="ar-SA"/>
        </w:rPr>
        <w:t>副局长及中心主任担任副组长</w:t>
      </w:r>
      <w:r>
        <w:rPr>
          <w:rFonts w:hint="eastAsia" w:ascii="方正仿宋简体" w:eastAsia="方正仿宋简体" w:cs="方正仿宋简体"/>
          <w:kern w:val="2"/>
          <w:sz w:val="33"/>
          <w:szCs w:val="33"/>
          <w:u w:val="none"/>
          <w:lang w:val="en-US" w:eastAsia="zh-CN" w:bidi="ar-SA"/>
        </w:rPr>
        <w:t>，</w:t>
      </w:r>
      <w:r>
        <w:rPr>
          <w:rFonts w:hint="eastAsia" w:ascii="方正仿宋简体" w:hAnsi="Times New Roman" w:eastAsia="方正仿宋简体" w:cs="方正仿宋简体"/>
          <w:kern w:val="2"/>
          <w:sz w:val="33"/>
          <w:szCs w:val="33"/>
          <w:u w:val="none"/>
          <w:lang w:val="zh-CN" w:eastAsia="zh-CN" w:bidi="ar-SA"/>
        </w:rPr>
        <w:t>负责依据考评原则和考评程序，对所属部门员工进行绩效考核评价。及时与员工进行考评沟通，提供必要的反馈和指导。</w:t>
      </w:r>
    </w:p>
    <w:p>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pPr>
        <w:ind w:firstLine="640" w:firstLineChars="200"/>
        <w:rPr>
          <w:rFonts w:hint="eastAsia" w:ascii="方正仿宋简体" w:hAnsi="Times New Roman" w:eastAsia="方正仿宋简体" w:cs="方正仿宋简体"/>
          <w:sz w:val="33"/>
          <w:szCs w:val="33"/>
          <w:u w:val="none"/>
          <w:lang w:val="zh-CN" w:eastAsia="zh-CN"/>
        </w:rPr>
      </w:pPr>
      <w:r>
        <w:rPr>
          <w:rFonts w:hint="eastAsia" w:eastAsia="仿宋_GB2312"/>
          <w:sz w:val="32"/>
          <w:szCs w:val="32"/>
          <w:lang w:val="zh-CN"/>
        </w:rPr>
        <w:t>根</w:t>
      </w:r>
      <w:r>
        <w:rPr>
          <w:rFonts w:hint="eastAsia" w:ascii="方正仿宋简体" w:hAnsi="Times New Roman" w:eastAsia="方正仿宋简体" w:cs="方正仿宋简体"/>
          <w:sz w:val="33"/>
          <w:szCs w:val="33"/>
          <w:u w:val="none"/>
          <w:lang w:val="zh-CN" w:eastAsia="zh-CN"/>
        </w:rPr>
        <w:t>据项目预算绩效评价指标体系“通用指标”“专用指标”“个性指标”涉及二、三级指标进行逐项绩效分析并评分。</w:t>
      </w:r>
    </w:p>
    <w:p>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pPr>
        <w:adjustRightInd w:val="0"/>
        <w:snapToGrid w:val="0"/>
        <w:spacing w:line="560" w:lineRule="exact"/>
        <w:ind w:firstLine="640" w:firstLineChars="200"/>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sz w:val="32"/>
          <w:szCs w:val="32"/>
          <w:lang w:val="zh-CN"/>
        </w:rPr>
        <w:t>1.项目决策。</w:t>
      </w:r>
      <w:r>
        <w:rPr>
          <w:rFonts w:hint="eastAsia" w:ascii="方正仿宋简体" w:hAnsi="Times New Roman" w:eastAsia="方正仿宋简体" w:cs="方正仿宋简体"/>
          <w:kern w:val="2"/>
          <w:sz w:val="33"/>
          <w:szCs w:val="33"/>
          <w:u w:val="none"/>
          <w:lang w:val="en-US" w:eastAsia="zh-CN" w:bidi="ar-SA"/>
        </w:rPr>
        <w:t>该笔资金来源渠道的合法合规，评估内容具有公共性，属于公共财政支持范围，筹资渠道符合法律法规规定，筹资结构合理，资金来源渠道明确。</w:t>
      </w:r>
    </w:p>
    <w:p>
      <w:pPr>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outlineLvl w:val="9"/>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sz w:val="32"/>
          <w:szCs w:val="32"/>
          <w:lang w:val="zh-CN"/>
        </w:rPr>
        <w:t>2.项目管理。</w:t>
      </w:r>
      <w:r>
        <w:rPr>
          <w:rFonts w:hint="eastAsia" w:ascii="方正仿宋简体" w:hAnsi="Times New Roman" w:eastAsia="方正仿宋简体" w:cs="方正仿宋简体"/>
          <w:kern w:val="2"/>
          <w:sz w:val="33"/>
          <w:szCs w:val="33"/>
          <w:u w:val="none"/>
          <w:lang w:val="en-US" w:eastAsia="zh-CN" w:bidi="ar-SA"/>
        </w:rPr>
        <w:t>严格按照批复的支出预算执行，对人员经费严格按照上级的有关政策规定执行，无擅自扩大开支范围和提高开支标准情况。项目支出严格按照批复的项目和用途使用，无自行改变项目内容及扩大使用范围情况，保证专款专用，无截留、挪用专项资金情况。</w:t>
      </w:r>
    </w:p>
    <w:p>
      <w:pPr>
        <w:ind w:firstLine="640" w:firstLineChars="200"/>
        <w:rPr>
          <w:rFonts w:hint="eastAsia" w:ascii="方正仿宋简体" w:hAnsi="Times New Roman" w:eastAsia="方正仿宋简体" w:cs="方正仿宋简体"/>
          <w:kern w:val="2"/>
          <w:sz w:val="33"/>
          <w:szCs w:val="33"/>
          <w:u w:val="none"/>
          <w:lang w:val="en-US" w:eastAsia="zh-CN" w:bidi="ar-SA"/>
        </w:rPr>
      </w:pPr>
      <w:r>
        <w:rPr>
          <w:rFonts w:hint="eastAsia" w:ascii="楷体_GB2312" w:eastAsia="楷体_GB2312"/>
          <w:sz w:val="32"/>
          <w:szCs w:val="32"/>
          <w:lang w:val="zh-CN"/>
        </w:rPr>
        <w:t>3.项目实施。</w:t>
      </w:r>
      <w:r>
        <w:rPr>
          <w:rFonts w:hint="eastAsia" w:ascii="方正仿宋简体" w:hAnsi="Times New Roman" w:eastAsia="方正仿宋简体" w:cs="方正仿宋简体"/>
          <w:kern w:val="2"/>
          <w:sz w:val="33"/>
          <w:szCs w:val="33"/>
          <w:u w:val="none"/>
          <w:lang w:val="en-US" w:eastAsia="zh-CN" w:bidi="ar-SA"/>
        </w:rPr>
        <w:t>保证在财政批复部门预算后20日内，通过攀枝花市西区人民政府网站预决算公开统一平台公开绩效目标情况，并妥善做好解释说明工作，确保公开信息规范化、标准化，主动接受预算监督。</w:t>
      </w:r>
    </w:p>
    <w:p>
      <w:pPr>
        <w:adjustRightInd w:val="0"/>
        <w:snapToGrid w:val="0"/>
        <w:spacing w:line="600" w:lineRule="exact"/>
        <w:ind w:firstLine="720"/>
        <w:rPr>
          <w:rFonts w:eastAsia="仿宋_GB2312"/>
          <w:sz w:val="32"/>
          <w:szCs w:val="32"/>
          <w:lang w:val="zh-CN"/>
        </w:rPr>
      </w:pPr>
      <w:r>
        <w:rPr>
          <w:rFonts w:hint="eastAsia" w:ascii="楷体_GB2312" w:eastAsia="楷体_GB2312"/>
          <w:sz w:val="32"/>
          <w:szCs w:val="32"/>
          <w:lang w:val="zh-CN"/>
        </w:rPr>
        <w:t>4.项目结果。</w:t>
      </w:r>
      <w:r>
        <w:rPr>
          <w:rFonts w:hint="eastAsia"/>
          <w:lang w:val="en-US" w:eastAsia="zh-CN"/>
        </w:rPr>
        <w:t xml:space="preserve"> </w:t>
      </w:r>
      <w:r>
        <w:rPr>
          <w:rFonts w:hint="eastAsia" w:ascii="方正仿宋简体" w:hAnsi="Times New Roman" w:eastAsia="方正仿宋简体" w:cs="方正仿宋简体"/>
          <w:kern w:val="2"/>
          <w:sz w:val="33"/>
          <w:szCs w:val="33"/>
          <w:u w:val="none"/>
          <w:lang w:val="en-US" w:eastAsia="zh-CN" w:bidi="ar-SA"/>
        </w:rPr>
        <w:t>该项目资金</w:t>
      </w:r>
      <w:r>
        <w:rPr>
          <w:rFonts w:hint="eastAsia" w:ascii="方正仿宋简体" w:hAnsi="Times New Roman" w:eastAsia="方正仿宋简体" w:cs="方正仿宋简体"/>
          <w:sz w:val="33"/>
          <w:szCs w:val="33"/>
          <w:u w:val="none"/>
          <w:lang w:val="en-US" w:eastAsia="zh-CN"/>
        </w:rPr>
        <w:t>年初预算8万元，区财政已及时拨付到位，全年完成数8万元。该</w:t>
      </w:r>
      <w:r>
        <w:rPr>
          <w:rFonts w:hint="eastAsia" w:ascii="方正仿宋简体" w:hAnsi="Times New Roman" w:eastAsia="方正仿宋简体" w:cs="方正仿宋简体"/>
          <w:sz w:val="33"/>
          <w:szCs w:val="33"/>
          <w:u w:val="none"/>
          <w:lang w:val="zh-CN" w:eastAsia="zh-CN"/>
        </w:rPr>
        <w:t>项目</w:t>
      </w:r>
      <w:r>
        <w:rPr>
          <w:rFonts w:hint="eastAsia" w:ascii="方正仿宋简体" w:hAnsi="Times New Roman" w:eastAsia="方正仿宋简体" w:cs="方正仿宋简体"/>
          <w:kern w:val="2"/>
          <w:sz w:val="33"/>
          <w:szCs w:val="33"/>
          <w:u w:val="none"/>
          <w:lang w:val="zh-CN" w:eastAsia="zh-CN" w:bidi="ar-SA"/>
        </w:rPr>
        <w:t>实施财务管理制度健全，严格执行财务管理制度，账务处理及时，会计核算规范。</w:t>
      </w:r>
    </w:p>
    <w:p>
      <w:pPr>
        <w:ind w:firstLine="643" w:firstLineChars="200"/>
        <w:rPr>
          <w:rFonts w:hint="eastAsia" w:ascii="楷体_GB2312" w:eastAsia="楷体_GB2312"/>
          <w:b/>
          <w:sz w:val="32"/>
          <w:szCs w:val="32"/>
          <w:lang w:val="zh-CN"/>
        </w:rPr>
      </w:pPr>
      <w:r>
        <w:rPr>
          <w:rFonts w:hint="eastAsia" w:ascii="楷体_GB2312" w:hAnsi="Times New Roman" w:eastAsia="楷体_GB2312" w:cs="Times New Roman"/>
          <w:b/>
          <w:sz w:val="32"/>
          <w:szCs w:val="32"/>
          <w:lang w:val="zh-CN"/>
        </w:rPr>
        <w:t>（二）个性指标</w:t>
      </w:r>
      <w:r>
        <w:rPr>
          <w:rFonts w:hint="eastAsia" w:ascii="楷体_GB2312" w:eastAsia="楷体_GB2312"/>
          <w:b/>
          <w:sz w:val="32"/>
          <w:szCs w:val="32"/>
          <w:lang w:val="zh-CN"/>
        </w:rPr>
        <w:t>绩效分析。</w:t>
      </w:r>
    </w:p>
    <w:p>
      <w:pPr>
        <w:snapToGrid w:val="0"/>
        <w:spacing w:line="600" w:lineRule="atLeast"/>
        <w:jc w:val="center"/>
        <w:rPr>
          <w:rFonts w:ascii="仿宋_GB2312" w:hAnsi="宋体"/>
          <w:sz w:val="33"/>
          <w:szCs w:val="33"/>
          <w:u w:val="none"/>
        </w:rPr>
      </w:pPr>
      <w:r>
        <w:rPr>
          <w:rFonts w:hint="eastAsia" w:ascii="宋体" w:hAnsi="宋体" w:eastAsia="宋体"/>
          <w:b/>
          <w:sz w:val="33"/>
          <w:szCs w:val="33"/>
          <w:u w:val="none"/>
        </w:rPr>
        <w:t>攀枝花市西区区级</w:t>
      </w:r>
      <w:r>
        <w:rPr>
          <w:rFonts w:hint="eastAsia" w:ascii="宋体" w:hAnsi="宋体" w:eastAsia="宋体"/>
          <w:b/>
          <w:sz w:val="33"/>
          <w:szCs w:val="33"/>
          <w:u w:val="none"/>
          <w:lang w:eastAsia="zh-CN"/>
        </w:rPr>
        <w:t>保安费用</w:t>
      </w:r>
      <w:r>
        <w:rPr>
          <w:rFonts w:ascii="宋体" w:hAnsi="宋体" w:eastAsia="宋体"/>
          <w:b/>
          <w:sz w:val="33"/>
          <w:szCs w:val="33"/>
          <w:u w:val="none"/>
        </w:rPr>
        <w:t>绩效</w:t>
      </w:r>
      <w:r>
        <w:rPr>
          <w:rFonts w:hint="eastAsia" w:ascii="宋体" w:hAnsi="宋体" w:eastAsia="宋体"/>
          <w:b/>
          <w:sz w:val="33"/>
          <w:szCs w:val="33"/>
          <w:u w:val="none"/>
        </w:rPr>
        <w:t>目标</w:t>
      </w:r>
      <w:r>
        <w:rPr>
          <w:rFonts w:ascii="宋体" w:hAnsi="宋体" w:eastAsia="宋体"/>
          <w:b/>
          <w:sz w:val="33"/>
          <w:szCs w:val="33"/>
          <w:u w:val="none"/>
        </w:rPr>
        <w:t>表</w:t>
      </w:r>
    </w:p>
    <w:tbl>
      <w:tblPr>
        <w:tblStyle w:val="16"/>
        <w:tblW w:w="9291" w:type="dxa"/>
        <w:tblInd w:w="15" w:type="dxa"/>
        <w:tblLayout w:type="fixed"/>
        <w:tblCellMar>
          <w:top w:w="0" w:type="dxa"/>
          <w:left w:w="0" w:type="dxa"/>
          <w:bottom w:w="0" w:type="dxa"/>
          <w:right w:w="0" w:type="dxa"/>
        </w:tblCellMar>
      </w:tblPr>
      <w:tblGrid>
        <w:gridCol w:w="1101"/>
        <w:gridCol w:w="1365"/>
        <w:gridCol w:w="2220"/>
        <w:gridCol w:w="4605"/>
      </w:tblGrid>
      <w:tr>
        <w:tblPrEx>
          <w:tblLayout w:type="fixed"/>
          <w:tblCellMar>
            <w:top w:w="0" w:type="dxa"/>
            <w:left w:w="0" w:type="dxa"/>
            <w:bottom w:w="0" w:type="dxa"/>
            <w:right w:w="0" w:type="dxa"/>
          </w:tblCellMar>
        </w:tblPrEx>
        <w:trPr>
          <w:trHeight w:val="340" w:hRule="atLeast"/>
        </w:trPr>
        <w:tc>
          <w:tcPr>
            <w:tcW w:w="11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绩效指标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一级指标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二级指标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三级指标</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完成指标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数量指标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保障全年保安的经费</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79"/>
              </w:tabs>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b/>
            </w:r>
            <w:r>
              <w:rPr>
                <w:rFonts w:hint="eastAsia" w:ascii="宋体" w:hAnsi="宋体" w:eastAsia="宋体" w:cs="宋体"/>
                <w:i w:val="0"/>
                <w:color w:val="000000"/>
                <w:kern w:val="0"/>
                <w:sz w:val="20"/>
                <w:szCs w:val="20"/>
                <w:u w:val="none"/>
                <w:lang w:val="en-US" w:eastAsia="zh-CN" w:bidi="ar"/>
              </w:rPr>
              <w:t xml:space="preserve">  质量指标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确保信访安保工作质量</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时效指标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全年</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成本指标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80000</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效益指标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社会效益指标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信访工作顺利开展</w:t>
            </w:r>
          </w:p>
        </w:tc>
      </w:tr>
      <w:tr>
        <w:tblPrEx>
          <w:tblLayout w:type="fixed"/>
          <w:tblCellMar>
            <w:top w:w="0" w:type="dxa"/>
            <w:left w:w="0" w:type="dxa"/>
            <w:bottom w:w="0" w:type="dxa"/>
            <w:right w:w="0" w:type="dxa"/>
          </w:tblCellMar>
        </w:tblPrEx>
        <w:trPr>
          <w:trHeight w:val="475"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满意度指标</w:t>
            </w:r>
          </w:p>
        </w:tc>
        <w:tc>
          <w:tcPr>
            <w:tcW w:w="222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服务对象满意度指标</w:t>
            </w:r>
          </w:p>
        </w:tc>
        <w:tc>
          <w:tcPr>
            <w:tcW w:w="460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w:t>
            </w:r>
          </w:p>
        </w:tc>
      </w:tr>
    </w:tbl>
    <w:p>
      <w:pPr>
        <w:ind w:firstLine="640" w:firstLineChars="200"/>
        <w:rPr>
          <w:rFonts w:ascii="黑体" w:hAnsi="黑体" w:eastAsia="黑体"/>
          <w:sz w:val="32"/>
          <w:szCs w:val="32"/>
          <w:lang w:val="zh-CN"/>
        </w:rPr>
      </w:pPr>
      <w:r>
        <w:rPr>
          <w:rFonts w:hint="eastAsia" w:ascii="黑体" w:hAnsi="黑体" w:eastAsia="黑体"/>
          <w:sz w:val="32"/>
          <w:szCs w:val="32"/>
          <w:lang w:val="zh-CN"/>
        </w:rPr>
        <w:t>四、评价结论</w:t>
      </w:r>
    </w:p>
    <w:p>
      <w:pPr>
        <w:adjustRightInd w:val="0"/>
        <w:snapToGrid w:val="0"/>
        <w:spacing w:line="600" w:lineRule="exact"/>
        <w:ind w:firstLine="720"/>
        <w:rPr>
          <w:rFonts w:eastAsia="楷体_GB2312"/>
          <w:b/>
          <w:sz w:val="33"/>
          <w:szCs w:val="33"/>
          <w:lang w:val="zh-CN"/>
        </w:rPr>
      </w:pPr>
      <w:r>
        <w:rPr>
          <w:rFonts w:eastAsia="楷体_GB2312"/>
          <w:b/>
          <w:sz w:val="33"/>
          <w:szCs w:val="33"/>
          <w:lang w:val="zh-CN"/>
        </w:rPr>
        <w:t>（一）评价结论。</w:t>
      </w:r>
    </w:p>
    <w:p>
      <w:pPr>
        <w:keepNext w:val="0"/>
        <w:keepLines w:val="0"/>
        <w:pageBreakBefore w:val="0"/>
        <w:widowControl w:val="0"/>
        <w:kinsoku/>
        <w:wordWrap/>
        <w:overflowPunct/>
        <w:topLinePunct w:val="0"/>
        <w:autoSpaceDE/>
        <w:autoSpaceDN/>
        <w:bidi w:val="0"/>
        <w:adjustRightInd/>
        <w:snapToGrid/>
        <w:spacing w:line="353" w:lineRule="auto"/>
        <w:ind w:firstLine="660" w:firstLineChars="200"/>
        <w:textAlignment w:val="auto"/>
        <w:outlineLvl w:val="9"/>
        <w:rPr>
          <w:rFonts w:hint="eastAsia" w:ascii="方正仿宋简体" w:hAnsi="Times New Roman" w:eastAsia="方正仿宋简体" w:cs="方正仿宋简体"/>
          <w:kern w:val="2"/>
          <w:sz w:val="33"/>
          <w:szCs w:val="33"/>
          <w:u w:val="none"/>
          <w:lang w:val="en-US" w:eastAsia="zh-CN" w:bidi="ar-SA"/>
        </w:rPr>
      </w:pPr>
      <w:r>
        <w:rPr>
          <w:rFonts w:hint="eastAsia" w:ascii="方正仿宋简体" w:hAnsi="Times New Roman" w:eastAsia="方正仿宋简体" w:cs="方正仿宋简体"/>
          <w:kern w:val="2"/>
          <w:sz w:val="33"/>
          <w:szCs w:val="33"/>
          <w:u w:val="none"/>
          <w:lang w:val="en-US" w:eastAsia="zh-CN" w:bidi="ar-SA"/>
        </w:rPr>
        <w:t>该项目资金预期产出和效果能满足需求、不需核减预算安排、该笔资金需继续保留。综合前述评估内容来看，该项目立项必要性和依据充分，绩效目标明确，具备实施条件，具有公共性，符合财政资金支持方向等。建议予以支持，预算控制在8万元以内。该项目申请资金总预算8万元，经评审，建议预算申报数8万元,我单位将进一步优化完善实施方案和绩效目标，加强运行监控，节约财政资金并提升资金效益，提升预算绩效管理水平。</w:t>
      </w:r>
    </w:p>
    <w:p>
      <w:pPr>
        <w:ind w:firstLine="640" w:firstLineChars="200"/>
        <w:rPr>
          <w:rFonts w:ascii="黑体" w:hAnsi="黑体" w:eastAsia="黑体"/>
          <w:sz w:val="32"/>
          <w:szCs w:val="32"/>
          <w:lang w:val="zh-CN"/>
        </w:rPr>
      </w:pPr>
      <w:r>
        <w:rPr>
          <w:rFonts w:hint="eastAsia" w:ascii="黑体" w:hAnsi="黑体" w:eastAsia="黑体"/>
          <w:sz w:val="32"/>
          <w:szCs w:val="32"/>
          <w:lang w:val="zh-CN"/>
        </w:rPr>
        <w:t>五、存在主要问题</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无。</w:t>
      </w:r>
    </w:p>
    <w:p>
      <w:pPr>
        <w:ind w:firstLine="640" w:firstLineChars="200"/>
        <w:rPr>
          <w:rFonts w:ascii="黑体" w:hAnsi="黑体" w:eastAsia="黑体"/>
          <w:sz w:val="32"/>
          <w:szCs w:val="32"/>
          <w:lang w:val="zh-CN"/>
        </w:rPr>
      </w:pPr>
      <w:r>
        <w:rPr>
          <w:rFonts w:hint="eastAsia" w:ascii="黑体" w:hAnsi="黑体" w:eastAsia="黑体"/>
          <w:sz w:val="32"/>
          <w:szCs w:val="32"/>
          <w:lang w:val="zh-CN"/>
        </w:rPr>
        <w:t>六、改进建议</w:t>
      </w:r>
    </w:p>
    <w:p>
      <w:pPr>
        <w:ind w:firstLine="640" w:firstLineChars="200"/>
        <w:rPr>
          <w:rFonts w:eastAsia="仿宋_GB2312"/>
          <w:sz w:val="32"/>
          <w:szCs w:val="32"/>
          <w:lang w:val="zh-CN"/>
        </w:rPr>
      </w:pPr>
      <w:r>
        <w:rPr>
          <w:rFonts w:hint="eastAsia" w:eastAsia="仿宋_GB2312"/>
          <w:sz w:val="32"/>
          <w:szCs w:val="32"/>
          <w:lang w:val="en-US" w:eastAsia="zh-CN"/>
        </w:rPr>
        <w:t>无</w:t>
      </w:r>
      <w:r>
        <w:rPr>
          <w:rFonts w:hint="eastAsia" w:eastAsia="仿宋_GB2312"/>
          <w:sz w:val="32"/>
          <w:szCs w:val="32"/>
          <w:lang w:val="zh-CN"/>
        </w:rPr>
        <w:t xml:space="preserve"> 。</w:t>
      </w:r>
    </w:p>
    <w:p>
      <w:pPr>
        <w:pStyle w:val="35"/>
        <w:spacing w:line="600" w:lineRule="exact"/>
        <w:jc w:val="center"/>
        <w:rPr>
          <w:rFonts w:ascii="Times New Roman" w:hAnsi="Times New Roman" w:eastAsia="仿宋_GB2312"/>
          <w:color w:val="auto"/>
          <w:kern w:val="2"/>
          <w:sz w:val="32"/>
          <w:szCs w:val="32"/>
        </w:rPr>
      </w:pPr>
    </w:p>
    <w:p>
      <w:pPr>
        <w:pStyle w:val="35"/>
        <w:spacing w:line="600" w:lineRule="exact"/>
        <w:ind w:firstLine="3253" w:firstLineChars="900"/>
        <w:jc w:val="both"/>
        <w:rPr>
          <w:rFonts w:ascii="Times New Roman" w:hAnsi="Times New Roman" w:eastAsia="仿宋_GB2312"/>
          <w:b/>
          <w:bCs/>
          <w:color w:val="auto"/>
          <w:kern w:val="2"/>
          <w:sz w:val="36"/>
          <w:szCs w:val="36"/>
        </w:rPr>
      </w:pPr>
      <w:r>
        <w:rPr>
          <w:rFonts w:hint="eastAsia" w:ascii="Times New Roman" w:hAnsi="Times New Roman" w:eastAsia="仿宋_GB2312"/>
          <w:b/>
          <w:bCs/>
          <w:color w:val="auto"/>
          <w:kern w:val="2"/>
          <w:sz w:val="36"/>
          <w:szCs w:val="36"/>
          <w:lang w:val="en-US" w:eastAsia="zh-CN"/>
        </w:rPr>
        <w:t>接访费用</w:t>
      </w:r>
    </w:p>
    <w:p>
      <w:pPr>
        <w:pStyle w:val="35"/>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sz w:val="33"/>
          <w:szCs w:val="33"/>
          <w:lang w:val="zh-CN"/>
        </w:rPr>
      </w:pPr>
      <w:r>
        <w:rPr>
          <w:rFonts w:eastAsia="黑体"/>
          <w:sz w:val="33"/>
          <w:szCs w:val="33"/>
        </w:rPr>
        <w:t>一、</w:t>
      </w:r>
      <w:r>
        <w:rPr>
          <w:rFonts w:eastAsia="黑体"/>
          <w:sz w:val="33"/>
          <w:szCs w:val="33"/>
          <w:lang w:val="zh-CN"/>
        </w:rPr>
        <w:t>项目概况</w:t>
      </w:r>
    </w:p>
    <w:p>
      <w:pPr>
        <w:adjustRightInd w:val="0"/>
        <w:snapToGrid w:val="0"/>
        <w:spacing w:line="600" w:lineRule="exact"/>
        <w:ind w:firstLine="720"/>
        <w:rPr>
          <w:rFonts w:eastAsia="楷体_GB2312"/>
          <w:b/>
          <w:sz w:val="33"/>
          <w:szCs w:val="33"/>
          <w:lang w:val="zh-CN"/>
        </w:rPr>
      </w:pPr>
      <w:r>
        <w:rPr>
          <w:rFonts w:eastAsia="楷体_GB2312"/>
          <w:b/>
          <w:sz w:val="33"/>
          <w:szCs w:val="33"/>
          <w:lang w:val="zh-CN"/>
        </w:rPr>
        <w:t>（一）项目基本情况。</w:t>
      </w:r>
    </w:p>
    <w:p>
      <w:pPr>
        <w:adjustRightInd w:val="0"/>
        <w:snapToGrid w:val="0"/>
        <w:spacing w:line="600" w:lineRule="exact"/>
        <w:ind w:firstLine="660" w:firstLineChars="200"/>
        <w:rPr>
          <w:rFonts w:hint="eastAsia" w:ascii="方正仿宋简体" w:eastAsia="方正仿宋简体" w:cs="方正仿宋简体"/>
          <w:sz w:val="33"/>
          <w:szCs w:val="33"/>
          <w:u w:val="none"/>
          <w:lang w:eastAsia="zh-CN"/>
        </w:rPr>
      </w:pPr>
      <w:r>
        <w:rPr>
          <w:rFonts w:hint="eastAsia" w:ascii="方正仿宋简体" w:eastAsia="方正仿宋简体" w:cs="方正仿宋简体"/>
          <w:sz w:val="33"/>
          <w:szCs w:val="33"/>
          <w:u w:val="none"/>
          <w:lang w:val="en-US" w:eastAsia="zh-CN"/>
        </w:rPr>
        <w:t>1.</w:t>
      </w:r>
      <w:r>
        <w:rPr>
          <w:rFonts w:hint="eastAsia" w:ascii="方正仿宋简体" w:eastAsia="方正仿宋简体" w:cs="方正仿宋简体"/>
          <w:sz w:val="33"/>
          <w:szCs w:val="33"/>
          <w:u w:val="none"/>
        </w:rPr>
        <w:t>保障本年度内不发生重大群体信访事项，全区无重大信访问题。</w:t>
      </w:r>
    </w:p>
    <w:p>
      <w:pPr>
        <w:adjustRightInd w:val="0"/>
        <w:snapToGrid w:val="0"/>
        <w:spacing w:line="600" w:lineRule="exact"/>
        <w:ind w:firstLine="660" w:firstLineChars="200"/>
        <w:rPr>
          <w:rFonts w:hint="eastAsia" w:ascii="方正仿宋简体" w:eastAsia="方正仿宋简体" w:cs="方正仿宋简体"/>
          <w:sz w:val="33"/>
          <w:szCs w:val="33"/>
          <w:u w:val="none"/>
        </w:rPr>
      </w:pPr>
      <w:r>
        <w:rPr>
          <w:rFonts w:hint="eastAsia" w:ascii="方正仿宋简体" w:eastAsia="方正仿宋简体" w:cs="方正仿宋简体"/>
          <w:sz w:val="33"/>
          <w:szCs w:val="33"/>
          <w:u w:val="none"/>
          <w:lang w:val="en-US" w:eastAsia="zh-CN"/>
        </w:rPr>
        <w:t>2.</w:t>
      </w:r>
      <w:r>
        <w:rPr>
          <w:rFonts w:hint="eastAsia" w:ascii="方正仿宋简体" w:eastAsia="方正仿宋简体" w:cs="方正仿宋简体"/>
          <w:sz w:val="33"/>
          <w:szCs w:val="33"/>
          <w:u w:val="none"/>
        </w:rPr>
        <w:t>按照《攀枝花市年度目标绩效管理办法》《攀枝花市市级目标绩效考评特殊情况加扣分标准》《攀枝花市省级目标任务绩效考核实施细则》等制度规定和《攀枝花市 2020年度市级综合目标任务实施方案》考评责任分工，结合我市信访工作实际，制定了攀枝花市信访局关于印发《2020年信访工作考评细则 》的通知。</w:t>
      </w:r>
    </w:p>
    <w:p>
      <w:pPr>
        <w:adjustRightInd w:val="0"/>
        <w:snapToGrid w:val="0"/>
        <w:spacing w:line="600" w:lineRule="exact"/>
        <w:ind w:firstLine="660" w:firstLineChars="200"/>
        <w:rPr>
          <w:rFonts w:hint="eastAsia" w:ascii="方正仿宋简体" w:eastAsia="方正仿宋简体" w:cs="方正仿宋简体"/>
          <w:sz w:val="33"/>
          <w:szCs w:val="33"/>
          <w:u w:val="none"/>
          <w:lang w:val="zh-CN"/>
        </w:rPr>
      </w:pPr>
      <w:r>
        <w:rPr>
          <w:rFonts w:hint="eastAsia" w:ascii="方正仿宋简体" w:eastAsia="方正仿宋简体" w:cs="方正仿宋简体"/>
          <w:sz w:val="33"/>
          <w:szCs w:val="33"/>
          <w:u w:val="none"/>
          <w:lang w:val="en-US" w:eastAsia="zh-CN"/>
        </w:rPr>
        <w:t>3.</w:t>
      </w:r>
      <w:r>
        <w:rPr>
          <w:rFonts w:hint="eastAsia" w:ascii="方正仿宋简体" w:eastAsia="方正仿宋简体" w:cs="方正仿宋简体"/>
          <w:sz w:val="33"/>
          <w:szCs w:val="33"/>
          <w:u w:val="none"/>
        </w:rPr>
        <w:t>根据20</w:t>
      </w:r>
      <w:r>
        <w:rPr>
          <w:rFonts w:hint="eastAsia" w:ascii="方正仿宋简体" w:eastAsia="方正仿宋简体" w:cs="方正仿宋简体"/>
          <w:sz w:val="33"/>
          <w:szCs w:val="33"/>
          <w:u w:val="none"/>
          <w:lang w:val="en-US" w:eastAsia="zh-CN"/>
        </w:rPr>
        <w:t>23</w:t>
      </w:r>
      <w:r>
        <w:rPr>
          <w:rFonts w:hint="eastAsia" w:ascii="方正仿宋简体" w:eastAsia="方正仿宋简体" w:cs="方正仿宋简体"/>
          <w:sz w:val="33"/>
          <w:szCs w:val="33"/>
          <w:u w:val="none"/>
        </w:rPr>
        <w:t>年预算编制要求，绩效评估本着真正过紧日子的原则，厉行节约、精打细算，从严从紧控制项目申报和预算安排，非必要项目和工作内容可压尽压、应压尽压，做到客观、绩效、精准。</w:t>
      </w:r>
    </w:p>
    <w:p>
      <w:pPr>
        <w:adjustRightInd w:val="0"/>
        <w:snapToGrid w:val="0"/>
        <w:spacing w:line="600" w:lineRule="exact"/>
        <w:ind w:firstLine="660" w:firstLineChars="200"/>
        <w:rPr>
          <w:rFonts w:hint="eastAsia" w:ascii="方正仿宋简体" w:eastAsia="方正仿宋简体" w:cs="方正仿宋简体"/>
          <w:sz w:val="33"/>
          <w:szCs w:val="33"/>
          <w:u w:val="none"/>
          <w:lang w:val="zh-CN"/>
        </w:rPr>
      </w:pPr>
      <w:r>
        <w:rPr>
          <w:rFonts w:hint="eastAsia" w:ascii="方正仿宋简体" w:eastAsia="方正仿宋简体" w:cs="方正仿宋简体"/>
          <w:sz w:val="33"/>
          <w:szCs w:val="33"/>
          <w:u w:val="none"/>
          <w:lang w:val="zh-CN"/>
        </w:rPr>
        <w:t xml:space="preserve">4. </w:t>
      </w:r>
      <w:r>
        <w:rPr>
          <w:rFonts w:hint="eastAsia" w:ascii="方正仿宋简体" w:eastAsia="方正仿宋简体" w:cs="方正仿宋简体"/>
          <w:sz w:val="33"/>
          <w:szCs w:val="33"/>
          <w:u w:val="none"/>
        </w:rPr>
        <w:t>202</w:t>
      </w:r>
      <w:r>
        <w:rPr>
          <w:rFonts w:hint="eastAsia" w:ascii="方正仿宋简体" w:eastAsia="方正仿宋简体" w:cs="方正仿宋简体"/>
          <w:sz w:val="33"/>
          <w:szCs w:val="33"/>
          <w:u w:val="none"/>
          <w:lang w:val="en-US" w:eastAsia="zh-CN"/>
        </w:rPr>
        <w:t>2</w:t>
      </w:r>
      <w:r>
        <w:rPr>
          <w:rFonts w:hint="eastAsia" w:ascii="方正仿宋简体" w:eastAsia="方正仿宋简体" w:cs="方正仿宋简体"/>
          <w:sz w:val="33"/>
          <w:szCs w:val="33"/>
          <w:u w:val="none"/>
        </w:rPr>
        <w:t>年预算安排</w:t>
      </w:r>
      <w:r>
        <w:rPr>
          <w:rFonts w:hint="eastAsia" w:ascii="方正仿宋简体" w:eastAsia="方正仿宋简体" w:cs="方正仿宋简体"/>
          <w:sz w:val="33"/>
          <w:szCs w:val="33"/>
          <w:u w:val="none"/>
          <w:lang w:val="en-US" w:eastAsia="zh-CN"/>
        </w:rPr>
        <w:t>2</w:t>
      </w:r>
      <w:r>
        <w:rPr>
          <w:rFonts w:hint="eastAsia" w:ascii="方正仿宋简体" w:eastAsia="方正仿宋简体" w:cs="方正仿宋简体"/>
          <w:sz w:val="33"/>
          <w:szCs w:val="33"/>
          <w:u w:val="none"/>
        </w:rPr>
        <w:t>万元，实际执行</w:t>
      </w:r>
      <w:r>
        <w:rPr>
          <w:rFonts w:hint="eastAsia" w:ascii="方正仿宋简体" w:eastAsia="方正仿宋简体" w:cs="方正仿宋简体"/>
          <w:sz w:val="33"/>
          <w:szCs w:val="33"/>
          <w:u w:val="none"/>
          <w:lang w:val="en-US" w:eastAsia="zh-CN"/>
        </w:rPr>
        <w:t>2</w:t>
      </w:r>
      <w:r>
        <w:rPr>
          <w:rFonts w:hint="eastAsia" w:ascii="方正仿宋简体" w:eastAsia="方正仿宋简体" w:cs="方正仿宋简体"/>
          <w:sz w:val="33"/>
          <w:szCs w:val="33"/>
          <w:u w:val="none"/>
        </w:rPr>
        <w:t>万元；202</w:t>
      </w:r>
      <w:r>
        <w:rPr>
          <w:rFonts w:hint="eastAsia" w:ascii="方正仿宋简体" w:eastAsia="方正仿宋简体" w:cs="方正仿宋简体"/>
          <w:sz w:val="33"/>
          <w:szCs w:val="33"/>
          <w:u w:val="none"/>
          <w:lang w:val="en-US" w:eastAsia="zh-CN"/>
        </w:rPr>
        <w:t>3</w:t>
      </w:r>
      <w:r>
        <w:rPr>
          <w:rFonts w:hint="eastAsia" w:ascii="方正仿宋简体" w:eastAsia="方正仿宋简体" w:cs="方正仿宋简体"/>
          <w:sz w:val="33"/>
          <w:szCs w:val="33"/>
          <w:u w:val="none"/>
        </w:rPr>
        <w:t>年预算安排</w:t>
      </w:r>
      <w:r>
        <w:rPr>
          <w:rFonts w:hint="eastAsia" w:ascii="方正仿宋简体" w:eastAsia="方正仿宋简体" w:cs="方正仿宋简体"/>
          <w:sz w:val="33"/>
          <w:szCs w:val="33"/>
          <w:u w:val="none"/>
          <w:lang w:val="en-US" w:eastAsia="zh-CN"/>
        </w:rPr>
        <w:t>2</w:t>
      </w:r>
      <w:r>
        <w:rPr>
          <w:rFonts w:hint="eastAsia" w:ascii="方正仿宋简体" w:eastAsia="方正仿宋简体" w:cs="方正仿宋简体"/>
          <w:sz w:val="33"/>
          <w:szCs w:val="33"/>
          <w:u w:val="none"/>
        </w:rPr>
        <w:t>万元，实际执行</w:t>
      </w:r>
      <w:r>
        <w:rPr>
          <w:rFonts w:hint="eastAsia" w:ascii="方正仿宋简体" w:eastAsia="方正仿宋简体" w:cs="方正仿宋简体"/>
          <w:sz w:val="33"/>
          <w:szCs w:val="33"/>
          <w:u w:val="none"/>
          <w:lang w:val="en-US" w:eastAsia="zh-CN"/>
        </w:rPr>
        <w:t>2</w:t>
      </w:r>
      <w:r>
        <w:rPr>
          <w:rFonts w:hint="eastAsia" w:ascii="方正仿宋简体" w:eastAsia="方正仿宋简体" w:cs="方正仿宋简体"/>
          <w:sz w:val="33"/>
          <w:szCs w:val="33"/>
          <w:u w:val="none"/>
        </w:rPr>
        <w:t>万元</w:t>
      </w:r>
      <w:r>
        <w:rPr>
          <w:rFonts w:hint="eastAsia" w:ascii="方正仿宋简体" w:eastAsia="方正仿宋简体" w:cs="方正仿宋简体"/>
          <w:sz w:val="33"/>
          <w:szCs w:val="33"/>
          <w:u w:val="none"/>
          <w:lang w:eastAsia="zh-CN"/>
        </w:rPr>
        <w:t>，</w:t>
      </w:r>
      <w:r>
        <w:rPr>
          <w:rFonts w:hint="eastAsia" w:ascii="方正仿宋简体" w:eastAsia="方正仿宋简体" w:cs="方正仿宋简体"/>
          <w:sz w:val="33"/>
          <w:szCs w:val="33"/>
          <w:u w:val="none"/>
        </w:rPr>
        <w:t>较上年</w:t>
      </w:r>
      <w:r>
        <w:rPr>
          <w:rFonts w:hint="eastAsia" w:ascii="方正仿宋简体" w:eastAsia="方正仿宋简体" w:cs="方正仿宋简体"/>
          <w:sz w:val="33"/>
          <w:szCs w:val="33"/>
          <w:u w:val="none"/>
          <w:lang w:eastAsia="zh-CN"/>
        </w:rPr>
        <w:t>无变化</w:t>
      </w:r>
      <w:r>
        <w:rPr>
          <w:rFonts w:hint="eastAsia" w:ascii="方正仿宋简体" w:eastAsia="方正仿宋简体" w:cs="方正仿宋简体"/>
          <w:sz w:val="33"/>
          <w:szCs w:val="33"/>
          <w:u w:val="none"/>
        </w:rPr>
        <w:t>。</w:t>
      </w:r>
    </w:p>
    <w:p>
      <w:pPr>
        <w:adjustRightInd w:val="0"/>
        <w:snapToGrid w:val="0"/>
        <w:spacing w:line="600" w:lineRule="exact"/>
        <w:ind w:firstLine="720"/>
        <w:rPr>
          <w:rFonts w:eastAsia="楷体_GB2312"/>
          <w:b/>
          <w:sz w:val="33"/>
          <w:szCs w:val="33"/>
          <w:lang w:val="zh-CN"/>
        </w:rPr>
      </w:pPr>
      <w:r>
        <w:rPr>
          <w:rFonts w:eastAsia="楷体_GB2312"/>
          <w:b/>
          <w:sz w:val="33"/>
          <w:szCs w:val="33"/>
          <w:lang w:val="zh-CN"/>
        </w:rPr>
        <w:t>（二）项目绩效目标。</w:t>
      </w:r>
    </w:p>
    <w:p>
      <w:pPr>
        <w:adjustRightInd w:val="0"/>
        <w:snapToGrid w:val="0"/>
        <w:spacing w:line="600" w:lineRule="exact"/>
        <w:ind w:firstLine="660" w:firstLineChars="200"/>
        <w:rPr>
          <w:rFonts w:hint="eastAsia" w:ascii="方正仿宋简体" w:eastAsia="方正仿宋简体" w:cs="方正仿宋简体"/>
          <w:sz w:val="33"/>
          <w:szCs w:val="33"/>
          <w:u w:val="none"/>
          <w:lang w:val="en-US" w:eastAsia="zh-CN"/>
        </w:rPr>
      </w:pPr>
      <w:r>
        <w:rPr>
          <w:rFonts w:hint="eastAsia" w:ascii="方正仿宋简体" w:eastAsia="方正仿宋简体" w:cs="方正仿宋简体"/>
          <w:sz w:val="33"/>
          <w:szCs w:val="33"/>
          <w:u w:val="none"/>
          <w:lang w:val="zh-CN" w:eastAsia="zh-CN"/>
        </w:rPr>
        <w:t>1. 项目主要内容。</w:t>
      </w:r>
      <w:r>
        <w:rPr>
          <w:rFonts w:hint="eastAsia" w:ascii="方正仿宋简体" w:eastAsia="方正仿宋简体" w:cs="方正仿宋简体"/>
          <w:sz w:val="33"/>
          <w:szCs w:val="33"/>
          <w:u w:val="none"/>
          <w:lang w:val="en-US" w:eastAsia="zh-CN"/>
        </w:rPr>
        <w:t>按照《攀枝花市年度目标绩效管理办法》《攀枝花市市级目标绩效考评特殊情况加扣分标准》《攀枝花市省级目标任务绩效考核实施细则》等制度规定和《攀枝花市 2020年度市级综合目标任务实施方案》考评责任分工，结合我市信访工作实际，制定了攀枝花市信访局关于印发《2020年信访工作考评细则 》的通知，要求做好群众接访。</w:t>
      </w:r>
    </w:p>
    <w:p>
      <w:pPr>
        <w:adjustRightInd w:val="0"/>
        <w:snapToGrid w:val="0"/>
        <w:spacing w:line="600" w:lineRule="exact"/>
        <w:ind w:firstLine="660" w:firstLineChars="200"/>
        <w:rPr>
          <w:rFonts w:hint="eastAsia" w:ascii="方正仿宋简体" w:eastAsia="方正仿宋简体" w:cs="方正仿宋简体"/>
          <w:sz w:val="33"/>
          <w:szCs w:val="33"/>
          <w:u w:val="none"/>
          <w:lang w:val="en-US" w:eastAsia="zh-CN"/>
        </w:rPr>
      </w:pPr>
      <w:r>
        <w:rPr>
          <w:rFonts w:hint="eastAsia" w:ascii="方正仿宋简体" w:eastAsia="方正仿宋简体" w:cs="方正仿宋简体"/>
          <w:sz w:val="33"/>
          <w:szCs w:val="33"/>
          <w:u w:val="none"/>
          <w:lang w:val="zh-CN" w:eastAsia="zh-CN"/>
        </w:rPr>
        <w:t xml:space="preserve">2. </w:t>
      </w:r>
      <w:r>
        <w:rPr>
          <w:rFonts w:hint="eastAsia" w:ascii="方正仿宋简体" w:eastAsia="方正仿宋简体" w:cs="方正仿宋简体"/>
          <w:sz w:val="33"/>
          <w:szCs w:val="33"/>
          <w:u w:val="none"/>
          <w:lang w:val="en-US" w:eastAsia="zh-CN"/>
        </w:rPr>
        <w:t>有效地保障信访部门上访群众和信访工作人员的人身安全，更好的完成接访工作，提高群众满意度。</w:t>
      </w:r>
    </w:p>
    <w:p>
      <w:pPr>
        <w:adjustRightInd w:val="0"/>
        <w:snapToGrid w:val="0"/>
        <w:spacing w:line="600" w:lineRule="exact"/>
        <w:ind w:firstLine="660" w:firstLineChars="200"/>
        <w:rPr>
          <w:rFonts w:hint="eastAsia" w:ascii="方正仿宋简体" w:eastAsia="方正仿宋简体" w:cs="方正仿宋简体"/>
          <w:sz w:val="33"/>
          <w:szCs w:val="33"/>
          <w:u w:val="none"/>
          <w:lang w:val="en-US" w:eastAsia="zh-CN"/>
        </w:rPr>
      </w:pPr>
      <w:r>
        <w:rPr>
          <w:rFonts w:hint="eastAsia" w:ascii="方正仿宋简体" w:eastAsia="方正仿宋简体" w:cs="方正仿宋简体"/>
          <w:sz w:val="33"/>
          <w:szCs w:val="33"/>
          <w:u w:val="none"/>
          <w:lang w:val="zh-CN" w:eastAsia="zh-CN"/>
        </w:rPr>
        <w:t xml:space="preserve">3. </w:t>
      </w:r>
      <w:r>
        <w:rPr>
          <w:rFonts w:hint="eastAsia" w:ascii="方正仿宋简体" w:eastAsia="方正仿宋简体" w:cs="方正仿宋简体"/>
          <w:sz w:val="33"/>
          <w:szCs w:val="33"/>
          <w:u w:val="none"/>
          <w:lang w:val="en-US" w:eastAsia="zh-CN"/>
        </w:rPr>
        <w:t>按照攀枝花市信访联席会议办公室《关于进一步做好涉稳涉访重点问题和重点人员信访稳定工作的通知》（攀信联办〔2022〕34号），攀枝花市信访联席会议办公室关于转发《四川省信访联席会议办公室关于进一步做好信访安全稳定风险事项化解稳定工作的通知》文件要求，2022年9月15日，市政府副市长、市公安局局长周强组织召开了信访安全保障工作专题会议，要求做好信访安全保障工作，营造安全稳定和谐社会环境。</w:t>
      </w:r>
    </w:p>
    <w:p>
      <w:pPr>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二、评价实施</w:t>
      </w:r>
    </w:p>
    <w:p>
      <w:pPr>
        <w:adjustRightInd w:val="0"/>
        <w:snapToGrid w:val="0"/>
        <w:spacing w:line="600" w:lineRule="exact"/>
        <w:ind w:firstLine="643" w:firstLineChars="200"/>
        <w:rPr>
          <w:rFonts w:hint="eastAsia" w:ascii="方正仿宋简体" w:eastAsia="方正仿宋简体" w:cs="方正仿宋简体"/>
          <w:sz w:val="33"/>
          <w:szCs w:val="33"/>
          <w:u w:val="none"/>
          <w:lang w:val="zh-CN" w:eastAsia="zh-CN"/>
        </w:rPr>
      </w:pPr>
      <w:r>
        <w:rPr>
          <w:rFonts w:hint="eastAsia" w:ascii="楷体_GB2312" w:eastAsia="楷体_GB2312"/>
          <w:b/>
          <w:sz w:val="32"/>
          <w:szCs w:val="32"/>
          <w:lang w:val="zh-CN"/>
        </w:rPr>
        <w:t>（一）评价目的。</w:t>
      </w:r>
      <w:r>
        <w:rPr>
          <w:rFonts w:hint="eastAsia" w:ascii="方正仿宋简体" w:eastAsia="方正仿宋简体" w:cs="方正仿宋简体"/>
          <w:sz w:val="33"/>
          <w:szCs w:val="33"/>
          <w:u w:val="none"/>
          <w:lang w:val="zh-CN" w:eastAsia="zh-CN"/>
        </w:rPr>
        <w:t>20</w:t>
      </w:r>
      <w:r>
        <w:rPr>
          <w:rFonts w:hint="eastAsia" w:ascii="方正仿宋简体" w:eastAsia="方正仿宋简体" w:cs="方正仿宋简体"/>
          <w:sz w:val="33"/>
          <w:szCs w:val="33"/>
          <w:u w:val="none"/>
          <w:lang w:val="en-US" w:eastAsia="zh-CN"/>
        </w:rPr>
        <w:t>23</w:t>
      </w:r>
      <w:r>
        <w:rPr>
          <w:rFonts w:hint="eastAsia" w:ascii="方正仿宋简体" w:eastAsia="方正仿宋简体" w:cs="方正仿宋简体"/>
          <w:sz w:val="33"/>
          <w:szCs w:val="33"/>
          <w:u w:val="none"/>
          <w:lang w:val="zh-CN" w:eastAsia="zh-CN"/>
        </w:rPr>
        <w:t>年度项目绩效评估工作通过线上与线下相结合方式开展。按照有关规定和工作安排，我单位开展自行评估，通过自行成立组建评估组，通过收集被评估项目相关基础资料，并查阅资料、收集数据信息等，深入论证分析后，形成绩效评估报告。</w:t>
      </w:r>
    </w:p>
    <w:p>
      <w:pPr>
        <w:adjustRightInd w:val="0"/>
        <w:snapToGrid w:val="0"/>
        <w:spacing w:line="600" w:lineRule="exact"/>
        <w:ind w:firstLine="643" w:firstLineChars="200"/>
        <w:rPr>
          <w:rFonts w:hint="eastAsia" w:ascii="方正仿宋简体" w:eastAsia="方正仿宋简体" w:cs="方正仿宋简体"/>
          <w:sz w:val="33"/>
          <w:szCs w:val="33"/>
          <w:u w:val="none"/>
          <w:lang w:val="zh-CN" w:eastAsia="zh-CN"/>
        </w:rPr>
      </w:pPr>
      <w:r>
        <w:rPr>
          <w:rFonts w:hint="eastAsia" w:ascii="楷体_GB2312" w:eastAsia="楷体_GB2312"/>
          <w:b/>
          <w:sz w:val="32"/>
          <w:szCs w:val="32"/>
          <w:lang w:val="zh-CN"/>
        </w:rPr>
        <w:t>（二）预设问题及评价重点。</w:t>
      </w:r>
      <w:r>
        <w:rPr>
          <w:rFonts w:hint="eastAsia" w:ascii="方正仿宋简体" w:eastAsia="方正仿宋简体" w:cs="方正仿宋简体"/>
          <w:sz w:val="33"/>
          <w:szCs w:val="33"/>
          <w:u w:val="none"/>
          <w:lang w:val="zh-CN" w:eastAsia="zh-CN"/>
        </w:rPr>
        <w:t>本项目通过现场踏勘、与项目相关人员座谈或讨论、聘请相关专业专家、市场调研等方法了解项目情况，收集相关资料，综合分析相关情况后，对项目的立项必要性、投入经济性、目标合理性、方案可行性以及筹资合规性实施评估。</w:t>
      </w:r>
    </w:p>
    <w:p>
      <w:pPr>
        <w:snapToGrid w:val="0"/>
        <w:spacing w:line="600" w:lineRule="exact"/>
        <w:ind w:firstLine="643" w:firstLineChars="200"/>
        <w:jc w:val="left"/>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b/>
          <w:sz w:val="32"/>
          <w:szCs w:val="32"/>
          <w:lang w:val="zh-CN"/>
        </w:rPr>
        <w:t>（三）</w:t>
      </w:r>
      <w:r>
        <w:rPr>
          <w:rFonts w:ascii="楷体_GB2312" w:hAnsi="Times New Roman" w:eastAsia="楷体_GB2312"/>
          <w:b/>
          <w:sz w:val="33"/>
          <w:szCs w:val="33"/>
          <w:u w:val="none"/>
        </w:rPr>
        <w:t>评估程序</w:t>
      </w:r>
      <w:r>
        <w:rPr>
          <w:rFonts w:hint="eastAsia" w:ascii="方正仿宋简体" w:hAnsi="Times New Roman" w:eastAsia="方正仿宋简体" w:cs="方正仿宋简体"/>
          <w:kern w:val="2"/>
          <w:sz w:val="33"/>
          <w:szCs w:val="33"/>
          <w:u w:val="none"/>
          <w:lang w:val="zh-CN" w:eastAsia="zh-CN" w:bidi="ar-SA"/>
        </w:rPr>
        <w:t>20</w:t>
      </w:r>
      <w:r>
        <w:rPr>
          <w:rFonts w:hint="eastAsia" w:ascii="方正仿宋简体" w:eastAsia="方正仿宋简体" w:cs="方正仿宋简体"/>
          <w:kern w:val="2"/>
          <w:sz w:val="33"/>
          <w:szCs w:val="33"/>
          <w:u w:val="none"/>
          <w:lang w:val="en-US" w:eastAsia="zh-CN" w:bidi="ar-SA"/>
        </w:rPr>
        <w:t>23</w:t>
      </w:r>
      <w:r>
        <w:rPr>
          <w:rFonts w:hint="eastAsia" w:ascii="方正仿宋简体" w:hAnsi="Times New Roman" w:eastAsia="方正仿宋简体" w:cs="方正仿宋简体"/>
          <w:kern w:val="2"/>
          <w:sz w:val="33"/>
          <w:szCs w:val="33"/>
          <w:u w:val="none"/>
          <w:lang w:val="zh-CN" w:eastAsia="zh-CN" w:bidi="ar-SA"/>
        </w:rPr>
        <w:t>年度预算项目绩效评估工作通过线上与线下相结合方式开展。按照有关规定和工作安排，我单位开展自行评估，通过自行成立组建评估组，通过收集被评估项目相关基础资料，并查阅资料、收集数据信息等，深入论证分析后，形成绩效评估报告。</w:t>
      </w:r>
    </w:p>
    <w:p>
      <w:pPr>
        <w:snapToGrid w:val="0"/>
        <w:spacing w:line="600" w:lineRule="exact"/>
        <w:ind w:firstLine="663" w:firstLineChars="200"/>
        <w:jc w:val="left"/>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b/>
          <w:sz w:val="33"/>
          <w:szCs w:val="33"/>
          <w:u w:val="none"/>
          <w:lang w:eastAsia="zh-CN"/>
        </w:rPr>
        <w:t>（</w:t>
      </w:r>
      <w:r>
        <w:rPr>
          <w:rFonts w:hint="eastAsia" w:ascii="楷体_GB2312" w:eastAsia="楷体_GB2312"/>
          <w:b/>
          <w:sz w:val="33"/>
          <w:szCs w:val="33"/>
          <w:u w:val="none"/>
          <w:lang w:val="en-US" w:eastAsia="zh-CN"/>
        </w:rPr>
        <w:t>四</w:t>
      </w:r>
      <w:r>
        <w:rPr>
          <w:rFonts w:hint="eastAsia" w:ascii="楷体_GB2312" w:eastAsia="楷体_GB2312"/>
          <w:b/>
          <w:sz w:val="33"/>
          <w:szCs w:val="33"/>
          <w:u w:val="none"/>
          <w:lang w:eastAsia="zh-CN"/>
        </w:rPr>
        <w:t>）</w:t>
      </w:r>
      <w:r>
        <w:rPr>
          <w:rFonts w:hint="eastAsia" w:ascii="楷体_GB2312" w:hAnsi="Times New Roman" w:eastAsia="楷体_GB2312"/>
          <w:b/>
          <w:sz w:val="33"/>
          <w:szCs w:val="33"/>
          <w:u w:val="none"/>
        </w:rPr>
        <w:t>评估方法</w:t>
      </w:r>
      <w:r>
        <w:rPr>
          <w:rFonts w:hint="eastAsia" w:ascii="方正仿宋简体" w:hAnsi="Times New Roman" w:eastAsia="方正仿宋简体" w:cs="方正仿宋简体"/>
          <w:kern w:val="2"/>
          <w:sz w:val="33"/>
          <w:szCs w:val="33"/>
          <w:u w:val="none"/>
          <w:lang w:val="zh-CN" w:eastAsia="zh-CN" w:bidi="ar-SA"/>
        </w:rPr>
        <w:t>本项目通过现场踏勘、与项目相关人员座谈或讨论、聘请相关专业专家、市场调研等方法了解项目情况，收集相关资料，综合分析相关情况后，对项目的立项必要性、投入经济性、目标合理性、方案可行性以及筹资合规性实施评估。</w:t>
      </w:r>
    </w:p>
    <w:p>
      <w:pPr>
        <w:snapToGrid w:val="0"/>
        <w:spacing w:line="600" w:lineRule="exact"/>
        <w:ind w:firstLine="643" w:firstLineChars="200"/>
        <w:jc w:val="left"/>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b/>
          <w:color w:val="auto"/>
          <w:sz w:val="32"/>
          <w:szCs w:val="32"/>
          <w:lang w:val="zh-CN"/>
        </w:rPr>
        <w:t>（</w:t>
      </w:r>
      <w:r>
        <w:rPr>
          <w:rFonts w:hint="eastAsia" w:ascii="楷体_GB2312" w:eastAsia="楷体_GB2312"/>
          <w:b/>
          <w:color w:val="auto"/>
          <w:sz w:val="32"/>
          <w:szCs w:val="32"/>
          <w:lang w:val="en-US" w:eastAsia="zh-CN"/>
        </w:rPr>
        <w:t>五</w:t>
      </w:r>
      <w:r>
        <w:rPr>
          <w:rFonts w:hint="eastAsia" w:ascii="楷体_GB2312" w:eastAsia="楷体_GB2312"/>
          <w:b/>
          <w:color w:val="auto"/>
          <w:sz w:val="32"/>
          <w:szCs w:val="32"/>
          <w:lang w:val="zh-CN"/>
        </w:rPr>
        <w:t>）评价组织。</w:t>
      </w:r>
      <w:r>
        <w:rPr>
          <w:rFonts w:hint="eastAsia" w:ascii="楷体_GB2312" w:eastAsia="楷体_GB2312"/>
          <w:b/>
          <w:color w:val="auto"/>
          <w:sz w:val="32"/>
          <w:szCs w:val="32"/>
          <w:lang w:val="en-US" w:eastAsia="zh-CN"/>
        </w:rPr>
        <w:t>成立绩效评价小组，</w:t>
      </w:r>
      <w:r>
        <w:rPr>
          <w:rFonts w:hint="eastAsia" w:ascii="方正仿宋简体" w:hAnsi="Times New Roman" w:eastAsia="方正仿宋简体" w:cs="方正仿宋简体"/>
          <w:kern w:val="2"/>
          <w:sz w:val="33"/>
          <w:szCs w:val="33"/>
          <w:u w:val="none"/>
          <w:lang w:val="en-US" w:eastAsia="zh-CN" w:bidi="ar-SA"/>
        </w:rPr>
        <w:t>局长担任组长</w:t>
      </w:r>
      <w:r>
        <w:rPr>
          <w:rFonts w:hint="eastAsia" w:ascii="方正仿宋简体" w:hAnsi="Times New Roman" w:eastAsia="方正仿宋简体" w:cs="方正仿宋简体"/>
          <w:kern w:val="2"/>
          <w:sz w:val="33"/>
          <w:szCs w:val="33"/>
          <w:u w:val="none"/>
          <w:lang w:val="zh-CN" w:eastAsia="zh-CN" w:bidi="ar-SA"/>
        </w:rPr>
        <w:t>负责统一部署和管理绩效考核工作，对各部门负责人进行绩效考核评价，对各部门的考核结果进行审核，</w:t>
      </w:r>
      <w:r>
        <w:rPr>
          <w:rFonts w:hint="eastAsia" w:ascii="方正仿宋简体" w:eastAsia="方正仿宋简体" w:cs="方正仿宋简体"/>
          <w:kern w:val="2"/>
          <w:sz w:val="33"/>
          <w:szCs w:val="33"/>
          <w:u w:val="none"/>
          <w:lang w:val="en-US" w:eastAsia="zh-CN" w:bidi="ar-SA"/>
        </w:rPr>
        <w:t>及工作</w:t>
      </w:r>
      <w:r>
        <w:rPr>
          <w:rFonts w:hint="eastAsia" w:ascii="方正仿宋简体" w:hAnsi="Times New Roman" w:eastAsia="方正仿宋简体" w:cs="方正仿宋简体"/>
          <w:kern w:val="2"/>
          <w:sz w:val="33"/>
          <w:szCs w:val="33"/>
          <w:u w:val="none"/>
          <w:lang w:val="zh-CN" w:eastAsia="zh-CN" w:bidi="ar-SA"/>
        </w:rPr>
        <w:t>指导，促进整体绩效目标的达成和提高。</w:t>
      </w:r>
      <w:r>
        <w:rPr>
          <w:rFonts w:hint="eastAsia" w:ascii="方正仿宋简体" w:hAnsi="Times New Roman" w:eastAsia="方正仿宋简体" w:cs="方正仿宋简体"/>
          <w:kern w:val="2"/>
          <w:sz w:val="33"/>
          <w:szCs w:val="33"/>
          <w:u w:val="none"/>
          <w:lang w:val="en-US" w:eastAsia="zh-CN" w:bidi="ar-SA"/>
        </w:rPr>
        <w:t>副局长及中心主任担任副组长</w:t>
      </w:r>
      <w:r>
        <w:rPr>
          <w:rFonts w:hint="eastAsia" w:ascii="方正仿宋简体" w:eastAsia="方正仿宋简体" w:cs="方正仿宋简体"/>
          <w:kern w:val="2"/>
          <w:sz w:val="33"/>
          <w:szCs w:val="33"/>
          <w:u w:val="none"/>
          <w:lang w:val="en-US" w:eastAsia="zh-CN" w:bidi="ar-SA"/>
        </w:rPr>
        <w:t>，</w:t>
      </w:r>
      <w:r>
        <w:rPr>
          <w:rFonts w:hint="eastAsia" w:ascii="方正仿宋简体" w:hAnsi="Times New Roman" w:eastAsia="方正仿宋简体" w:cs="方正仿宋简体"/>
          <w:kern w:val="2"/>
          <w:sz w:val="33"/>
          <w:szCs w:val="33"/>
          <w:u w:val="none"/>
          <w:lang w:val="zh-CN" w:eastAsia="zh-CN" w:bidi="ar-SA"/>
        </w:rPr>
        <w:t>负责依据考评原则和考评程序，对所属部门员工进行绩效考核评价。及时与员工进行考评沟通，提供必要的反馈和指导。</w:t>
      </w:r>
    </w:p>
    <w:p>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pPr>
        <w:ind w:firstLine="640" w:firstLineChars="200"/>
        <w:rPr>
          <w:rFonts w:hint="eastAsia" w:ascii="方正仿宋简体" w:hAnsi="Times New Roman" w:eastAsia="方正仿宋简体" w:cs="方正仿宋简体"/>
          <w:sz w:val="33"/>
          <w:szCs w:val="33"/>
          <w:u w:val="none"/>
          <w:lang w:val="zh-CN" w:eastAsia="zh-CN"/>
        </w:rPr>
      </w:pPr>
      <w:r>
        <w:rPr>
          <w:rFonts w:hint="eastAsia" w:eastAsia="仿宋_GB2312"/>
          <w:sz w:val="32"/>
          <w:szCs w:val="32"/>
          <w:lang w:val="zh-CN"/>
        </w:rPr>
        <w:t>根</w:t>
      </w:r>
      <w:r>
        <w:rPr>
          <w:rFonts w:hint="eastAsia" w:ascii="方正仿宋简体" w:hAnsi="Times New Roman" w:eastAsia="方正仿宋简体" w:cs="方正仿宋简体"/>
          <w:sz w:val="33"/>
          <w:szCs w:val="33"/>
          <w:u w:val="none"/>
          <w:lang w:val="zh-CN" w:eastAsia="zh-CN"/>
        </w:rPr>
        <w:t>据项目预算绩效评价指标体系“通用指标”“专用指标”“个性指标”涉及二、三级指标进行逐项绩效分析并评分。</w:t>
      </w:r>
    </w:p>
    <w:p>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pPr>
        <w:adjustRightInd w:val="0"/>
        <w:snapToGrid w:val="0"/>
        <w:spacing w:line="560" w:lineRule="exact"/>
        <w:ind w:firstLine="640" w:firstLineChars="200"/>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sz w:val="32"/>
          <w:szCs w:val="32"/>
          <w:lang w:val="zh-CN"/>
        </w:rPr>
        <w:t>1.项目决策。</w:t>
      </w:r>
      <w:r>
        <w:rPr>
          <w:rFonts w:hint="eastAsia" w:ascii="方正仿宋简体" w:hAnsi="Times New Roman" w:eastAsia="方正仿宋简体" w:cs="方正仿宋简体"/>
          <w:kern w:val="2"/>
          <w:sz w:val="33"/>
          <w:szCs w:val="33"/>
          <w:u w:val="none"/>
          <w:lang w:val="en-US" w:eastAsia="zh-CN" w:bidi="ar-SA"/>
        </w:rPr>
        <w:t>该笔资金来源渠道的合法合规，评估内容具有公共性，属于公共财政支持范围，筹资渠道符合法律法规规定，筹资结构合理，资金来源渠道明确。</w:t>
      </w:r>
    </w:p>
    <w:p>
      <w:pPr>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outlineLvl w:val="9"/>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sz w:val="32"/>
          <w:szCs w:val="32"/>
          <w:lang w:val="zh-CN"/>
        </w:rPr>
        <w:t>2.项目管理。</w:t>
      </w:r>
      <w:r>
        <w:rPr>
          <w:rFonts w:hint="eastAsia" w:ascii="方正仿宋简体" w:hAnsi="Times New Roman" w:eastAsia="方正仿宋简体" w:cs="方正仿宋简体"/>
          <w:kern w:val="2"/>
          <w:sz w:val="33"/>
          <w:szCs w:val="33"/>
          <w:u w:val="none"/>
          <w:lang w:val="en-US" w:eastAsia="zh-CN" w:bidi="ar-SA"/>
        </w:rPr>
        <w:t>严格按照批复的支出预算执行，对人员经费严格按照上级的有关政策规定执行，无擅自扩大开支范围和提高开支标准情况。项目支出严格按照批复的项目和用途使用，无自行改变项目内容及扩大使用范围情况，保证专款专用，无截留、挪用专项资金情况。</w:t>
      </w:r>
    </w:p>
    <w:p>
      <w:pPr>
        <w:ind w:firstLine="640" w:firstLineChars="200"/>
        <w:rPr>
          <w:rFonts w:hint="eastAsia" w:ascii="方正仿宋简体" w:hAnsi="Times New Roman" w:eastAsia="方正仿宋简体" w:cs="方正仿宋简体"/>
          <w:kern w:val="2"/>
          <w:sz w:val="33"/>
          <w:szCs w:val="33"/>
          <w:u w:val="none"/>
          <w:lang w:val="en-US" w:eastAsia="zh-CN" w:bidi="ar-SA"/>
        </w:rPr>
      </w:pPr>
      <w:r>
        <w:rPr>
          <w:rFonts w:hint="eastAsia" w:ascii="楷体_GB2312" w:eastAsia="楷体_GB2312"/>
          <w:sz w:val="32"/>
          <w:szCs w:val="32"/>
          <w:lang w:val="zh-CN"/>
        </w:rPr>
        <w:t>3.项目实施。</w:t>
      </w:r>
      <w:r>
        <w:rPr>
          <w:rFonts w:hint="eastAsia" w:ascii="方正仿宋简体" w:hAnsi="Times New Roman" w:eastAsia="方正仿宋简体" w:cs="方正仿宋简体"/>
          <w:kern w:val="2"/>
          <w:sz w:val="33"/>
          <w:szCs w:val="33"/>
          <w:u w:val="none"/>
          <w:lang w:val="en-US" w:eastAsia="zh-CN" w:bidi="ar-SA"/>
        </w:rPr>
        <w:t>保证在财政批复部门预算后20日内，通过攀枝花市西区人民政府网站预决算公开统一平台公开绩效目标情况，并妥善做好解释说明工作，确保公开信息规范化、标准化，主动接受预算监督。</w:t>
      </w:r>
    </w:p>
    <w:p>
      <w:pPr>
        <w:adjustRightInd w:val="0"/>
        <w:snapToGrid w:val="0"/>
        <w:spacing w:line="600" w:lineRule="exact"/>
        <w:ind w:firstLine="720"/>
        <w:rPr>
          <w:rFonts w:eastAsia="仿宋_GB2312"/>
          <w:sz w:val="32"/>
          <w:szCs w:val="32"/>
          <w:lang w:val="zh-CN"/>
        </w:rPr>
      </w:pPr>
      <w:r>
        <w:rPr>
          <w:rFonts w:hint="eastAsia" w:ascii="楷体_GB2312" w:eastAsia="楷体_GB2312"/>
          <w:sz w:val="32"/>
          <w:szCs w:val="32"/>
          <w:lang w:val="zh-CN"/>
        </w:rPr>
        <w:t>4.项目结果。</w:t>
      </w:r>
      <w:r>
        <w:rPr>
          <w:rFonts w:hint="eastAsia"/>
          <w:lang w:val="en-US" w:eastAsia="zh-CN"/>
        </w:rPr>
        <w:t xml:space="preserve"> </w:t>
      </w:r>
      <w:r>
        <w:rPr>
          <w:rFonts w:hint="eastAsia" w:ascii="方正仿宋简体" w:hAnsi="Times New Roman" w:eastAsia="方正仿宋简体" w:cs="方正仿宋简体"/>
          <w:kern w:val="2"/>
          <w:sz w:val="33"/>
          <w:szCs w:val="33"/>
          <w:u w:val="none"/>
          <w:lang w:val="en-US" w:eastAsia="zh-CN" w:bidi="ar-SA"/>
        </w:rPr>
        <w:t>该项目资金</w:t>
      </w:r>
      <w:r>
        <w:rPr>
          <w:rFonts w:hint="eastAsia" w:ascii="方正仿宋简体" w:hAnsi="Times New Roman" w:eastAsia="方正仿宋简体" w:cs="方正仿宋简体"/>
          <w:sz w:val="33"/>
          <w:szCs w:val="33"/>
          <w:u w:val="none"/>
          <w:lang w:val="en-US" w:eastAsia="zh-CN"/>
        </w:rPr>
        <w:t>年初预算</w:t>
      </w:r>
      <w:r>
        <w:rPr>
          <w:rFonts w:hint="eastAsia" w:ascii="方正仿宋简体" w:eastAsia="方正仿宋简体" w:cs="方正仿宋简体"/>
          <w:sz w:val="33"/>
          <w:szCs w:val="33"/>
          <w:u w:val="none"/>
          <w:lang w:val="en-US" w:eastAsia="zh-CN"/>
        </w:rPr>
        <w:t>2</w:t>
      </w:r>
      <w:r>
        <w:rPr>
          <w:rFonts w:hint="eastAsia" w:ascii="方正仿宋简体" w:hAnsi="Times New Roman" w:eastAsia="方正仿宋简体" w:cs="方正仿宋简体"/>
          <w:sz w:val="33"/>
          <w:szCs w:val="33"/>
          <w:u w:val="none"/>
          <w:lang w:val="en-US" w:eastAsia="zh-CN"/>
        </w:rPr>
        <w:t>万元，区财政已及时拨付到位，全年完成数</w:t>
      </w:r>
      <w:r>
        <w:rPr>
          <w:rFonts w:hint="eastAsia" w:ascii="方正仿宋简体" w:eastAsia="方正仿宋简体" w:cs="方正仿宋简体"/>
          <w:sz w:val="33"/>
          <w:szCs w:val="33"/>
          <w:u w:val="none"/>
          <w:lang w:val="en-US" w:eastAsia="zh-CN"/>
        </w:rPr>
        <w:t>2</w:t>
      </w:r>
      <w:r>
        <w:rPr>
          <w:rFonts w:hint="eastAsia" w:ascii="方正仿宋简体" w:hAnsi="Times New Roman" w:eastAsia="方正仿宋简体" w:cs="方正仿宋简体"/>
          <w:sz w:val="33"/>
          <w:szCs w:val="33"/>
          <w:u w:val="none"/>
          <w:lang w:val="en-US" w:eastAsia="zh-CN"/>
        </w:rPr>
        <w:t>万元。该</w:t>
      </w:r>
      <w:r>
        <w:rPr>
          <w:rFonts w:hint="eastAsia" w:ascii="方正仿宋简体" w:hAnsi="Times New Roman" w:eastAsia="方正仿宋简体" w:cs="方正仿宋简体"/>
          <w:sz w:val="33"/>
          <w:szCs w:val="33"/>
          <w:u w:val="none"/>
          <w:lang w:val="zh-CN" w:eastAsia="zh-CN"/>
        </w:rPr>
        <w:t>项目</w:t>
      </w:r>
      <w:r>
        <w:rPr>
          <w:rFonts w:hint="eastAsia" w:ascii="方正仿宋简体" w:hAnsi="Times New Roman" w:eastAsia="方正仿宋简体" w:cs="方正仿宋简体"/>
          <w:kern w:val="2"/>
          <w:sz w:val="33"/>
          <w:szCs w:val="33"/>
          <w:u w:val="none"/>
          <w:lang w:val="zh-CN" w:eastAsia="zh-CN" w:bidi="ar-SA"/>
        </w:rPr>
        <w:t>实施财务管理制度健全，严格执行财务管理制度，账务处理及时，会计核算规范。</w:t>
      </w:r>
    </w:p>
    <w:p>
      <w:pPr>
        <w:ind w:firstLine="643" w:firstLineChars="200"/>
        <w:rPr>
          <w:rFonts w:hint="eastAsia" w:ascii="楷体_GB2312" w:eastAsia="楷体_GB2312"/>
          <w:b/>
          <w:sz w:val="32"/>
          <w:szCs w:val="32"/>
          <w:lang w:val="zh-CN"/>
        </w:rPr>
      </w:pPr>
      <w:r>
        <w:rPr>
          <w:rFonts w:hint="eastAsia" w:ascii="楷体_GB2312" w:hAnsi="Times New Roman" w:eastAsia="楷体_GB2312" w:cs="Times New Roman"/>
          <w:b/>
          <w:sz w:val="32"/>
          <w:szCs w:val="32"/>
          <w:lang w:val="zh-CN"/>
        </w:rPr>
        <w:t>（二）个性指标</w:t>
      </w:r>
      <w:r>
        <w:rPr>
          <w:rFonts w:hint="eastAsia" w:ascii="楷体_GB2312" w:eastAsia="楷体_GB2312"/>
          <w:b/>
          <w:sz w:val="32"/>
          <w:szCs w:val="32"/>
          <w:lang w:val="zh-CN"/>
        </w:rPr>
        <w:t>绩效分析。</w:t>
      </w:r>
    </w:p>
    <w:p>
      <w:pPr>
        <w:widowControl/>
        <w:ind w:firstLine="1920" w:firstLineChars="800"/>
        <w:jc w:val="left"/>
        <w:rPr>
          <w:rFonts w:hint="eastAsia" w:ascii="宋体" w:hAnsi="宋体" w:eastAsia="宋体"/>
          <w:b w:val="0"/>
          <w:bCs/>
          <w:sz w:val="24"/>
          <w:szCs w:val="24"/>
          <w:u w:val="none"/>
        </w:rPr>
      </w:pPr>
    </w:p>
    <w:p>
      <w:pPr>
        <w:widowControl/>
        <w:ind w:firstLine="1920" w:firstLineChars="800"/>
        <w:jc w:val="left"/>
      </w:pPr>
      <w:r>
        <w:rPr>
          <w:rFonts w:hint="eastAsia" w:ascii="宋体" w:hAnsi="宋体" w:eastAsia="宋体"/>
          <w:b w:val="0"/>
          <w:bCs/>
          <w:sz w:val="24"/>
          <w:szCs w:val="24"/>
          <w:u w:val="none"/>
        </w:rPr>
        <w:t>攀枝花市西区区级</w:t>
      </w:r>
      <w:r>
        <w:rPr>
          <w:rFonts w:hint="eastAsia" w:ascii="宋体" w:hAnsi="宋体" w:eastAsia="宋体"/>
          <w:b w:val="0"/>
          <w:bCs/>
          <w:sz w:val="24"/>
          <w:szCs w:val="24"/>
          <w:u w:val="none"/>
          <w:lang w:eastAsia="zh-CN"/>
        </w:rPr>
        <w:t>接访费用</w:t>
      </w:r>
      <w:r>
        <w:rPr>
          <w:rFonts w:ascii="宋体" w:hAnsi="宋体" w:eastAsia="宋体"/>
          <w:b w:val="0"/>
          <w:bCs/>
          <w:sz w:val="24"/>
          <w:szCs w:val="24"/>
          <w:u w:val="none"/>
        </w:rPr>
        <w:t>绩效</w:t>
      </w:r>
      <w:r>
        <w:rPr>
          <w:rFonts w:hint="eastAsia" w:ascii="宋体" w:hAnsi="宋体" w:eastAsia="宋体"/>
          <w:b w:val="0"/>
          <w:bCs/>
          <w:sz w:val="24"/>
          <w:szCs w:val="24"/>
          <w:u w:val="none"/>
        </w:rPr>
        <w:t>目标</w:t>
      </w:r>
      <w:r>
        <w:rPr>
          <w:rFonts w:ascii="宋体" w:hAnsi="宋体" w:eastAsia="宋体"/>
          <w:b w:val="0"/>
          <w:bCs/>
          <w:sz w:val="24"/>
          <w:szCs w:val="24"/>
          <w:u w:val="none"/>
        </w:rPr>
        <w:t>表</w:t>
      </w:r>
    </w:p>
    <w:tbl>
      <w:tblPr>
        <w:tblStyle w:val="16"/>
        <w:tblW w:w="9291" w:type="dxa"/>
        <w:tblInd w:w="15" w:type="dxa"/>
        <w:tblLayout w:type="fixed"/>
        <w:tblCellMar>
          <w:top w:w="0" w:type="dxa"/>
          <w:left w:w="0" w:type="dxa"/>
          <w:bottom w:w="0" w:type="dxa"/>
          <w:right w:w="0" w:type="dxa"/>
        </w:tblCellMar>
      </w:tblPr>
      <w:tblGrid>
        <w:gridCol w:w="1101"/>
        <w:gridCol w:w="1365"/>
        <w:gridCol w:w="2220"/>
        <w:gridCol w:w="4605"/>
      </w:tblGrid>
      <w:tr>
        <w:tblPrEx>
          <w:tblLayout w:type="fixed"/>
          <w:tblCellMar>
            <w:top w:w="0" w:type="dxa"/>
            <w:left w:w="0" w:type="dxa"/>
            <w:bottom w:w="0" w:type="dxa"/>
            <w:right w:w="0" w:type="dxa"/>
          </w:tblCellMar>
        </w:tblPrEx>
        <w:trPr>
          <w:trHeight w:val="340" w:hRule="atLeast"/>
        </w:trPr>
        <w:tc>
          <w:tcPr>
            <w:tcW w:w="11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绩效指标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一级指标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二级指标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三级指标</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完成指标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数量指标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保障全年接待上访群众的经费</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79"/>
              </w:tabs>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b/>
            </w:r>
            <w:r>
              <w:rPr>
                <w:rFonts w:hint="eastAsia" w:ascii="宋体" w:hAnsi="宋体" w:eastAsia="宋体" w:cs="宋体"/>
                <w:i w:val="0"/>
                <w:color w:val="000000"/>
                <w:kern w:val="0"/>
                <w:sz w:val="20"/>
                <w:szCs w:val="20"/>
                <w:u w:val="none"/>
                <w:lang w:val="en-US" w:eastAsia="zh-CN" w:bidi="ar"/>
              </w:rPr>
              <w:t xml:space="preserve">  质量指标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完成本年度内来信、来访、来电、网上信访等工作</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时效指标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全年</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成本指标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20000</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效益指标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社会效益指标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年度内未发生重大群体性事项</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满意度指标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服务对象满意度指标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w:t>
            </w:r>
          </w:p>
        </w:tc>
      </w:tr>
    </w:tbl>
    <w:p>
      <w:pPr>
        <w:adjustRightInd w:val="0"/>
        <w:snapToGrid w:val="0"/>
        <w:spacing w:line="600" w:lineRule="exact"/>
        <w:ind w:firstLine="660" w:firstLineChars="200"/>
        <w:rPr>
          <w:rFonts w:eastAsia="黑体"/>
          <w:sz w:val="33"/>
          <w:szCs w:val="33"/>
        </w:rPr>
      </w:pPr>
      <w:r>
        <w:rPr>
          <w:rFonts w:hint="eastAsia" w:eastAsia="黑体"/>
          <w:sz w:val="33"/>
          <w:szCs w:val="33"/>
          <w:lang w:val="en-US" w:eastAsia="zh-CN"/>
        </w:rPr>
        <w:t>四</w:t>
      </w:r>
      <w:r>
        <w:rPr>
          <w:rFonts w:eastAsia="黑体"/>
          <w:sz w:val="33"/>
          <w:szCs w:val="33"/>
        </w:rPr>
        <w:t>、项目实施及管理情况</w:t>
      </w:r>
    </w:p>
    <w:p>
      <w:pPr>
        <w:adjustRightInd w:val="0"/>
        <w:snapToGrid w:val="0"/>
        <w:spacing w:line="560" w:lineRule="exact"/>
        <w:ind w:firstLine="663" w:firstLineChars="200"/>
        <w:rPr>
          <w:rFonts w:hint="eastAsia" w:ascii="方正仿宋简体" w:hAnsi="Times New Roman" w:eastAsia="方正仿宋简体" w:cs="方正仿宋简体"/>
          <w:kern w:val="2"/>
          <w:sz w:val="33"/>
          <w:szCs w:val="33"/>
          <w:u w:val="none"/>
          <w:lang w:val="zh-CN" w:eastAsia="zh-CN" w:bidi="ar-SA"/>
        </w:rPr>
      </w:pPr>
      <w:r>
        <w:rPr>
          <w:rFonts w:eastAsia="楷体_GB2312"/>
          <w:b/>
          <w:sz w:val="33"/>
          <w:szCs w:val="33"/>
          <w:lang w:val="zh-CN"/>
        </w:rPr>
        <w:t>（一）项目组织架构及实施流程。</w:t>
      </w:r>
      <w:r>
        <w:rPr>
          <w:rFonts w:hint="eastAsia" w:ascii="方正仿宋简体" w:hAnsi="Times New Roman" w:eastAsia="方正仿宋简体" w:cs="方正仿宋简体"/>
          <w:kern w:val="2"/>
          <w:sz w:val="33"/>
          <w:szCs w:val="33"/>
          <w:u w:val="none"/>
          <w:lang w:val="en-US" w:eastAsia="zh-CN" w:bidi="ar-SA"/>
        </w:rPr>
        <w:t>该笔资金来源渠道的合法合规，评估内容具有公共性，属于公共财政支持范围，筹资渠道符合法律法规规定，筹资结构合理，资金来源渠道明确。</w:t>
      </w:r>
    </w:p>
    <w:p>
      <w:pPr>
        <w:keepNext w:val="0"/>
        <w:keepLines w:val="0"/>
        <w:pageBreakBefore w:val="0"/>
        <w:widowControl w:val="0"/>
        <w:kinsoku/>
        <w:wordWrap/>
        <w:overflowPunct/>
        <w:topLinePunct w:val="0"/>
        <w:autoSpaceDE/>
        <w:autoSpaceDN/>
        <w:bidi w:val="0"/>
        <w:adjustRightInd/>
        <w:snapToGrid/>
        <w:spacing w:line="353" w:lineRule="auto"/>
        <w:ind w:firstLine="663" w:firstLineChars="200"/>
        <w:textAlignment w:val="auto"/>
        <w:outlineLvl w:val="9"/>
        <w:rPr>
          <w:rFonts w:hint="eastAsia" w:ascii="方正仿宋简体" w:hAnsi="Times New Roman" w:eastAsia="方正仿宋简体" w:cs="方正仿宋简体"/>
          <w:kern w:val="2"/>
          <w:sz w:val="33"/>
          <w:szCs w:val="33"/>
          <w:u w:val="none"/>
          <w:lang w:val="zh-CN" w:eastAsia="zh-CN" w:bidi="ar-SA"/>
        </w:rPr>
      </w:pPr>
      <w:r>
        <w:rPr>
          <w:rFonts w:eastAsia="楷体_GB2312"/>
          <w:b/>
          <w:sz w:val="33"/>
          <w:szCs w:val="33"/>
          <w:lang w:val="zh-CN"/>
        </w:rPr>
        <w:t>（二）项目管理情况。</w:t>
      </w:r>
      <w:r>
        <w:rPr>
          <w:rFonts w:hint="eastAsia" w:ascii="方正仿宋简体" w:hAnsi="Times New Roman" w:eastAsia="方正仿宋简体" w:cs="方正仿宋简体"/>
          <w:kern w:val="2"/>
          <w:sz w:val="33"/>
          <w:szCs w:val="33"/>
          <w:u w:val="none"/>
          <w:lang w:val="en-US" w:eastAsia="zh-CN" w:bidi="ar-SA"/>
        </w:rPr>
        <w:t>严格按照批复的支出预算执行，对人员经费严格按照上级的有关政策规定执行，无擅自扩大开支范围和提高开支标准情况。项目支出严格按照批复的项目和用途使用，无自行改变项目内容及扩大使用范围情况，保证专款专用，无截留、挪用专项资金情况。</w:t>
      </w:r>
    </w:p>
    <w:p>
      <w:pPr>
        <w:keepNext w:val="0"/>
        <w:keepLines w:val="0"/>
        <w:pageBreakBefore w:val="0"/>
        <w:widowControl w:val="0"/>
        <w:kinsoku/>
        <w:wordWrap/>
        <w:overflowPunct/>
        <w:topLinePunct w:val="0"/>
        <w:autoSpaceDE/>
        <w:autoSpaceDN/>
        <w:bidi w:val="0"/>
        <w:adjustRightInd/>
        <w:snapToGrid/>
        <w:spacing w:line="353" w:lineRule="auto"/>
        <w:ind w:firstLine="663" w:firstLineChars="200"/>
        <w:textAlignment w:val="auto"/>
        <w:outlineLvl w:val="9"/>
        <w:rPr>
          <w:rFonts w:hint="eastAsia" w:ascii="Times New Roman" w:hAnsi="Times New Roman" w:eastAsia="仿宋_GB2312" w:cs="Times New Roman"/>
          <w:sz w:val="33"/>
          <w:szCs w:val="33"/>
          <w:u w:val="none"/>
          <w:lang w:eastAsia="zh-CN"/>
        </w:rPr>
      </w:pPr>
      <w:r>
        <w:rPr>
          <w:rFonts w:eastAsia="楷体_GB2312"/>
          <w:b/>
          <w:sz w:val="33"/>
          <w:szCs w:val="33"/>
          <w:lang w:val="zh-CN"/>
        </w:rPr>
        <w:t>（三）项目监管情况。</w:t>
      </w:r>
      <w:r>
        <w:rPr>
          <w:rFonts w:hint="eastAsia" w:ascii="方正仿宋简体" w:hAnsi="Times New Roman" w:eastAsia="方正仿宋简体" w:cs="方正仿宋简体"/>
          <w:kern w:val="2"/>
          <w:sz w:val="33"/>
          <w:szCs w:val="33"/>
          <w:u w:val="none"/>
          <w:lang w:val="en-US" w:eastAsia="zh-CN" w:bidi="ar-SA"/>
        </w:rPr>
        <w:t>保证在财政批复部门预算后20日内，通过攀枝花市西区人民政府网站预决算公开统一平台公开绩效目标情况，并妥善做好解释说明工作，确保公开信息规范化、标准化，主动接受预算监督。</w:t>
      </w:r>
      <w:r>
        <w:rPr>
          <w:sz w:val="33"/>
          <w:szCs w:val="33"/>
          <w:lang w:val="zh-CN"/>
        </w:rPr>
        <w:tab/>
      </w:r>
    </w:p>
    <w:p>
      <w:pPr>
        <w:ind w:firstLine="640" w:firstLineChars="200"/>
        <w:rPr>
          <w:rFonts w:ascii="黑体" w:hAnsi="黑体" w:eastAsia="黑体"/>
          <w:sz w:val="32"/>
          <w:szCs w:val="32"/>
          <w:lang w:val="zh-CN"/>
        </w:rPr>
      </w:pPr>
      <w:r>
        <w:rPr>
          <w:rFonts w:hint="eastAsia" w:ascii="黑体" w:hAnsi="黑体" w:eastAsia="黑体"/>
          <w:sz w:val="32"/>
          <w:szCs w:val="32"/>
          <w:lang w:val="en-US" w:eastAsia="zh-CN"/>
        </w:rPr>
        <w:t>五</w:t>
      </w:r>
      <w:r>
        <w:rPr>
          <w:rFonts w:hint="eastAsia" w:ascii="黑体" w:hAnsi="黑体" w:eastAsia="黑体"/>
          <w:sz w:val="32"/>
          <w:szCs w:val="32"/>
          <w:lang w:val="zh-CN"/>
        </w:rPr>
        <w:t>、评价结论</w:t>
      </w:r>
    </w:p>
    <w:p>
      <w:pPr>
        <w:adjustRightInd w:val="0"/>
        <w:snapToGrid w:val="0"/>
        <w:spacing w:line="600" w:lineRule="exact"/>
        <w:ind w:firstLine="720"/>
        <w:rPr>
          <w:rFonts w:eastAsia="楷体_GB2312"/>
          <w:b/>
          <w:sz w:val="33"/>
          <w:szCs w:val="33"/>
          <w:lang w:val="zh-CN"/>
        </w:rPr>
      </w:pPr>
      <w:r>
        <w:rPr>
          <w:rFonts w:eastAsia="楷体_GB2312"/>
          <w:b/>
          <w:sz w:val="33"/>
          <w:szCs w:val="33"/>
          <w:lang w:val="zh-CN"/>
        </w:rPr>
        <w:t>（一）评价结论。</w:t>
      </w:r>
    </w:p>
    <w:p>
      <w:pPr>
        <w:keepNext w:val="0"/>
        <w:keepLines w:val="0"/>
        <w:pageBreakBefore w:val="0"/>
        <w:widowControl w:val="0"/>
        <w:kinsoku/>
        <w:wordWrap/>
        <w:overflowPunct/>
        <w:topLinePunct w:val="0"/>
        <w:autoSpaceDE/>
        <w:autoSpaceDN/>
        <w:bidi w:val="0"/>
        <w:adjustRightInd/>
        <w:snapToGrid/>
        <w:spacing w:line="353" w:lineRule="auto"/>
        <w:ind w:firstLine="660" w:firstLineChars="200"/>
        <w:textAlignment w:val="auto"/>
        <w:outlineLvl w:val="9"/>
        <w:rPr>
          <w:rFonts w:hint="eastAsia" w:ascii="方正仿宋简体" w:hAnsi="Times New Roman" w:eastAsia="方正仿宋简体" w:cs="方正仿宋简体"/>
          <w:kern w:val="2"/>
          <w:sz w:val="33"/>
          <w:szCs w:val="33"/>
          <w:u w:val="none"/>
          <w:lang w:val="en-US" w:eastAsia="zh-CN" w:bidi="ar-SA"/>
        </w:rPr>
      </w:pPr>
      <w:r>
        <w:rPr>
          <w:rFonts w:hint="eastAsia" w:ascii="方正仿宋简体" w:hAnsi="Times New Roman" w:eastAsia="方正仿宋简体" w:cs="方正仿宋简体"/>
          <w:kern w:val="2"/>
          <w:sz w:val="33"/>
          <w:szCs w:val="33"/>
          <w:u w:val="none"/>
          <w:lang w:val="en-US" w:eastAsia="zh-CN" w:bidi="ar-SA"/>
        </w:rPr>
        <w:t>该项目资金预期产出和效果能满足需求、不需核减预算安排、该笔资金需继续保留。综合前述评估内容来看，该项目立项必要性和依据充分，绩效目标明确，具备实施条件，具有公共性，符合财政资金支持方向等。建议予以支持，预算控制在2万元以内。该项目申请资金总预算2万元，经评审，建议预算申报数2万元,我单位将进一步优化完善实施方案和绩效目标，加强运行监控，节约财政资金并提升资金效益，提升预算绩效管理水平。</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（二）存在的问题。</w:t>
      </w:r>
    </w:p>
    <w:p>
      <w:pPr>
        <w:adjustRightInd w:val="0"/>
        <w:snapToGrid w:val="0"/>
        <w:spacing w:line="600" w:lineRule="exact"/>
        <w:ind w:firstLine="640" w:firstLineChars="200"/>
        <w:rPr>
          <w:sz w:val="32"/>
          <w:szCs w:val="32"/>
          <w:lang w:val="zh-CN"/>
        </w:rPr>
      </w:pPr>
      <w:r>
        <w:rPr>
          <w:rFonts w:hint="eastAsia" w:ascii="方正仿宋简体" w:hAnsi="Times New Roman" w:eastAsia="方正仿宋简体" w:cs="方正仿宋简体"/>
          <w:kern w:val="2"/>
          <w:sz w:val="32"/>
          <w:szCs w:val="32"/>
          <w:u w:val="none"/>
          <w:lang w:val="en-US" w:eastAsia="zh-CN" w:bidi="ar-SA"/>
        </w:rPr>
        <w:t>无</w:t>
      </w:r>
      <w:r>
        <w:rPr>
          <w:rFonts w:hint="eastAsia" w:ascii="方正仿宋简体" w:hAnsi="Times New Roman" w:eastAsia="方正仿宋简体" w:cs="方正仿宋简体"/>
          <w:kern w:val="2"/>
          <w:sz w:val="32"/>
          <w:szCs w:val="32"/>
          <w:u w:val="none"/>
          <w:lang w:val="zh-CN" w:eastAsia="zh-CN" w:bidi="ar-SA"/>
        </w:rPr>
        <w:t>。</w:t>
      </w:r>
      <w:r>
        <w:rPr>
          <w:sz w:val="32"/>
          <w:szCs w:val="32"/>
          <w:lang w:val="zh-CN"/>
        </w:rPr>
        <w:tab/>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（三）相关建议。</w:t>
      </w:r>
    </w:p>
    <w:p>
      <w:pPr>
        <w:adjustRightInd w:val="0"/>
        <w:snapToGrid w:val="0"/>
        <w:spacing w:line="600" w:lineRule="exact"/>
        <w:ind w:firstLine="640" w:firstLineChars="200"/>
        <w:rPr>
          <w:rFonts w:hint="eastAsia" w:ascii="方正仿宋简体" w:hAnsi="Times New Roman" w:eastAsia="方正仿宋简体" w:cs="方正仿宋简体"/>
          <w:kern w:val="2"/>
          <w:sz w:val="32"/>
          <w:szCs w:val="32"/>
          <w:u w:val="none"/>
          <w:lang w:val="zh-CN" w:eastAsia="zh-CN" w:bidi="ar-SA"/>
        </w:rPr>
      </w:pPr>
      <w:r>
        <w:rPr>
          <w:rFonts w:hint="eastAsia" w:ascii="方正仿宋简体" w:hAnsi="Times New Roman" w:eastAsia="方正仿宋简体" w:cs="方正仿宋简体"/>
          <w:kern w:val="2"/>
          <w:sz w:val="32"/>
          <w:szCs w:val="32"/>
          <w:u w:val="none"/>
          <w:lang w:val="en-US" w:eastAsia="zh-CN" w:bidi="ar-SA"/>
        </w:rPr>
        <w:t>无</w:t>
      </w:r>
      <w:r>
        <w:rPr>
          <w:rFonts w:hint="eastAsia" w:ascii="方正仿宋简体" w:hAnsi="Times New Roman" w:eastAsia="方正仿宋简体" w:cs="方正仿宋简体"/>
          <w:kern w:val="2"/>
          <w:sz w:val="32"/>
          <w:szCs w:val="32"/>
          <w:u w:val="none"/>
          <w:lang w:val="zh-CN" w:eastAsia="zh-CN" w:bidi="ar-SA"/>
        </w:rPr>
        <w:t>。</w:t>
      </w:r>
    </w:p>
    <w:p/>
    <w:p>
      <w:pPr>
        <w:pStyle w:val="35"/>
        <w:spacing w:line="600" w:lineRule="exact"/>
        <w:ind w:firstLine="1446" w:firstLineChars="400"/>
        <w:jc w:val="both"/>
        <w:rPr>
          <w:rFonts w:hint="eastAsia" w:ascii="Times New Roman" w:hAnsi="Times New Roman" w:eastAsia="仿宋_GB2312"/>
          <w:b/>
          <w:bCs/>
          <w:color w:val="auto"/>
          <w:kern w:val="2"/>
          <w:sz w:val="36"/>
          <w:szCs w:val="36"/>
          <w:lang w:val="en-US" w:eastAsia="zh-CN"/>
        </w:rPr>
      </w:pPr>
      <w:r>
        <w:rPr>
          <w:rFonts w:hint="eastAsia" w:ascii="Times New Roman" w:hAnsi="Times New Roman" w:eastAsia="仿宋_GB2312"/>
          <w:b/>
          <w:bCs/>
          <w:color w:val="auto"/>
          <w:kern w:val="2"/>
          <w:sz w:val="36"/>
          <w:szCs w:val="36"/>
          <w:lang w:val="en-US" w:eastAsia="zh-CN"/>
        </w:rPr>
        <w:t>矛盾化解和疑难信访问题费用</w:t>
      </w:r>
    </w:p>
    <w:p>
      <w:pPr>
        <w:pStyle w:val="35"/>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sz w:val="33"/>
          <w:szCs w:val="33"/>
          <w:lang w:val="zh-CN"/>
        </w:rPr>
      </w:pPr>
      <w:r>
        <w:rPr>
          <w:rFonts w:eastAsia="黑体"/>
          <w:sz w:val="33"/>
          <w:szCs w:val="33"/>
        </w:rPr>
        <w:t>一、</w:t>
      </w:r>
      <w:r>
        <w:rPr>
          <w:rFonts w:eastAsia="黑体"/>
          <w:sz w:val="33"/>
          <w:szCs w:val="33"/>
          <w:lang w:val="zh-CN"/>
        </w:rPr>
        <w:t>项目概况</w:t>
      </w:r>
    </w:p>
    <w:p>
      <w:pPr>
        <w:adjustRightInd w:val="0"/>
        <w:snapToGrid w:val="0"/>
        <w:spacing w:line="600" w:lineRule="exact"/>
        <w:ind w:firstLine="720"/>
        <w:rPr>
          <w:rFonts w:eastAsia="楷体_GB2312"/>
          <w:b/>
          <w:sz w:val="33"/>
          <w:szCs w:val="33"/>
          <w:lang w:val="zh-CN"/>
        </w:rPr>
      </w:pPr>
      <w:r>
        <w:rPr>
          <w:rFonts w:eastAsia="楷体_GB2312"/>
          <w:b/>
          <w:sz w:val="33"/>
          <w:szCs w:val="33"/>
          <w:lang w:val="zh-CN"/>
        </w:rPr>
        <w:t>（一）项目基本情况。</w:t>
      </w:r>
    </w:p>
    <w:p>
      <w:pPr>
        <w:adjustRightInd w:val="0"/>
        <w:snapToGrid w:val="0"/>
        <w:spacing w:line="600" w:lineRule="exact"/>
        <w:ind w:firstLine="660" w:firstLineChars="200"/>
        <w:rPr>
          <w:rFonts w:hint="eastAsia" w:ascii="方正仿宋简体" w:hAnsi="Times New Roman" w:eastAsia="方正仿宋简体" w:cs="方正仿宋简体"/>
          <w:kern w:val="2"/>
          <w:sz w:val="33"/>
          <w:szCs w:val="33"/>
          <w:u w:val="none"/>
          <w:lang w:val="en-US" w:eastAsia="zh-CN" w:bidi="ar-SA"/>
        </w:rPr>
      </w:pPr>
      <w:r>
        <w:rPr>
          <w:rFonts w:hint="eastAsia" w:ascii="方正仿宋简体" w:hAnsi="Times New Roman" w:eastAsia="方正仿宋简体" w:cs="方正仿宋简体"/>
          <w:kern w:val="2"/>
          <w:sz w:val="33"/>
          <w:szCs w:val="33"/>
          <w:u w:val="none"/>
          <w:lang w:val="en-US" w:eastAsia="zh-CN" w:bidi="ar-SA"/>
        </w:rPr>
        <w:t>1.保障本年度内两名保安人员的经费，确保信访安保</w:t>
      </w:r>
    </w:p>
    <w:p>
      <w:pPr>
        <w:adjustRightInd w:val="0"/>
        <w:snapToGrid w:val="0"/>
        <w:spacing w:line="600" w:lineRule="exact"/>
        <w:rPr>
          <w:rFonts w:hint="eastAsia" w:ascii="方正仿宋简体" w:hAnsi="Times New Roman" w:eastAsia="方正仿宋简体" w:cs="方正仿宋简体"/>
          <w:kern w:val="2"/>
          <w:sz w:val="33"/>
          <w:szCs w:val="33"/>
          <w:u w:val="none"/>
          <w:lang w:val="en-US" w:eastAsia="zh-CN" w:bidi="ar-SA"/>
        </w:rPr>
      </w:pPr>
      <w:r>
        <w:rPr>
          <w:rFonts w:hint="eastAsia" w:ascii="方正仿宋简体" w:hAnsi="Times New Roman" w:eastAsia="方正仿宋简体" w:cs="方正仿宋简体"/>
          <w:kern w:val="2"/>
          <w:sz w:val="33"/>
          <w:szCs w:val="33"/>
          <w:u w:val="none"/>
          <w:lang w:val="en-US" w:eastAsia="zh-CN" w:bidi="ar-SA"/>
        </w:rPr>
        <w:t>工作质量，完成本年度内信访安保工作。</w:t>
      </w:r>
    </w:p>
    <w:p>
      <w:pPr>
        <w:adjustRightInd w:val="0"/>
        <w:snapToGrid w:val="0"/>
        <w:spacing w:line="600" w:lineRule="exact"/>
        <w:ind w:firstLine="660" w:firstLineChars="200"/>
        <w:rPr>
          <w:rFonts w:hint="eastAsia" w:ascii="方正仿宋简体" w:hAnsi="Times New Roman" w:eastAsia="方正仿宋简体" w:cs="方正仿宋简体"/>
          <w:kern w:val="2"/>
          <w:sz w:val="33"/>
          <w:szCs w:val="33"/>
          <w:u w:val="none"/>
          <w:lang w:val="en-US" w:eastAsia="zh-CN" w:bidi="ar-SA"/>
        </w:rPr>
      </w:pPr>
      <w:r>
        <w:rPr>
          <w:rFonts w:hint="eastAsia" w:ascii="方正仿宋简体" w:hAnsi="Times New Roman" w:eastAsia="方正仿宋简体" w:cs="方正仿宋简体"/>
          <w:kern w:val="2"/>
          <w:sz w:val="33"/>
          <w:szCs w:val="33"/>
          <w:u w:val="none"/>
          <w:lang w:val="en-US" w:eastAsia="zh-CN" w:bidi="ar-SA"/>
        </w:rPr>
        <w:t>2.按照国家信访局相关部署，全国信访系统将继续开展重点领域、重点群体、重点问题、重点人员信访矛盾化解攻坚战，并将此项工作作为 2019 年重点工作予以部署推动。省信访局结合全省工作实际，制定了《2019 年信访矛盾化解攻坚战实施方案》，并明确了此项工作长期实施。</w:t>
      </w:r>
    </w:p>
    <w:p>
      <w:pPr>
        <w:adjustRightInd w:val="0"/>
        <w:snapToGrid w:val="0"/>
        <w:spacing w:line="600" w:lineRule="exact"/>
        <w:ind w:firstLine="660" w:firstLineChars="200"/>
        <w:rPr>
          <w:rFonts w:hint="eastAsia" w:ascii="方正仿宋简体" w:hAnsi="Times New Roman" w:eastAsia="方正仿宋简体" w:cs="方正仿宋简体"/>
          <w:kern w:val="2"/>
          <w:sz w:val="33"/>
          <w:szCs w:val="33"/>
          <w:u w:val="none"/>
          <w:lang w:val="zh-CN" w:eastAsia="zh-CN" w:bidi="ar-SA"/>
        </w:rPr>
      </w:pPr>
      <w:r>
        <w:rPr>
          <w:rFonts w:hint="eastAsia" w:ascii="方正仿宋简体" w:hAnsi="Times New Roman" w:eastAsia="方正仿宋简体" w:cs="方正仿宋简体"/>
          <w:kern w:val="2"/>
          <w:sz w:val="33"/>
          <w:szCs w:val="33"/>
          <w:u w:val="none"/>
          <w:lang w:val="en-US" w:eastAsia="zh-CN" w:bidi="ar-SA"/>
        </w:rPr>
        <w:t>3.根据20</w:t>
      </w:r>
      <w:r>
        <w:rPr>
          <w:rFonts w:hint="eastAsia" w:ascii="方正仿宋简体" w:eastAsia="方正仿宋简体" w:cs="方正仿宋简体"/>
          <w:kern w:val="2"/>
          <w:sz w:val="33"/>
          <w:szCs w:val="33"/>
          <w:u w:val="none"/>
          <w:lang w:val="en-US" w:eastAsia="zh-CN" w:bidi="ar-SA"/>
        </w:rPr>
        <w:t>23</w:t>
      </w:r>
      <w:r>
        <w:rPr>
          <w:rFonts w:hint="eastAsia" w:ascii="方正仿宋简体" w:hAnsi="Times New Roman" w:eastAsia="方正仿宋简体" w:cs="方正仿宋简体"/>
          <w:kern w:val="2"/>
          <w:sz w:val="33"/>
          <w:szCs w:val="33"/>
          <w:u w:val="none"/>
          <w:lang w:val="en-US" w:eastAsia="zh-CN" w:bidi="ar-SA"/>
        </w:rPr>
        <w:t>年预算编制要求，绩效评估本着真正过紧日子的原则，厉行节约、精打细算，从严从紧控制项目申报和预算安排，非必要项目和工作内容可压尽压、应压尽压，做到客观、绩效、精准。</w:t>
      </w:r>
    </w:p>
    <w:p>
      <w:pPr>
        <w:adjustRightInd w:val="0"/>
        <w:snapToGrid w:val="0"/>
        <w:spacing w:line="600" w:lineRule="exact"/>
        <w:ind w:firstLine="660" w:firstLineChars="200"/>
        <w:rPr>
          <w:rFonts w:hint="eastAsia" w:ascii="方正仿宋简体" w:hAnsi="Times New Roman" w:eastAsia="方正仿宋简体" w:cs="方正仿宋简体"/>
          <w:kern w:val="2"/>
          <w:sz w:val="33"/>
          <w:szCs w:val="33"/>
          <w:u w:val="none"/>
          <w:lang w:val="zh-CN" w:eastAsia="zh-CN" w:bidi="ar-SA"/>
        </w:rPr>
      </w:pPr>
      <w:r>
        <w:rPr>
          <w:rFonts w:hint="eastAsia" w:ascii="方正仿宋简体" w:hAnsi="Times New Roman" w:eastAsia="方正仿宋简体" w:cs="方正仿宋简体"/>
          <w:kern w:val="2"/>
          <w:sz w:val="33"/>
          <w:szCs w:val="33"/>
          <w:u w:val="none"/>
          <w:lang w:val="zh-CN" w:eastAsia="zh-CN" w:bidi="ar-SA"/>
        </w:rPr>
        <w:t xml:space="preserve">4. </w:t>
      </w:r>
      <w:r>
        <w:rPr>
          <w:rFonts w:hint="eastAsia" w:ascii="方正仿宋简体" w:hAnsi="Times New Roman" w:eastAsia="方正仿宋简体" w:cs="方正仿宋简体"/>
          <w:kern w:val="2"/>
          <w:sz w:val="33"/>
          <w:szCs w:val="33"/>
          <w:u w:val="none"/>
          <w:lang w:val="en-US" w:eastAsia="zh-CN" w:bidi="ar-SA"/>
        </w:rPr>
        <w:t>2022年预算安排8万元，实际执行8万元；2023年预算安排8万元，实际执行8万元，较上年无变化。</w:t>
      </w:r>
    </w:p>
    <w:p>
      <w:pPr>
        <w:adjustRightInd w:val="0"/>
        <w:snapToGrid w:val="0"/>
        <w:spacing w:line="600" w:lineRule="exact"/>
        <w:ind w:firstLine="720"/>
        <w:rPr>
          <w:rFonts w:eastAsia="楷体_GB2312"/>
          <w:b/>
          <w:sz w:val="33"/>
          <w:szCs w:val="33"/>
          <w:lang w:val="zh-CN"/>
        </w:rPr>
      </w:pPr>
      <w:r>
        <w:rPr>
          <w:rFonts w:eastAsia="楷体_GB2312"/>
          <w:b/>
          <w:sz w:val="33"/>
          <w:szCs w:val="33"/>
          <w:lang w:val="zh-CN"/>
        </w:rPr>
        <w:t>（二）项目绩效目标。</w:t>
      </w:r>
    </w:p>
    <w:p>
      <w:pPr>
        <w:adjustRightInd w:val="0"/>
        <w:snapToGrid w:val="0"/>
        <w:spacing w:line="600" w:lineRule="exact"/>
        <w:ind w:firstLine="660" w:firstLineChars="200"/>
        <w:rPr>
          <w:rFonts w:hint="eastAsia" w:ascii="方正仿宋简体" w:hAnsi="Times New Roman" w:eastAsia="方正仿宋简体" w:cs="方正仿宋简体"/>
          <w:kern w:val="2"/>
          <w:sz w:val="33"/>
          <w:szCs w:val="33"/>
          <w:u w:val="none"/>
          <w:lang w:val="en-US" w:eastAsia="zh-CN" w:bidi="ar-SA"/>
        </w:rPr>
      </w:pPr>
      <w:r>
        <w:rPr>
          <w:rFonts w:hint="eastAsia" w:ascii="方正仿宋简体" w:hAnsi="Times New Roman" w:eastAsia="方正仿宋简体" w:cs="方正仿宋简体"/>
          <w:kern w:val="2"/>
          <w:sz w:val="33"/>
          <w:szCs w:val="33"/>
          <w:u w:val="none"/>
          <w:lang w:val="zh-CN" w:eastAsia="zh-CN" w:bidi="ar-SA"/>
        </w:rPr>
        <w:t>1. 项目主要内容。</w:t>
      </w:r>
      <w:r>
        <w:rPr>
          <w:rFonts w:hint="eastAsia" w:ascii="方正仿宋简体" w:hAnsi="Times New Roman" w:eastAsia="方正仿宋简体" w:cs="方正仿宋简体"/>
          <w:kern w:val="2"/>
          <w:sz w:val="33"/>
          <w:szCs w:val="33"/>
          <w:u w:val="none"/>
          <w:lang w:val="en-US" w:eastAsia="zh-CN" w:bidi="ar-SA"/>
        </w:rPr>
        <w:t>为为深入贯彻落实攀枝花市信访局关于转发《省信访局 2019 年信访矛盾化解攻坚战实施方案》的通知（攀信发〔2019〕10 号）。解决全年特殊疑难信访问题，保障本年度确保无因特殊疑难信访问题引发的进京赴省缠访、闹访。</w:t>
      </w:r>
    </w:p>
    <w:p>
      <w:pPr>
        <w:adjustRightInd w:val="0"/>
        <w:snapToGrid w:val="0"/>
        <w:spacing w:line="600" w:lineRule="exact"/>
        <w:ind w:firstLine="660" w:firstLineChars="200"/>
        <w:rPr>
          <w:rFonts w:hint="eastAsia" w:ascii="方正仿宋简体" w:hAnsi="Times New Roman" w:eastAsia="方正仿宋简体" w:cs="方正仿宋简体"/>
          <w:kern w:val="2"/>
          <w:sz w:val="33"/>
          <w:szCs w:val="33"/>
          <w:u w:val="none"/>
          <w:lang w:val="en-US" w:eastAsia="zh-CN" w:bidi="ar-SA"/>
        </w:rPr>
      </w:pPr>
      <w:r>
        <w:rPr>
          <w:rFonts w:hint="eastAsia" w:ascii="方正仿宋简体" w:hAnsi="Times New Roman" w:eastAsia="方正仿宋简体" w:cs="方正仿宋简体"/>
          <w:kern w:val="2"/>
          <w:sz w:val="33"/>
          <w:szCs w:val="33"/>
          <w:u w:val="none"/>
          <w:lang w:val="zh-CN" w:eastAsia="zh-CN" w:bidi="ar-SA"/>
        </w:rPr>
        <w:t xml:space="preserve">2. </w:t>
      </w:r>
      <w:r>
        <w:rPr>
          <w:rFonts w:hint="eastAsia" w:ascii="方正仿宋简体" w:hAnsi="Times New Roman" w:eastAsia="方正仿宋简体" w:cs="方正仿宋简体"/>
          <w:kern w:val="2"/>
          <w:sz w:val="33"/>
          <w:szCs w:val="33"/>
          <w:u w:val="none"/>
          <w:lang w:val="en-US" w:eastAsia="zh-CN" w:bidi="ar-SA"/>
        </w:rPr>
        <w:t>有效地保障全年无因特殊疑难信访问题引发费缠访、闹访，提高群众满意度。</w:t>
      </w:r>
    </w:p>
    <w:p>
      <w:pPr>
        <w:adjustRightInd w:val="0"/>
        <w:snapToGrid w:val="0"/>
        <w:spacing w:line="600" w:lineRule="exact"/>
        <w:ind w:firstLine="660" w:firstLineChars="200"/>
        <w:rPr>
          <w:rFonts w:hint="eastAsia" w:ascii="方正仿宋简体" w:hAnsi="Times New Roman" w:eastAsia="方正仿宋简体" w:cs="方正仿宋简体"/>
          <w:kern w:val="2"/>
          <w:sz w:val="33"/>
          <w:szCs w:val="33"/>
          <w:u w:val="none"/>
          <w:lang w:val="en-US" w:eastAsia="zh-CN" w:bidi="ar-SA"/>
        </w:rPr>
      </w:pPr>
      <w:r>
        <w:rPr>
          <w:rFonts w:hint="eastAsia" w:ascii="方正仿宋简体" w:hAnsi="Times New Roman" w:eastAsia="方正仿宋简体" w:cs="方正仿宋简体"/>
          <w:kern w:val="2"/>
          <w:sz w:val="33"/>
          <w:szCs w:val="33"/>
          <w:u w:val="none"/>
          <w:lang w:val="zh-CN" w:eastAsia="zh-CN" w:bidi="ar-SA"/>
        </w:rPr>
        <w:t xml:space="preserve">3. </w:t>
      </w:r>
      <w:r>
        <w:rPr>
          <w:rFonts w:hint="eastAsia" w:ascii="方正仿宋简体" w:hAnsi="Times New Roman" w:eastAsia="方正仿宋简体" w:cs="方正仿宋简体"/>
          <w:kern w:val="2"/>
          <w:sz w:val="33"/>
          <w:szCs w:val="33"/>
          <w:u w:val="none"/>
          <w:lang w:val="en-US" w:eastAsia="zh-CN" w:bidi="ar-SA"/>
        </w:rPr>
        <w:t>按照攀枝花市信访联席会议办公室《关于进一步做好涉稳涉访重点问题和重点人员信访稳定工作的通知》（攀信联办〔2022〕34号），攀枝花市信访联席会议办公室关于转发《四川省信访联席会议办公室关于进一步做好信访安全稳定风险事项化解稳定工作的通知》文件要求，2022年9月15日，市政府副市长、市公安局局长周强组织召开了信访安全保障工作专题会议，要求做好信访安全保障工作，营造安全稳定和谐社会环境。</w:t>
      </w:r>
    </w:p>
    <w:p>
      <w:pPr>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二、评价实施</w:t>
      </w:r>
    </w:p>
    <w:p>
      <w:pPr>
        <w:adjustRightInd w:val="0"/>
        <w:snapToGrid w:val="0"/>
        <w:spacing w:line="600" w:lineRule="exact"/>
        <w:ind w:firstLine="643" w:firstLineChars="200"/>
        <w:rPr>
          <w:rFonts w:hint="eastAsia" w:ascii="方正仿宋简体" w:eastAsia="方正仿宋简体" w:cs="方正仿宋简体"/>
          <w:sz w:val="33"/>
          <w:szCs w:val="33"/>
          <w:u w:val="none"/>
          <w:lang w:val="zh-CN" w:eastAsia="zh-CN"/>
        </w:rPr>
      </w:pPr>
      <w:r>
        <w:rPr>
          <w:rFonts w:hint="eastAsia" w:ascii="楷体_GB2312" w:eastAsia="楷体_GB2312"/>
          <w:b/>
          <w:sz w:val="32"/>
          <w:szCs w:val="32"/>
          <w:lang w:val="zh-CN"/>
        </w:rPr>
        <w:t>（一）评价目的。</w:t>
      </w:r>
      <w:r>
        <w:rPr>
          <w:rFonts w:hint="eastAsia" w:ascii="方正仿宋简体" w:eastAsia="方正仿宋简体" w:cs="方正仿宋简体"/>
          <w:sz w:val="33"/>
          <w:szCs w:val="33"/>
          <w:u w:val="none"/>
          <w:lang w:val="zh-CN" w:eastAsia="zh-CN"/>
        </w:rPr>
        <w:t>20</w:t>
      </w:r>
      <w:r>
        <w:rPr>
          <w:rFonts w:hint="eastAsia" w:ascii="方正仿宋简体" w:eastAsia="方正仿宋简体" w:cs="方正仿宋简体"/>
          <w:sz w:val="33"/>
          <w:szCs w:val="33"/>
          <w:u w:val="none"/>
          <w:lang w:val="en-US" w:eastAsia="zh-CN"/>
        </w:rPr>
        <w:t>23</w:t>
      </w:r>
      <w:r>
        <w:rPr>
          <w:rFonts w:hint="eastAsia" w:ascii="方正仿宋简体" w:eastAsia="方正仿宋简体" w:cs="方正仿宋简体"/>
          <w:sz w:val="33"/>
          <w:szCs w:val="33"/>
          <w:u w:val="none"/>
          <w:lang w:val="zh-CN" w:eastAsia="zh-CN"/>
        </w:rPr>
        <w:t>年度项目绩效评估工作通过线上与线下相结合方式开展。按照有关规定和工作安排，我单位开展自行评估，通过自行成立组建评估组，通过收集被评估项目相关基础资料，并查阅资料、收集数据信息等，深入论证分析后，形成绩效评估报告。</w:t>
      </w:r>
    </w:p>
    <w:p>
      <w:pPr>
        <w:adjustRightInd w:val="0"/>
        <w:snapToGrid w:val="0"/>
        <w:spacing w:line="600" w:lineRule="exact"/>
        <w:ind w:firstLine="643" w:firstLineChars="200"/>
        <w:rPr>
          <w:rFonts w:hint="eastAsia" w:ascii="方正仿宋简体" w:eastAsia="方正仿宋简体" w:cs="方正仿宋简体"/>
          <w:sz w:val="33"/>
          <w:szCs w:val="33"/>
          <w:u w:val="none"/>
          <w:lang w:val="zh-CN" w:eastAsia="zh-CN"/>
        </w:rPr>
      </w:pPr>
      <w:r>
        <w:rPr>
          <w:rFonts w:hint="eastAsia" w:ascii="楷体_GB2312" w:eastAsia="楷体_GB2312"/>
          <w:b/>
          <w:sz w:val="32"/>
          <w:szCs w:val="32"/>
          <w:lang w:val="zh-CN"/>
        </w:rPr>
        <w:t>（二）预设问题及评价重点。</w:t>
      </w:r>
      <w:r>
        <w:rPr>
          <w:rFonts w:hint="eastAsia" w:ascii="方正仿宋简体" w:eastAsia="方正仿宋简体" w:cs="方正仿宋简体"/>
          <w:sz w:val="33"/>
          <w:szCs w:val="33"/>
          <w:u w:val="none"/>
          <w:lang w:val="zh-CN" w:eastAsia="zh-CN"/>
        </w:rPr>
        <w:t>本项目通过现场踏勘、与项目相关人员座谈或讨论、聘请相关专业专家、市场调研等方法了解项目情况，收集相关资料，综合分析相关情况后，对项目的立项必要性、投入经济性、目标合理性、方案可行性以及筹资合规性实施评估。</w:t>
      </w:r>
    </w:p>
    <w:p>
      <w:pPr>
        <w:snapToGrid w:val="0"/>
        <w:spacing w:line="600" w:lineRule="exact"/>
        <w:ind w:firstLine="643" w:firstLineChars="200"/>
        <w:jc w:val="left"/>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b/>
          <w:sz w:val="32"/>
          <w:szCs w:val="32"/>
          <w:lang w:val="zh-CN"/>
        </w:rPr>
        <w:t>（三）</w:t>
      </w:r>
      <w:r>
        <w:rPr>
          <w:rFonts w:ascii="楷体_GB2312" w:hAnsi="Times New Roman" w:eastAsia="楷体_GB2312"/>
          <w:b/>
          <w:sz w:val="33"/>
          <w:szCs w:val="33"/>
          <w:u w:val="none"/>
        </w:rPr>
        <w:t>评估程序</w:t>
      </w:r>
      <w:r>
        <w:rPr>
          <w:rFonts w:hint="eastAsia" w:ascii="方正仿宋简体" w:hAnsi="Times New Roman" w:eastAsia="方正仿宋简体" w:cs="方正仿宋简体"/>
          <w:kern w:val="2"/>
          <w:sz w:val="33"/>
          <w:szCs w:val="33"/>
          <w:u w:val="none"/>
          <w:lang w:val="zh-CN" w:eastAsia="zh-CN" w:bidi="ar-SA"/>
        </w:rPr>
        <w:t>20</w:t>
      </w:r>
      <w:r>
        <w:rPr>
          <w:rFonts w:hint="eastAsia" w:ascii="方正仿宋简体" w:hAnsi="Times New Roman" w:eastAsia="方正仿宋简体" w:cs="方正仿宋简体"/>
          <w:kern w:val="2"/>
          <w:sz w:val="33"/>
          <w:szCs w:val="33"/>
          <w:u w:val="none"/>
          <w:lang w:val="en-US" w:eastAsia="zh-CN" w:bidi="ar-SA"/>
        </w:rPr>
        <w:t>2</w:t>
      </w:r>
      <w:r>
        <w:rPr>
          <w:rFonts w:hint="eastAsia" w:ascii="方正仿宋简体" w:eastAsia="方正仿宋简体" w:cs="方正仿宋简体"/>
          <w:kern w:val="2"/>
          <w:sz w:val="33"/>
          <w:szCs w:val="33"/>
          <w:u w:val="none"/>
          <w:lang w:val="en-US" w:eastAsia="zh-CN" w:bidi="ar-SA"/>
        </w:rPr>
        <w:t>3</w:t>
      </w:r>
      <w:r>
        <w:rPr>
          <w:rFonts w:hint="eastAsia" w:ascii="方正仿宋简体" w:hAnsi="Times New Roman" w:eastAsia="方正仿宋简体" w:cs="方正仿宋简体"/>
          <w:kern w:val="2"/>
          <w:sz w:val="33"/>
          <w:szCs w:val="33"/>
          <w:u w:val="none"/>
          <w:lang w:val="zh-CN" w:eastAsia="zh-CN" w:bidi="ar-SA"/>
        </w:rPr>
        <w:t>年度预算项目绩效评估工作通过线上与线下相结合方式开展。按照有关规定和工作安排，我单位开展自行评估，通过自行成立组建评估组，通过收集被评估项目相关基础资料，并查阅资料、收集数据信息等，深入论证分析后，形成绩效评估报告。</w:t>
      </w:r>
    </w:p>
    <w:p>
      <w:pPr>
        <w:snapToGrid w:val="0"/>
        <w:spacing w:line="600" w:lineRule="exact"/>
        <w:ind w:firstLine="663" w:firstLineChars="200"/>
        <w:jc w:val="left"/>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b/>
          <w:sz w:val="33"/>
          <w:szCs w:val="33"/>
          <w:u w:val="none"/>
          <w:lang w:eastAsia="zh-CN"/>
        </w:rPr>
        <w:t>（</w:t>
      </w:r>
      <w:r>
        <w:rPr>
          <w:rFonts w:hint="eastAsia" w:ascii="楷体_GB2312" w:eastAsia="楷体_GB2312"/>
          <w:b/>
          <w:sz w:val="33"/>
          <w:szCs w:val="33"/>
          <w:u w:val="none"/>
          <w:lang w:val="en-US" w:eastAsia="zh-CN"/>
        </w:rPr>
        <w:t>四</w:t>
      </w:r>
      <w:r>
        <w:rPr>
          <w:rFonts w:hint="eastAsia" w:ascii="楷体_GB2312" w:eastAsia="楷体_GB2312"/>
          <w:b/>
          <w:sz w:val="33"/>
          <w:szCs w:val="33"/>
          <w:u w:val="none"/>
          <w:lang w:eastAsia="zh-CN"/>
        </w:rPr>
        <w:t>）</w:t>
      </w:r>
      <w:r>
        <w:rPr>
          <w:rFonts w:hint="eastAsia" w:ascii="楷体_GB2312" w:hAnsi="Times New Roman" w:eastAsia="楷体_GB2312"/>
          <w:b/>
          <w:sz w:val="33"/>
          <w:szCs w:val="33"/>
          <w:u w:val="none"/>
        </w:rPr>
        <w:t>评估方法</w:t>
      </w:r>
      <w:r>
        <w:rPr>
          <w:rFonts w:hint="eastAsia" w:ascii="方正仿宋简体" w:hAnsi="Times New Roman" w:eastAsia="方正仿宋简体" w:cs="方正仿宋简体"/>
          <w:kern w:val="2"/>
          <w:sz w:val="33"/>
          <w:szCs w:val="33"/>
          <w:u w:val="none"/>
          <w:lang w:val="zh-CN" w:eastAsia="zh-CN" w:bidi="ar-SA"/>
        </w:rPr>
        <w:t>本项目通过现场踏勘、与项目相关人员座谈或讨论、聘请相关专业专家、市场调研等方法了解项目情况，收集相关资料，综合分析相关情况后，对项目的立项必要性、投入经济性、目标合理性、方案可行性以及筹资合规性实施评估。</w:t>
      </w:r>
    </w:p>
    <w:p>
      <w:pPr>
        <w:snapToGrid w:val="0"/>
        <w:spacing w:line="600" w:lineRule="exact"/>
        <w:ind w:firstLine="643" w:firstLineChars="200"/>
        <w:jc w:val="left"/>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b/>
          <w:color w:val="auto"/>
          <w:sz w:val="32"/>
          <w:szCs w:val="32"/>
          <w:lang w:val="zh-CN"/>
        </w:rPr>
        <w:t>（</w:t>
      </w:r>
      <w:r>
        <w:rPr>
          <w:rFonts w:hint="eastAsia" w:ascii="楷体_GB2312" w:eastAsia="楷体_GB2312"/>
          <w:b/>
          <w:color w:val="auto"/>
          <w:sz w:val="32"/>
          <w:szCs w:val="32"/>
          <w:lang w:val="en-US" w:eastAsia="zh-CN"/>
        </w:rPr>
        <w:t>五</w:t>
      </w:r>
      <w:r>
        <w:rPr>
          <w:rFonts w:hint="eastAsia" w:ascii="楷体_GB2312" w:eastAsia="楷体_GB2312"/>
          <w:b/>
          <w:color w:val="auto"/>
          <w:sz w:val="32"/>
          <w:szCs w:val="32"/>
          <w:lang w:val="zh-CN"/>
        </w:rPr>
        <w:t>）评价组织。</w:t>
      </w:r>
      <w:r>
        <w:rPr>
          <w:rFonts w:hint="eastAsia" w:ascii="楷体_GB2312" w:eastAsia="楷体_GB2312"/>
          <w:b/>
          <w:color w:val="auto"/>
          <w:sz w:val="32"/>
          <w:szCs w:val="32"/>
          <w:lang w:val="en-US" w:eastAsia="zh-CN"/>
        </w:rPr>
        <w:t>成立绩效评价小组，</w:t>
      </w:r>
      <w:r>
        <w:rPr>
          <w:rFonts w:hint="eastAsia" w:ascii="方正仿宋简体" w:hAnsi="Times New Roman" w:eastAsia="方正仿宋简体" w:cs="方正仿宋简体"/>
          <w:kern w:val="2"/>
          <w:sz w:val="33"/>
          <w:szCs w:val="33"/>
          <w:u w:val="none"/>
          <w:lang w:val="en-US" w:eastAsia="zh-CN" w:bidi="ar-SA"/>
        </w:rPr>
        <w:t>局长担任组长</w:t>
      </w:r>
      <w:r>
        <w:rPr>
          <w:rFonts w:hint="eastAsia" w:ascii="方正仿宋简体" w:hAnsi="Times New Roman" w:eastAsia="方正仿宋简体" w:cs="方正仿宋简体"/>
          <w:kern w:val="2"/>
          <w:sz w:val="33"/>
          <w:szCs w:val="33"/>
          <w:u w:val="none"/>
          <w:lang w:val="zh-CN" w:eastAsia="zh-CN" w:bidi="ar-SA"/>
        </w:rPr>
        <w:t>负责统一部署和管理绩效考核工作，对各部门负责人进行绩效考核评价，对各部门的考核结果进行审核，</w:t>
      </w:r>
      <w:r>
        <w:rPr>
          <w:rFonts w:hint="eastAsia" w:ascii="方正仿宋简体" w:eastAsia="方正仿宋简体" w:cs="方正仿宋简体"/>
          <w:kern w:val="2"/>
          <w:sz w:val="33"/>
          <w:szCs w:val="33"/>
          <w:u w:val="none"/>
          <w:lang w:val="en-US" w:eastAsia="zh-CN" w:bidi="ar-SA"/>
        </w:rPr>
        <w:t>及工作</w:t>
      </w:r>
      <w:r>
        <w:rPr>
          <w:rFonts w:hint="eastAsia" w:ascii="方正仿宋简体" w:hAnsi="Times New Roman" w:eastAsia="方正仿宋简体" w:cs="方正仿宋简体"/>
          <w:kern w:val="2"/>
          <w:sz w:val="33"/>
          <w:szCs w:val="33"/>
          <w:u w:val="none"/>
          <w:lang w:val="zh-CN" w:eastAsia="zh-CN" w:bidi="ar-SA"/>
        </w:rPr>
        <w:t>指导，促进整体绩效目标的达成和提高。</w:t>
      </w:r>
      <w:r>
        <w:rPr>
          <w:rFonts w:hint="eastAsia" w:ascii="方正仿宋简体" w:hAnsi="Times New Roman" w:eastAsia="方正仿宋简体" w:cs="方正仿宋简体"/>
          <w:kern w:val="2"/>
          <w:sz w:val="33"/>
          <w:szCs w:val="33"/>
          <w:u w:val="none"/>
          <w:lang w:val="en-US" w:eastAsia="zh-CN" w:bidi="ar-SA"/>
        </w:rPr>
        <w:t>副局长及中心主任担任副组长</w:t>
      </w:r>
      <w:r>
        <w:rPr>
          <w:rFonts w:hint="eastAsia" w:ascii="方正仿宋简体" w:eastAsia="方正仿宋简体" w:cs="方正仿宋简体"/>
          <w:kern w:val="2"/>
          <w:sz w:val="33"/>
          <w:szCs w:val="33"/>
          <w:u w:val="none"/>
          <w:lang w:val="en-US" w:eastAsia="zh-CN" w:bidi="ar-SA"/>
        </w:rPr>
        <w:t>，</w:t>
      </w:r>
      <w:r>
        <w:rPr>
          <w:rFonts w:hint="eastAsia" w:ascii="方正仿宋简体" w:hAnsi="Times New Roman" w:eastAsia="方正仿宋简体" w:cs="方正仿宋简体"/>
          <w:kern w:val="2"/>
          <w:sz w:val="33"/>
          <w:szCs w:val="33"/>
          <w:u w:val="none"/>
          <w:lang w:val="zh-CN" w:eastAsia="zh-CN" w:bidi="ar-SA"/>
        </w:rPr>
        <w:t>负责依据考评原则和考评程序，对所属部门员工进行绩效考核评价。及时与员工进行考评沟通，提供必要的反馈和指导。</w:t>
      </w:r>
    </w:p>
    <w:p>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pPr>
        <w:ind w:firstLine="640" w:firstLineChars="200"/>
        <w:rPr>
          <w:rFonts w:hint="eastAsia" w:ascii="方正仿宋简体" w:hAnsi="Times New Roman" w:eastAsia="方正仿宋简体" w:cs="方正仿宋简体"/>
          <w:sz w:val="33"/>
          <w:szCs w:val="33"/>
          <w:u w:val="none"/>
          <w:lang w:val="zh-CN" w:eastAsia="zh-CN"/>
        </w:rPr>
      </w:pPr>
      <w:r>
        <w:rPr>
          <w:rFonts w:hint="eastAsia" w:eastAsia="仿宋_GB2312"/>
          <w:sz w:val="32"/>
          <w:szCs w:val="32"/>
          <w:lang w:val="zh-CN"/>
        </w:rPr>
        <w:t>根</w:t>
      </w:r>
      <w:r>
        <w:rPr>
          <w:rFonts w:hint="eastAsia" w:ascii="方正仿宋简体" w:hAnsi="Times New Roman" w:eastAsia="方正仿宋简体" w:cs="方正仿宋简体"/>
          <w:sz w:val="33"/>
          <w:szCs w:val="33"/>
          <w:u w:val="none"/>
          <w:lang w:val="zh-CN" w:eastAsia="zh-CN"/>
        </w:rPr>
        <w:t>据项目预算绩效评价指标体系“通用指标”“专用指标”“个性指标”涉及二、三级指标进行逐项绩效分析并评分。</w:t>
      </w:r>
    </w:p>
    <w:p>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pPr>
        <w:adjustRightInd w:val="0"/>
        <w:snapToGrid w:val="0"/>
        <w:spacing w:line="560" w:lineRule="exact"/>
        <w:ind w:firstLine="640" w:firstLineChars="200"/>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sz w:val="32"/>
          <w:szCs w:val="32"/>
          <w:lang w:val="zh-CN"/>
        </w:rPr>
        <w:t>1.项目决策。</w:t>
      </w:r>
      <w:r>
        <w:rPr>
          <w:rFonts w:hint="eastAsia" w:ascii="方正仿宋简体" w:hAnsi="Times New Roman" w:eastAsia="方正仿宋简体" w:cs="方正仿宋简体"/>
          <w:kern w:val="2"/>
          <w:sz w:val="33"/>
          <w:szCs w:val="33"/>
          <w:u w:val="none"/>
          <w:lang w:val="en-US" w:eastAsia="zh-CN" w:bidi="ar-SA"/>
        </w:rPr>
        <w:t>该笔资金来源渠道的合法合规，评估内容具有公共性，属于公共财政支持范围，筹资渠道符合法律法规规定，筹资结构合理，资金来源渠道明确。</w:t>
      </w:r>
    </w:p>
    <w:p>
      <w:pPr>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outlineLvl w:val="9"/>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sz w:val="32"/>
          <w:szCs w:val="32"/>
          <w:lang w:val="zh-CN"/>
        </w:rPr>
        <w:t>2.项目管理。</w:t>
      </w:r>
      <w:r>
        <w:rPr>
          <w:rFonts w:hint="eastAsia" w:ascii="方正仿宋简体" w:hAnsi="Times New Roman" w:eastAsia="方正仿宋简体" w:cs="方正仿宋简体"/>
          <w:kern w:val="2"/>
          <w:sz w:val="33"/>
          <w:szCs w:val="33"/>
          <w:u w:val="none"/>
          <w:lang w:val="en-US" w:eastAsia="zh-CN" w:bidi="ar-SA"/>
        </w:rPr>
        <w:t>严格按照批复的支出预算执行，对人员经费严格按照上级的有关政策规定执行，无擅自扩大开支范围和提高开支标准情况。项目支出严格按照批复的项目和用途使用，无自行改变项目内容及扩大使用范围情况，保证专款专用，无截留、挪用专项资金情况。</w:t>
      </w:r>
    </w:p>
    <w:p>
      <w:pPr>
        <w:ind w:firstLine="640" w:firstLineChars="200"/>
        <w:rPr>
          <w:rFonts w:hint="eastAsia" w:ascii="方正仿宋简体" w:hAnsi="Times New Roman" w:eastAsia="方正仿宋简体" w:cs="方正仿宋简体"/>
          <w:kern w:val="2"/>
          <w:sz w:val="33"/>
          <w:szCs w:val="33"/>
          <w:u w:val="none"/>
          <w:lang w:val="en-US" w:eastAsia="zh-CN" w:bidi="ar-SA"/>
        </w:rPr>
      </w:pPr>
      <w:r>
        <w:rPr>
          <w:rFonts w:hint="eastAsia" w:ascii="楷体_GB2312" w:eastAsia="楷体_GB2312"/>
          <w:sz w:val="32"/>
          <w:szCs w:val="32"/>
          <w:lang w:val="zh-CN"/>
        </w:rPr>
        <w:t>3.项目实施。</w:t>
      </w:r>
      <w:r>
        <w:rPr>
          <w:rFonts w:hint="eastAsia" w:ascii="方正仿宋简体" w:hAnsi="Times New Roman" w:eastAsia="方正仿宋简体" w:cs="方正仿宋简体"/>
          <w:kern w:val="2"/>
          <w:sz w:val="33"/>
          <w:szCs w:val="33"/>
          <w:u w:val="none"/>
          <w:lang w:val="en-US" w:eastAsia="zh-CN" w:bidi="ar-SA"/>
        </w:rPr>
        <w:t>保证在财政批复部门预算后20日内，通过攀枝花市西区人民政府网站预决算公开统一平台公开绩效目标情况，并妥善做好解释说明工作，确保公开信息规范化、标准化，主动接受预算监督。</w:t>
      </w:r>
    </w:p>
    <w:p>
      <w:pPr>
        <w:adjustRightInd w:val="0"/>
        <w:snapToGrid w:val="0"/>
        <w:spacing w:line="600" w:lineRule="exact"/>
        <w:ind w:firstLine="720"/>
        <w:rPr>
          <w:rFonts w:eastAsia="仿宋_GB2312"/>
          <w:sz w:val="32"/>
          <w:szCs w:val="32"/>
          <w:lang w:val="zh-CN"/>
        </w:rPr>
      </w:pPr>
      <w:r>
        <w:rPr>
          <w:rFonts w:hint="eastAsia" w:ascii="楷体_GB2312" w:eastAsia="楷体_GB2312"/>
          <w:sz w:val="32"/>
          <w:szCs w:val="32"/>
          <w:lang w:val="zh-CN"/>
        </w:rPr>
        <w:t>4.项目结果。</w:t>
      </w:r>
      <w:r>
        <w:rPr>
          <w:rFonts w:hint="eastAsia"/>
          <w:lang w:val="en-US" w:eastAsia="zh-CN"/>
        </w:rPr>
        <w:t xml:space="preserve"> </w:t>
      </w:r>
      <w:r>
        <w:rPr>
          <w:rFonts w:hint="eastAsia" w:ascii="方正仿宋简体" w:hAnsi="Times New Roman" w:eastAsia="方正仿宋简体" w:cs="方正仿宋简体"/>
          <w:kern w:val="2"/>
          <w:sz w:val="33"/>
          <w:szCs w:val="33"/>
          <w:u w:val="none"/>
          <w:lang w:val="en-US" w:eastAsia="zh-CN" w:bidi="ar-SA"/>
        </w:rPr>
        <w:t>该项目资金</w:t>
      </w:r>
      <w:r>
        <w:rPr>
          <w:rFonts w:hint="eastAsia" w:ascii="方正仿宋简体" w:hAnsi="Times New Roman" w:eastAsia="方正仿宋简体" w:cs="方正仿宋简体"/>
          <w:sz w:val="33"/>
          <w:szCs w:val="33"/>
          <w:u w:val="none"/>
          <w:lang w:val="en-US" w:eastAsia="zh-CN"/>
        </w:rPr>
        <w:t>年初预算</w:t>
      </w:r>
      <w:r>
        <w:rPr>
          <w:rFonts w:hint="eastAsia" w:ascii="方正仿宋简体" w:eastAsia="方正仿宋简体" w:cs="方正仿宋简体"/>
          <w:sz w:val="33"/>
          <w:szCs w:val="33"/>
          <w:u w:val="none"/>
          <w:lang w:val="en-US" w:eastAsia="zh-CN"/>
        </w:rPr>
        <w:t>2</w:t>
      </w:r>
      <w:r>
        <w:rPr>
          <w:rFonts w:hint="eastAsia" w:ascii="方正仿宋简体" w:hAnsi="Times New Roman" w:eastAsia="方正仿宋简体" w:cs="方正仿宋简体"/>
          <w:sz w:val="33"/>
          <w:szCs w:val="33"/>
          <w:u w:val="none"/>
          <w:lang w:val="en-US" w:eastAsia="zh-CN"/>
        </w:rPr>
        <w:t>万元，区财政已及时拨付到位，全年完成数</w:t>
      </w:r>
      <w:r>
        <w:rPr>
          <w:rFonts w:hint="eastAsia" w:ascii="方正仿宋简体" w:eastAsia="方正仿宋简体" w:cs="方正仿宋简体"/>
          <w:sz w:val="33"/>
          <w:szCs w:val="33"/>
          <w:u w:val="none"/>
          <w:lang w:val="en-US" w:eastAsia="zh-CN"/>
        </w:rPr>
        <w:t>2</w:t>
      </w:r>
      <w:r>
        <w:rPr>
          <w:rFonts w:hint="eastAsia" w:ascii="方正仿宋简体" w:hAnsi="Times New Roman" w:eastAsia="方正仿宋简体" w:cs="方正仿宋简体"/>
          <w:sz w:val="33"/>
          <w:szCs w:val="33"/>
          <w:u w:val="none"/>
          <w:lang w:val="en-US" w:eastAsia="zh-CN"/>
        </w:rPr>
        <w:t>万元。该</w:t>
      </w:r>
      <w:r>
        <w:rPr>
          <w:rFonts w:hint="eastAsia" w:ascii="方正仿宋简体" w:hAnsi="Times New Roman" w:eastAsia="方正仿宋简体" w:cs="方正仿宋简体"/>
          <w:sz w:val="33"/>
          <w:szCs w:val="33"/>
          <w:u w:val="none"/>
          <w:lang w:val="zh-CN" w:eastAsia="zh-CN"/>
        </w:rPr>
        <w:t>项目</w:t>
      </w:r>
      <w:r>
        <w:rPr>
          <w:rFonts w:hint="eastAsia" w:ascii="方正仿宋简体" w:hAnsi="Times New Roman" w:eastAsia="方正仿宋简体" w:cs="方正仿宋简体"/>
          <w:kern w:val="2"/>
          <w:sz w:val="33"/>
          <w:szCs w:val="33"/>
          <w:u w:val="none"/>
          <w:lang w:val="zh-CN" w:eastAsia="zh-CN" w:bidi="ar-SA"/>
        </w:rPr>
        <w:t>实施财务管理制度健全，严格执行财务管理制度，账务处理及时，会计核算规范。</w:t>
      </w:r>
    </w:p>
    <w:p>
      <w:pPr>
        <w:ind w:firstLine="643" w:firstLineChars="200"/>
        <w:rPr>
          <w:sz w:val="33"/>
          <w:szCs w:val="33"/>
          <w:lang w:val="zh-CN"/>
        </w:rPr>
      </w:pPr>
      <w:r>
        <w:rPr>
          <w:rFonts w:hint="eastAsia" w:ascii="楷体_GB2312" w:hAnsi="Times New Roman" w:eastAsia="楷体_GB2312" w:cs="Times New Roman"/>
          <w:b/>
          <w:sz w:val="32"/>
          <w:szCs w:val="32"/>
          <w:lang w:val="zh-CN"/>
        </w:rPr>
        <w:t>（二）个性指标</w:t>
      </w:r>
      <w:r>
        <w:rPr>
          <w:rFonts w:hint="eastAsia" w:ascii="楷体_GB2312" w:eastAsia="楷体_GB2312"/>
          <w:b/>
          <w:sz w:val="32"/>
          <w:szCs w:val="32"/>
          <w:lang w:val="zh-CN"/>
        </w:rPr>
        <w:t>绩效分析。</w:t>
      </w:r>
    </w:p>
    <w:p>
      <w:pPr>
        <w:widowControl/>
        <w:ind w:firstLine="562" w:firstLineChars="200"/>
        <w:jc w:val="left"/>
        <w:rPr>
          <w:rFonts w:ascii="仿宋_GB2312" w:hAnsi="宋体"/>
          <w:sz w:val="28"/>
          <w:szCs w:val="28"/>
          <w:u w:val="none"/>
        </w:rPr>
      </w:pPr>
      <w:r>
        <w:rPr>
          <w:rFonts w:hint="eastAsia" w:ascii="宋体" w:hAnsi="宋体" w:eastAsia="宋体"/>
          <w:b/>
          <w:sz w:val="28"/>
          <w:szCs w:val="28"/>
          <w:u w:val="none"/>
        </w:rPr>
        <w:t>攀枝花市西区区级</w:t>
      </w:r>
      <w:r>
        <w:rPr>
          <w:rFonts w:hint="eastAsia" w:ascii="宋体" w:hAnsi="宋体" w:eastAsia="宋体" w:cs="Times New Roman"/>
          <w:b/>
          <w:sz w:val="28"/>
          <w:szCs w:val="28"/>
          <w:u w:val="none"/>
          <w:lang w:eastAsia="zh-CN"/>
        </w:rPr>
        <w:t>矛盾化解和疑难信访问题费用</w:t>
      </w:r>
      <w:r>
        <w:rPr>
          <w:rFonts w:ascii="宋体" w:hAnsi="宋体" w:eastAsia="宋体"/>
          <w:b/>
          <w:sz w:val="28"/>
          <w:szCs w:val="28"/>
          <w:u w:val="none"/>
        </w:rPr>
        <w:t>绩效</w:t>
      </w:r>
      <w:r>
        <w:rPr>
          <w:rFonts w:hint="eastAsia" w:ascii="宋体" w:hAnsi="宋体" w:eastAsia="宋体"/>
          <w:b/>
          <w:sz w:val="28"/>
          <w:szCs w:val="28"/>
          <w:u w:val="none"/>
        </w:rPr>
        <w:t>目标</w:t>
      </w:r>
      <w:r>
        <w:rPr>
          <w:rFonts w:ascii="宋体" w:hAnsi="宋体" w:eastAsia="宋体"/>
          <w:b/>
          <w:sz w:val="28"/>
          <w:szCs w:val="28"/>
          <w:u w:val="none"/>
        </w:rPr>
        <w:t>表</w:t>
      </w:r>
    </w:p>
    <w:tbl>
      <w:tblPr>
        <w:tblStyle w:val="16"/>
        <w:tblW w:w="9291" w:type="dxa"/>
        <w:tblInd w:w="15" w:type="dxa"/>
        <w:tblLayout w:type="fixed"/>
        <w:tblCellMar>
          <w:top w:w="0" w:type="dxa"/>
          <w:left w:w="0" w:type="dxa"/>
          <w:bottom w:w="0" w:type="dxa"/>
          <w:right w:w="0" w:type="dxa"/>
        </w:tblCellMar>
      </w:tblPr>
      <w:tblGrid>
        <w:gridCol w:w="1101"/>
        <w:gridCol w:w="1365"/>
        <w:gridCol w:w="2220"/>
        <w:gridCol w:w="4605"/>
      </w:tblGrid>
      <w:tr>
        <w:tblPrEx>
          <w:tblLayout w:type="fixed"/>
          <w:tblCellMar>
            <w:top w:w="0" w:type="dxa"/>
            <w:left w:w="0" w:type="dxa"/>
            <w:bottom w:w="0" w:type="dxa"/>
            <w:right w:w="0" w:type="dxa"/>
          </w:tblCellMar>
        </w:tblPrEx>
        <w:trPr>
          <w:trHeight w:val="340" w:hRule="atLeast"/>
        </w:trPr>
        <w:tc>
          <w:tcPr>
            <w:tcW w:w="11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绩效指标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一级指标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二级指标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三级指标</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完成指标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数量指标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保障全年无因特殊疑难信访问题引发费缠访、闹访</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79"/>
              </w:tabs>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b/>
            </w:r>
            <w:r>
              <w:rPr>
                <w:rFonts w:hint="eastAsia" w:ascii="宋体" w:hAnsi="宋体" w:eastAsia="宋体" w:cs="宋体"/>
                <w:i w:val="0"/>
                <w:color w:val="000000"/>
                <w:kern w:val="0"/>
                <w:sz w:val="20"/>
                <w:szCs w:val="20"/>
                <w:u w:val="none"/>
                <w:lang w:val="en-US" w:eastAsia="zh-CN" w:bidi="ar"/>
              </w:rPr>
              <w:t xml:space="preserve">  质量指标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确保无因特殊疑难信访问题引发的进京赴省缠访、闹访</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时效指标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全年</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成本指标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80000</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效益指标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社会效益指标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减少特殊疑难信访问题，提高群众满意度</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满意度指标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服务对象满意度指标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w:t>
            </w:r>
          </w:p>
        </w:tc>
      </w:tr>
    </w:tbl>
    <w:p>
      <w:pPr>
        <w:adjustRightInd w:val="0"/>
        <w:snapToGrid w:val="0"/>
        <w:spacing w:line="600" w:lineRule="exact"/>
        <w:ind w:firstLine="660" w:firstLineChars="200"/>
        <w:rPr>
          <w:rFonts w:eastAsia="黑体"/>
          <w:sz w:val="33"/>
          <w:szCs w:val="33"/>
        </w:rPr>
      </w:pPr>
      <w:r>
        <w:rPr>
          <w:rFonts w:hint="eastAsia" w:eastAsia="黑体"/>
          <w:sz w:val="33"/>
          <w:szCs w:val="33"/>
          <w:lang w:val="en-US" w:eastAsia="zh-CN"/>
        </w:rPr>
        <w:t>四</w:t>
      </w:r>
      <w:r>
        <w:rPr>
          <w:rFonts w:eastAsia="黑体"/>
          <w:sz w:val="33"/>
          <w:szCs w:val="33"/>
        </w:rPr>
        <w:t>、项目实施及管理情况</w:t>
      </w:r>
    </w:p>
    <w:p>
      <w:pPr>
        <w:adjustRightInd w:val="0"/>
        <w:snapToGrid w:val="0"/>
        <w:spacing w:line="560" w:lineRule="exact"/>
        <w:ind w:firstLine="663" w:firstLineChars="200"/>
        <w:rPr>
          <w:rFonts w:hint="eastAsia" w:ascii="方正仿宋简体" w:hAnsi="Times New Roman" w:eastAsia="方正仿宋简体" w:cs="方正仿宋简体"/>
          <w:kern w:val="2"/>
          <w:sz w:val="33"/>
          <w:szCs w:val="33"/>
          <w:u w:val="none"/>
          <w:lang w:val="zh-CN" w:eastAsia="zh-CN" w:bidi="ar-SA"/>
        </w:rPr>
      </w:pPr>
      <w:r>
        <w:rPr>
          <w:rFonts w:eastAsia="楷体_GB2312"/>
          <w:b/>
          <w:sz w:val="33"/>
          <w:szCs w:val="33"/>
          <w:lang w:val="zh-CN"/>
        </w:rPr>
        <w:t>（一）项目组织架构及实施流程。</w:t>
      </w:r>
      <w:r>
        <w:rPr>
          <w:rFonts w:hint="eastAsia" w:ascii="方正仿宋简体" w:hAnsi="Times New Roman" w:eastAsia="方正仿宋简体" w:cs="方正仿宋简体"/>
          <w:kern w:val="2"/>
          <w:sz w:val="33"/>
          <w:szCs w:val="33"/>
          <w:u w:val="none"/>
          <w:lang w:val="en-US" w:eastAsia="zh-CN" w:bidi="ar-SA"/>
        </w:rPr>
        <w:t>该笔资金来源渠道的合法合规，评估内容具有公共性，属于公共财政支持范围，筹资渠道符合法律法规规定，筹资结构合理，资金来源渠道明确。</w:t>
      </w:r>
    </w:p>
    <w:p>
      <w:pPr>
        <w:keepNext w:val="0"/>
        <w:keepLines w:val="0"/>
        <w:pageBreakBefore w:val="0"/>
        <w:widowControl w:val="0"/>
        <w:kinsoku/>
        <w:wordWrap/>
        <w:overflowPunct/>
        <w:topLinePunct w:val="0"/>
        <w:autoSpaceDE/>
        <w:autoSpaceDN/>
        <w:bidi w:val="0"/>
        <w:adjustRightInd/>
        <w:snapToGrid/>
        <w:spacing w:line="353" w:lineRule="auto"/>
        <w:ind w:firstLine="663" w:firstLineChars="200"/>
        <w:textAlignment w:val="auto"/>
        <w:outlineLvl w:val="9"/>
        <w:rPr>
          <w:rFonts w:hint="eastAsia" w:ascii="方正仿宋简体" w:hAnsi="Times New Roman" w:eastAsia="方正仿宋简体" w:cs="方正仿宋简体"/>
          <w:kern w:val="2"/>
          <w:sz w:val="33"/>
          <w:szCs w:val="33"/>
          <w:u w:val="none"/>
          <w:lang w:val="zh-CN" w:eastAsia="zh-CN" w:bidi="ar-SA"/>
        </w:rPr>
      </w:pPr>
      <w:r>
        <w:rPr>
          <w:rFonts w:eastAsia="楷体_GB2312"/>
          <w:b/>
          <w:sz w:val="33"/>
          <w:szCs w:val="33"/>
          <w:lang w:val="zh-CN"/>
        </w:rPr>
        <w:t>（二）项目管理情况。</w:t>
      </w:r>
      <w:r>
        <w:rPr>
          <w:rFonts w:hint="eastAsia" w:ascii="方正仿宋简体" w:hAnsi="Times New Roman" w:eastAsia="方正仿宋简体" w:cs="方正仿宋简体"/>
          <w:kern w:val="2"/>
          <w:sz w:val="33"/>
          <w:szCs w:val="33"/>
          <w:u w:val="none"/>
          <w:lang w:val="en-US" w:eastAsia="zh-CN" w:bidi="ar-SA"/>
        </w:rPr>
        <w:t>严格按照批复的支出预算执行，对人员经费严格按照上级的有关政策规定执行，无擅自扩大开支范围和提高开支标准情况。项目支出严格按照批复的项目和用途使用，无自行改变项目内容及扩大使用范围情况，保证专款专用，无截留、挪用专项资金情况。</w:t>
      </w:r>
    </w:p>
    <w:p>
      <w:pPr>
        <w:keepNext w:val="0"/>
        <w:keepLines w:val="0"/>
        <w:pageBreakBefore w:val="0"/>
        <w:widowControl w:val="0"/>
        <w:kinsoku/>
        <w:wordWrap/>
        <w:overflowPunct/>
        <w:topLinePunct w:val="0"/>
        <w:autoSpaceDE/>
        <w:autoSpaceDN/>
        <w:bidi w:val="0"/>
        <w:adjustRightInd/>
        <w:snapToGrid/>
        <w:spacing w:line="353" w:lineRule="auto"/>
        <w:ind w:firstLine="663" w:firstLineChars="200"/>
        <w:textAlignment w:val="auto"/>
        <w:outlineLvl w:val="9"/>
        <w:rPr>
          <w:rFonts w:hint="eastAsia" w:ascii="Times New Roman" w:hAnsi="Times New Roman" w:eastAsia="仿宋_GB2312" w:cs="Times New Roman"/>
          <w:sz w:val="33"/>
          <w:szCs w:val="33"/>
          <w:u w:val="none"/>
          <w:lang w:eastAsia="zh-CN"/>
        </w:rPr>
      </w:pPr>
      <w:r>
        <w:rPr>
          <w:rFonts w:eastAsia="楷体_GB2312"/>
          <w:b/>
          <w:sz w:val="33"/>
          <w:szCs w:val="33"/>
          <w:lang w:val="zh-CN"/>
        </w:rPr>
        <w:t>（三）项目监管情况。</w:t>
      </w:r>
      <w:r>
        <w:rPr>
          <w:rFonts w:hint="eastAsia" w:ascii="方正仿宋简体" w:hAnsi="Times New Roman" w:eastAsia="方正仿宋简体" w:cs="方正仿宋简体"/>
          <w:kern w:val="2"/>
          <w:sz w:val="33"/>
          <w:szCs w:val="33"/>
          <w:u w:val="none"/>
          <w:lang w:val="en-US" w:eastAsia="zh-CN" w:bidi="ar-SA"/>
        </w:rPr>
        <w:t>保证在财政批复部门预算后20日内，通过攀枝花市西区人民政府网站预决算公开统一平台公开绩效目标情况，并妥善做好解释说明工作，确保公开信息规范化、标准化，主动接受预算监督。</w:t>
      </w:r>
      <w:r>
        <w:rPr>
          <w:sz w:val="33"/>
          <w:szCs w:val="33"/>
          <w:lang w:val="zh-CN"/>
        </w:rPr>
        <w:tab/>
      </w:r>
    </w:p>
    <w:p>
      <w:pPr>
        <w:ind w:firstLine="640" w:firstLineChars="200"/>
        <w:rPr>
          <w:rFonts w:ascii="黑体" w:hAnsi="黑体" w:eastAsia="黑体"/>
          <w:sz w:val="32"/>
          <w:szCs w:val="32"/>
          <w:lang w:val="zh-CN"/>
        </w:rPr>
      </w:pPr>
      <w:r>
        <w:rPr>
          <w:rFonts w:hint="eastAsia" w:ascii="黑体" w:hAnsi="黑体" w:eastAsia="黑体"/>
          <w:sz w:val="32"/>
          <w:szCs w:val="32"/>
          <w:lang w:val="en-US" w:eastAsia="zh-CN"/>
        </w:rPr>
        <w:t>五</w:t>
      </w:r>
      <w:r>
        <w:rPr>
          <w:rFonts w:hint="eastAsia" w:ascii="黑体" w:hAnsi="黑体" w:eastAsia="黑体"/>
          <w:sz w:val="32"/>
          <w:szCs w:val="32"/>
          <w:lang w:val="zh-CN"/>
        </w:rPr>
        <w:t>、评价结论</w:t>
      </w:r>
    </w:p>
    <w:p>
      <w:pPr>
        <w:adjustRightInd w:val="0"/>
        <w:snapToGrid w:val="0"/>
        <w:spacing w:line="600" w:lineRule="exact"/>
        <w:ind w:firstLine="720"/>
        <w:rPr>
          <w:rFonts w:eastAsia="楷体_GB2312"/>
          <w:b/>
          <w:sz w:val="33"/>
          <w:szCs w:val="33"/>
          <w:lang w:val="zh-CN"/>
        </w:rPr>
      </w:pPr>
      <w:r>
        <w:rPr>
          <w:rFonts w:eastAsia="楷体_GB2312"/>
          <w:b/>
          <w:sz w:val="33"/>
          <w:szCs w:val="33"/>
          <w:lang w:val="zh-CN"/>
        </w:rPr>
        <w:t>（一）评价结论。</w:t>
      </w:r>
    </w:p>
    <w:p>
      <w:pPr>
        <w:keepNext w:val="0"/>
        <w:keepLines w:val="0"/>
        <w:pageBreakBefore w:val="0"/>
        <w:widowControl w:val="0"/>
        <w:kinsoku/>
        <w:wordWrap/>
        <w:overflowPunct/>
        <w:topLinePunct w:val="0"/>
        <w:autoSpaceDE/>
        <w:autoSpaceDN/>
        <w:bidi w:val="0"/>
        <w:adjustRightInd/>
        <w:snapToGrid/>
        <w:spacing w:line="353" w:lineRule="auto"/>
        <w:ind w:firstLine="660" w:firstLineChars="200"/>
        <w:textAlignment w:val="auto"/>
        <w:outlineLvl w:val="9"/>
        <w:rPr>
          <w:rFonts w:hint="eastAsia" w:ascii="方正仿宋简体" w:hAnsi="Times New Roman" w:eastAsia="方正仿宋简体" w:cs="方正仿宋简体"/>
          <w:kern w:val="2"/>
          <w:sz w:val="33"/>
          <w:szCs w:val="33"/>
          <w:u w:val="none"/>
          <w:lang w:val="en-US" w:eastAsia="zh-CN" w:bidi="ar-SA"/>
        </w:rPr>
      </w:pPr>
      <w:r>
        <w:rPr>
          <w:rFonts w:hint="eastAsia" w:ascii="方正仿宋简体" w:hAnsi="Times New Roman" w:eastAsia="方正仿宋简体" w:cs="方正仿宋简体"/>
          <w:kern w:val="2"/>
          <w:sz w:val="33"/>
          <w:szCs w:val="33"/>
          <w:u w:val="none"/>
          <w:lang w:val="en-US" w:eastAsia="zh-CN" w:bidi="ar-SA"/>
        </w:rPr>
        <w:t>该项目资金预期产出和效果能满足需求、不需核减预算安排、该笔资金需继续保留。综合前述评估内容来看，该项目立项必要性和依据充分，绩效目标明确，具备实施条件，具有公共性，符合财政资金支持方向等。建议予以支持，预算控制在</w:t>
      </w:r>
      <w:r>
        <w:rPr>
          <w:rFonts w:hint="eastAsia" w:ascii="方正仿宋简体" w:eastAsia="方正仿宋简体" w:cs="方正仿宋简体"/>
          <w:kern w:val="2"/>
          <w:sz w:val="33"/>
          <w:szCs w:val="33"/>
          <w:u w:val="none"/>
          <w:lang w:val="en-US" w:eastAsia="zh-CN" w:bidi="ar-SA"/>
        </w:rPr>
        <w:t>8</w:t>
      </w:r>
      <w:r>
        <w:rPr>
          <w:rFonts w:hint="eastAsia" w:ascii="方正仿宋简体" w:hAnsi="Times New Roman" w:eastAsia="方正仿宋简体" w:cs="方正仿宋简体"/>
          <w:kern w:val="2"/>
          <w:sz w:val="33"/>
          <w:szCs w:val="33"/>
          <w:u w:val="none"/>
          <w:lang w:val="en-US" w:eastAsia="zh-CN" w:bidi="ar-SA"/>
        </w:rPr>
        <w:t>万元以内。该项目申请资金总预算</w:t>
      </w:r>
      <w:r>
        <w:rPr>
          <w:rFonts w:hint="eastAsia" w:ascii="方正仿宋简体" w:eastAsia="方正仿宋简体" w:cs="方正仿宋简体"/>
          <w:kern w:val="2"/>
          <w:sz w:val="33"/>
          <w:szCs w:val="33"/>
          <w:u w:val="none"/>
          <w:lang w:val="en-US" w:eastAsia="zh-CN" w:bidi="ar-SA"/>
        </w:rPr>
        <w:t>8</w:t>
      </w:r>
      <w:r>
        <w:rPr>
          <w:rFonts w:hint="eastAsia" w:ascii="方正仿宋简体" w:hAnsi="Times New Roman" w:eastAsia="方正仿宋简体" w:cs="方正仿宋简体"/>
          <w:kern w:val="2"/>
          <w:sz w:val="33"/>
          <w:szCs w:val="33"/>
          <w:u w:val="none"/>
          <w:lang w:val="en-US" w:eastAsia="zh-CN" w:bidi="ar-SA"/>
        </w:rPr>
        <w:t>万元，经评审，建议预算申报数</w:t>
      </w:r>
      <w:r>
        <w:rPr>
          <w:rFonts w:hint="eastAsia" w:ascii="方正仿宋简体" w:eastAsia="方正仿宋简体" w:cs="方正仿宋简体"/>
          <w:kern w:val="2"/>
          <w:sz w:val="33"/>
          <w:szCs w:val="33"/>
          <w:u w:val="none"/>
          <w:lang w:val="en-US" w:eastAsia="zh-CN" w:bidi="ar-SA"/>
        </w:rPr>
        <w:t>8</w:t>
      </w:r>
      <w:r>
        <w:rPr>
          <w:rFonts w:hint="eastAsia" w:ascii="方正仿宋简体" w:hAnsi="Times New Roman" w:eastAsia="方正仿宋简体" w:cs="方正仿宋简体"/>
          <w:kern w:val="2"/>
          <w:sz w:val="33"/>
          <w:szCs w:val="33"/>
          <w:u w:val="none"/>
          <w:lang w:val="en-US" w:eastAsia="zh-CN" w:bidi="ar-SA"/>
        </w:rPr>
        <w:t>万元,我单位将进一步优化完善实施方案和绩效目标，加强运行监控，节约财政资金并提升资金效益，提升预算绩效管理水平。</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（二）存在的问题。</w:t>
      </w:r>
    </w:p>
    <w:p>
      <w:pPr>
        <w:adjustRightInd w:val="0"/>
        <w:snapToGrid w:val="0"/>
        <w:spacing w:line="600" w:lineRule="exact"/>
        <w:ind w:firstLine="640" w:firstLineChars="200"/>
        <w:rPr>
          <w:sz w:val="32"/>
          <w:szCs w:val="32"/>
          <w:lang w:val="zh-CN"/>
        </w:rPr>
      </w:pPr>
      <w:r>
        <w:rPr>
          <w:rFonts w:hint="eastAsia" w:ascii="方正仿宋简体" w:hAnsi="Times New Roman" w:eastAsia="方正仿宋简体" w:cs="方正仿宋简体"/>
          <w:kern w:val="2"/>
          <w:sz w:val="32"/>
          <w:szCs w:val="32"/>
          <w:u w:val="none"/>
          <w:lang w:val="en-US" w:eastAsia="zh-CN" w:bidi="ar-SA"/>
        </w:rPr>
        <w:t>无</w:t>
      </w:r>
      <w:r>
        <w:rPr>
          <w:rFonts w:hint="eastAsia" w:ascii="方正仿宋简体" w:hAnsi="Times New Roman" w:eastAsia="方正仿宋简体" w:cs="方正仿宋简体"/>
          <w:kern w:val="2"/>
          <w:sz w:val="32"/>
          <w:szCs w:val="32"/>
          <w:u w:val="none"/>
          <w:lang w:val="zh-CN" w:eastAsia="zh-CN" w:bidi="ar-SA"/>
        </w:rPr>
        <w:t>。</w:t>
      </w:r>
      <w:r>
        <w:rPr>
          <w:sz w:val="32"/>
          <w:szCs w:val="32"/>
          <w:lang w:val="zh-CN"/>
        </w:rPr>
        <w:tab/>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（三）相关建议。</w:t>
      </w:r>
    </w:p>
    <w:p>
      <w:pPr>
        <w:adjustRightInd w:val="0"/>
        <w:snapToGrid w:val="0"/>
        <w:spacing w:line="600" w:lineRule="exact"/>
        <w:ind w:firstLine="640" w:firstLineChars="200"/>
        <w:rPr>
          <w:rFonts w:hint="eastAsia" w:ascii="方正仿宋简体" w:hAnsi="Times New Roman" w:eastAsia="方正仿宋简体" w:cs="方正仿宋简体"/>
          <w:kern w:val="2"/>
          <w:sz w:val="32"/>
          <w:szCs w:val="32"/>
          <w:u w:val="none"/>
          <w:lang w:val="zh-CN" w:eastAsia="zh-CN" w:bidi="ar-SA"/>
        </w:rPr>
      </w:pPr>
      <w:r>
        <w:rPr>
          <w:rFonts w:hint="eastAsia" w:ascii="方正仿宋简体" w:hAnsi="Times New Roman" w:eastAsia="方正仿宋简体" w:cs="方正仿宋简体"/>
          <w:kern w:val="2"/>
          <w:sz w:val="32"/>
          <w:szCs w:val="32"/>
          <w:u w:val="none"/>
          <w:lang w:val="en-US" w:eastAsia="zh-CN" w:bidi="ar-SA"/>
        </w:rPr>
        <w:t>无</w:t>
      </w:r>
      <w:r>
        <w:rPr>
          <w:rFonts w:hint="eastAsia" w:ascii="方正仿宋简体" w:hAnsi="Times New Roman" w:eastAsia="方正仿宋简体" w:cs="方正仿宋简体"/>
          <w:kern w:val="2"/>
          <w:sz w:val="32"/>
          <w:szCs w:val="32"/>
          <w:u w:val="none"/>
          <w:lang w:val="zh-CN" w:eastAsia="zh-CN" w:bidi="ar-SA"/>
        </w:rPr>
        <w:t>。</w:t>
      </w:r>
    </w:p>
    <w:p>
      <w:pPr>
        <w:pStyle w:val="35"/>
        <w:spacing w:line="600" w:lineRule="exact"/>
        <w:jc w:val="both"/>
        <w:rPr>
          <w:rFonts w:hint="eastAsia" w:ascii="Times New Roman" w:hAnsi="Times New Roman" w:eastAsia="仿宋_GB2312"/>
          <w:b/>
          <w:bCs/>
          <w:color w:val="auto"/>
          <w:kern w:val="2"/>
          <w:sz w:val="36"/>
          <w:szCs w:val="36"/>
          <w:lang w:val="en-US" w:eastAsia="zh-CN"/>
        </w:rPr>
      </w:pPr>
    </w:p>
    <w:p>
      <w:pPr>
        <w:pStyle w:val="35"/>
        <w:spacing w:line="600" w:lineRule="exact"/>
        <w:ind w:firstLine="2168" w:firstLineChars="600"/>
        <w:jc w:val="both"/>
        <w:rPr>
          <w:rFonts w:hint="eastAsia" w:ascii="Times New Roman" w:hAnsi="Times New Roman" w:eastAsia="仿宋_GB2312"/>
          <w:b/>
          <w:bCs/>
          <w:color w:val="auto"/>
          <w:kern w:val="2"/>
          <w:sz w:val="36"/>
          <w:szCs w:val="36"/>
          <w:lang w:val="en-US" w:eastAsia="zh-CN"/>
        </w:rPr>
      </w:pPr>
      <w:r>
        <w:rPr>
          <w:rFonts w:hint="eastAsia" w:ascii="Times New Roman" w:hAnsi="Times New Roman" w:eastAsia="仿宋_GB2312"/>
          <w:b/>
          <w:bCs/>
          <w:color w:val="auto"/>
          <w:kern w:val="2"/>
          <w:sz w:val="36"/>
          <w:szCs w:val="36"/>
          <w:lang w:val="en-US" w:eastAsia="zh-CN"/>
        </w:rPr>
        <w:t>驻京驻蓉信访维稳经费</w:t>
      </w:r>
    </w:p>
    <w:p>
      <w:pPr>
        <w:pStyle w:val="35"/>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sz w:val="33"/>
          <w:szCs w:val="33"/>
          <w:lang w:val="zh-CN"/>
        </w:rPr>
      </w:pPr>
      <w:r>
        <w:rPr>
          <w:rFonts w:eastAsia="黑体"/>
          <w:sz w:val="33"/>
          <w:szCs w:val="33"/>
        </w:rPr>
        <w:t>一、</w:t>
      </w:r>
      <w:r>
        <w:rPr>
          <w:rFonts w:eastAsia="黑体"/>
          <w:sz w:val="33"/>
          <w:szCs w:val="33"/>
          <w:lang w:val="zh-CN"/>
        </w:rPr>
        <w:t>项目概况</w:t>
      </w:r>
    </w:p>
    <w:p>
      <w:pPr>
        <w:adjustRightInd w:val="0"/>
        <w:snapToGrid w:val="0"/>
        <w:spacing w:line="600" w:lineRule="exact"/>
        <w:ind w:firstLine="720"/>
        <w:rPr>
          <w:rFonts w:eastAsia="楷体_GB2312"/>
          <w:b/>
          <w:sz w:val="33"/>
          <w:szCs w:val="33"/>
          <w:lang w:val="zh-CN"/>
        </w:rPr>
      </w:pPr>
      <w:r>
        <w:rPr>
          <w:rFonts w:eastAsia="楷体_GB2312"/>
          <w:b/>
          <w:sz w:val="33"/>
          <w:szCs w:val="33"/>
          <w:lang w:val="zh-CN"/>
        </w:rPr>
        <w:t>（一）项目基本情况。</w:t>
      </w:r>
    </w:p>
    <w:p>
      <w:pPr>
        <w:adjustRightInd w:val="0"/>
        <w:snapToGrid w:val="0"/>
        <w:spacing w:line="600" w:lineRule="exact"/>
        <w:ind w:firstLine="660" w:firstLineChars="200"/>
        <w:rPr>
          <w:rFonts w:hint="eastAsia" w:ascii="方正仿宋简体" w:hAnsi="Times New Roman" w:eastAsia="方正仿宋简体" w:cs="方正仿宋简体"/>
          <w:kern w:val="2"/>
          <w:sz w:val="33"/>
          <w:szCs w:val="33"/>
          <w:u w:val="none"/>
          <w:lang w:val="en-US" w:eastAsia="zh-CN" w:bidi="ar-SA"/>
        </w:rPr>
      </w:pPr>
      <w:r>
        <w:rPr>
          <w:rFonts w:hint="eastAsia" w:ascii="方正仿宋简体" w:hAnsi="Times New Roman" w:eastAsia="方正仿宋简体" w:cs="方正仿宋简体"/>
          <w:kern w:val="2"/>
          <w:sz w:val="33"/>
          <w:szCs w:val="33"/>
          <w:u w:val="none"/>
          <w:lang w:val="en-US" w:eastAsia="zh-CN" w:bidi="ar-SA"/>
        </w:rPr>
        <w:t>1.保障做好本年度内进京赴蓉劝返工作，确保年度内无因进京赴蓉发生滋事倒流事项，保障全区和谐稳定。</w:t>
      </w:r>
    </w:p>
    <w:p>
      <w:pPr>
        <w:adjustRightInd w:val="0"/>
        <w:snapToGrid w:val="0"/>
        <w:spacing w:line="600" w:lineRule="exact"/>
        <w:ind w:firstLine="660" w:firstLineChars="200"/>
        <w:rPr>
          <w:rFonts w:hint="eastAsia" w:ascii="方正仿宋简体" w:hAnsi="Times New Roman" w:eastAsia="方正仿宋简体" w:cs="方正仿宋简体"/>
          <w:kern w:val="2"/>
          <w:sz w:val="33"/>
          <w:szCs w:val="33"/>
          <w:u w:val="none"/>
          <w:lang w:val="en-US" w:eastAsia="zh-CN" w:bidi="ar-SA"/>
        </w:rPr>
      </w:pPr>
      <w:r>
        <w:rPr>
          <w:rFonts w:hint="eastAsia" w:ascii="方正仿宋简体" w:hAnsi="Times New Roman" w:eastAsia="方正仿宋简体" w:cs="方正仿宋简体"/>
          <w:kern w:val="2"/>
          <w:sz w:val="33"/>
          <w:szCs w:val="33"/>
          <w:u w:val="none"/>
          <w:lang w:val="en-US" w:eastAsia="zh-CN" w:bidi="ar-SA"/>
        </w:rPr>
        <w:t>2.按照《关于加强驻京驻蓉信访工作的通知》（攀信联办发〔2016〕80号）文件要求，2016年8月31日，市委副秘书长徐明义组织召开了驻京驻蓉信访工作站（组）派驻人员工作会，对我市各县（区）驻京驻蓉信访工作进行安排部署。</w:t>
      </w:r>
    </w:p>
    <w:p>
      <w:pPr>
        <w:adjustRightInd w:val="0"/>
        <w:snapToGrid w:val="0"/>
        <w:spacing w:line="600" w:lineRule="exact"/>
        <w:ind w:firstLine="660" w:firstLineChars="200"/>
        <w:rPr>
          <w:rFonts w:hint="eastAsia" w:ascii="方正仿宋简体" w:hAnsi="Times New Roman" w:eastAsia="方正仿宋简体" w:cs="方正仿宋简体"/>
          <w:kern w:val="2"/>
          <w:sz w:val="33"/>
          <w:szCs w:val="33"/>
          <w:u w:val="none"/>
          <w:lang w:val="zh-CN" w:eastAsia="zh-CN" w:bidi="ar-SA"/>
        </w:rPr>
      </w:pPr>
      <w:r>
        <w:rPr>
          <w:rFonts w:hint="eastAsia" w:ascii="方正仿宋简体" w:hAnsi="Times New Roman" w:eastAsia="方正仿宋简体" w:cs="方正仿宋简体"/>
          <w:kern w:val="2"/>
          <w:sz w:val="33"/>
          <w:szCs w:val="33"/>
          <w:u w:val="none"/>
          <w:lang w:val="en-US" w:eastAsia="zh-CN" w:bidi="ar-SA"/>
        </w:rPr>
        <w:t>3.根据2024年预算编制要求，绩效评估本着真正过紧日子的原则，厉行节约、精打细算，从严从紧控制项目申报和预算安排，非必要项目和工作内容可压尽压、应压尽压，做到客观、绩效、精准。</w:t>
      </w:r>
    </w:p>
    <w:p>
      <w:pPr>
        <w:adjustRightInd w:val="0"/>
        <w:snapToGrid w:val="0"/>
        <w:spacing w:line="600" w:lineRule="exact"/>
        <w:ind w:firstLine="660" w:firstLineChars="200"/>
        <w:rPr>
          <w:rFonts w:hint="eastAsia" w:ascii="方正仿宋简体" w:hAnsi="Times New Roman" w:eastAsia="方正仿宋简体" w:cs="方正仿宋简体"/>
          <w:kern w:val="2"/>
          <w:sz w:val="33"/>
          <w:szCs w:val="33"/>
          <w:u w:val="none"/>
          <w:lang w:val="en-US" w:eastAsia="zh-CN" w:bidi="ar-SA"/>
        </w:rPr>
      </w:pPr>
      <w:r>
        <w:rPr>
          <w:rFonts w:hint="eastAsia" w:ascii="方正仿宋简体" w:hAnsi="Times New Roman" w:eastAsia="方正仿宋简体" w:cs="方正仿宋简体"/>
          <w:kern w:val="2"/>
          <w:sz w:val="33"/>
          <w:szCs w:val="33"/>
          <w:u w:val="none"/>
          <w:lang w:val="zh-CN" w:eastAsia="zh-CN" w:bidi="ar-SA"/>
        </w:rPr>
        <w:t xml:space="preserve">4. </w:t>
      </w:r>
      <w:r>
        <w:rPr>
          <w:rFonts w:hint="eastAsia" w:ascii="方正仿宋简体" w:hAnsi="Times New Roman" w:eastAsia="方正仿宋简体" w:cs="方正仿宋简体"/>
          <w:kern w:val="2"/>
          <w:sz w:val="33"/>
          <w:szCs w:val="33"/>
          <w:u w:val="none"/>
          <w:lang w:val="en-US" w:eastAsia="zh-CN" w:bidi="ar-SA"/>
        </w:rPr>
        <w:t>2022年预算安排5万元，实际执行5万元；2023年预算安排5万元，追加10万，实际执行15万元，较上年增长66%，增加的主要原因为：信访稳定工作形势严峻，不稳定群体和重点信访人员表现较为活跃，特殊敏感时期或重大活动期间，择机进京、以访施压的现象愈发突出。</w:t>
      </w:r>
    </w:p>
    <w:p>
      <w:pPr>
        <w:adjustRightInd w:val="0"/>
        <w:snapToGrid w:val="0"/>
        <w:spacing w:line="600" w:lineRule="exact"/>
        <w:ind w:firstLine="720"/>
        <w:rPr>
          <w:rFonts w:eastAsia="楷体_GB2312"/>
          <w:b/>
          <w:sz w:val="33"/>
          <w:szCs w:val="33"/>
          <w:lang w:val="zh-CN"/>
        </w:rPr>
      </w:pPr>
      <w:r>
        <w:rPr>
          <w:rFonts w:eastAsia="楷体_GB2312"/>
          <w:b/>
          <w:sz w:val="33"/>
          <w:szCs w:val="33"/>
          <w:lang w:val="zh-CN"/>
        </w:rPr>
        <w:t>（二）项目绩效目标。</w:t>
      </w:r>
    </w:p>
    <w:p>
      <w:pPr>
        <w:adjustRightInd w:val="0"/>
        <w:snapToGrid w:val="0"/>
        <w:spacing w:line="600" w:lineRule="exact"/>
        <w:ind w:firstLine="660" w:firstLineChars="200"/>
        <w:rPr>
          <w:rFonts w:hint="eastAsia" w:ascii="方正仿宋简体" w:hAnsi="Times New Roman" w:eastAsia="方正仿宋简体" w:cs="方正仿宋简体"/>
          <w:kern w:val="2"/>
          <w:sz w:val="33"/>
          <w:szCs w:val="33"/>
          <w:u w:val="none"/>
          <w:lang w:val="en-US" w:eastAsia="zh-CN" w:bidi="ar-SA"/>
        </w:rPr>
      </w:pPr>
      <w:r>
        <w:rPr>
          <w:rFonts w:hint="eastAsia" w:ascii="方正仿宋简体" w:hAnsi="Times New Roman" w:eastAsia="方正仿宋简体" w:cs="方正仿宋简体"/>
          <w:kern w:val="2"/>
          <w:sz w:val="33"/>
          <w:szCs w:val="33"/>
          <w:u w:val="none"/>
          <w:lang w:val="zh-CN" w:eastAsia="zh-CN" w:bidi="ar-SA"/>
        </w:rPr>
        <w:t>1. 项目主要内容。</w:t>
      </w:r>
      <w:r>
        <w:rPr>
          <w:rFonts w:hint="eastAsia" w:ascii="方正仿宋简体" w:hAnsi="Times New Roman" w:eastAsia="方正仿宋简体" w:cs="方正仿宋简体"/>
          <w:kern w:val="2"/>
          <w:sz w:val="33"/>
          <w:szCs w:val="33"/>
          <w:u w:val="none"/>
          <w:lang w:val="en-US" w:eastAsia="zh-CN" w:bidi="ar-SA"/>
        </w:rPr>
        <w:t>为贯彻落实《关于加强驻京驻蓉信访工作的通知》（攀信联办发〔2016〕80号）文件要求：选派政治素质高、业务能力强、工作作风实的在职在岗干部驻京开展信访工作，严格按照驻京办要求完成驻京信访值班工作。</w:t>
      </w:r>
    </w:p>
    <w:p>
      <w:pPr>
        <w:adjustRightInd w:val="0"/>
        <w:snapToGrid w:val="0"/>
        <w:spacing w:line="600" w:lineRule="exact"/>
        <w:ind w:firstLine="660" w:firstLineChars="200"/>
        <w:rPr>
          <w:rFonts w:hint="eastAsia" w:ascii="方正仿宋简体" w:hAnsi="Times New Roman" w:eastAsia="方正仿宋简体" w:cs="方正仿宋简体"/>
          <w:kern w:val="2"/>
          <w:sz w:val="33"/>
          <w:szCs w:val="33"/>
          <w:u w:val="none"/>
          <w:lang w:val="en-US" w:eastAsia="zh-CN" w:bidi="ar-SA"/>
        </w:rPr>
      </w:pPr>
      <w:r>
        <w:rPr>
          <w:rFonts w:hint="eastAsia" w:ascii="方正仿宋简体" w:hAnsi="Times New Roman" w:eastAsia="方正仿宋简体" w:cs="方正仿宋简体"/>
          <w:kern w:val="2"/>
          <w:sz w:val="33"/>
          <w:szCs w:val="33"/>
          <w:u w:val="none"/>
          <w:lang w:val="zh-CN" w:eastAsia="zh-CN" w:bidi="ar-SA"/>
        </w:rPr>
        <w:t xml:space="preserve">2. </w:t>
      </w:r>
      <w:r>
        <w:rPr>
          <w:rFonts w:hint="eastAsia" w:ascii="方正仿宋简体" w:hAnsi="Times New Roman" w:eastAsia="方正仿宋简体" w:cs="方正仿宋简体"/>
          <w:kern w:val="2"/>
          <w:sz w:val="33"/>
          <w:szCs w:val="33"/>
          <w:u w:val="none"/>
          <w:lang w:val="en-US" w:eastAsia="zh-CN" w:bidi="ar-SA"/>
        </w:rPr>
        <w:t>有效地保障本年度内上访人员进京赴蓉滋事倒流，无因进京赴蓉发生滋事倒流事项，提高群众满意度。</w:t>
      </w:r>
    </w:p>
    <w:p>
      <w:pPr>
        <w:adjustRightInd w:val="0"/>
        <w:snapToGrid w:val="0"/>
        <w:spacing w:line="600" w:lineRule="exact"/>
        <w:ind w:firstLine="660" w:firstLineChars="200"/>
        <w:rPr>
          <w:rFonts w:hint="eastAsia" w:ascii="方正仿宋简体" w:hAnsi="Times New Roman" w:eastAsia="方正仿宋简体" w:cs="方正仿宋简体"/>
          <w:kern w:val="2"/>
          <w:sz w:val="33"/>
          <w:szCs w:val="33"/>
          <w:u w:val="none"/>
          <w:lang w:val="en-US" w:eastAsia="zh-CN" w:bidi="ar-SA"/>
        </w:rPr>
      </w:pPr>
      <w:r>
        <w:rPr>
          <w:rFonts w:hint="eastAsia" w:ascii="方正仿宋简体" w:hAnsi="Times New Roman" w:eastAsia="方正仿宋简体" w:cs="方正仿宋简体"/>
          <w:kern w:val="2"/>
          <w:sz w:val="33"/>
          <w:szCs w:val="33"/>
          <w:u w:val="none"/>
          <w:lang w:val="zh-CN" w:eastAsia="zh-CN" w:bidi="ar-SA"/>
        </w:rPr>
        <w:t xml:space="preserve">3. </w:t>
      </w:r>
      <w:r>
        <w:rPr>
          <w:rFonts w:hint="eastAsia" w:ascii="方正仿宋简体" w:hAnsi="Times New Roman" w:eastAsia="方正仿宋简体" w:cs="方正仿宋简体"/>
          <w:kern w:val="2"/>
          <w:sz w:val="33"/>
          <w:szCs w:val="33"/>
          <w:u w:val="none"/>
          <w:lang w:val="en-US" w:eastAsia="zh-CN" w:bidi="ar-SA"/>
        </w:rPr>
        <w:t>根据《关于加强驻京驻蓉信访工作的通知》（攀信联办发〔2016〕80号）文件，文件明确了一是驻京信访工作。按照《关于加强驻京驻蓉信访工作的通知》（攀信联办发〔2016〕80号）文件要求，由市信访局和各县（区）轮流派人到京值班，协调处置驻京信访劝返处置工作。二是驻蓉信访工作。由攀枝花市驻成都办事处牵头，各县（区）选派人员，协调处置驻蓉信访劝返处置工作，人员选派可采用以下两种方式：安排相对固定人员长期驻守和轮流安排各县（区）抽调人员驻守相结合的方式。一是五个县（区）均安排1-2人长期在蓉驻守处理进京赴蓉上访人员工作；二是各县（区）轮流抽调1-2人协助驻蓉信访工作站开展群众信访劝返分流处置工作，每期两个县区、两个月两个人轮换。</w:t>
      </w:r>
    </w:p>
    <w:p>
      <w:pPr>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二、评价实施</w:t>
      </w:r>
    </w:p>
    <w:p>
      <w:pPr>
        <w:adjustRightInd w:val="0"/>
        <w:snapToGrid w:val="0"/>
        <w:spacing w:line="600" w:lineRule="exact"/>
        <w:ind w:firstLine="643" w:firstLineChars="200"/>
        <w:rPr>
          <w:rFonts w:hint="eastAsia" w:ascii="方正仿宋简体" w:eastAsia="方正仿宋简体" w:cs="方正仿宋简体"/>
          <w:sz w:val="33"/>
          <w:szCs w:val="33"/>
          <w:u w:val="none"/>
          <w:lang w:val="zh-CN" w:eastAsia="zh-CN"/>
        </w:rPr>
      </w:pPr>
      <w:r>
        <w:rPr>
          <w:rFonts w:hint="eastAsia" w:ascii="楷体_GB2312" w:eastAsia="楷体_GB2312"/>
          <w:b/>
          <w:sz w:val="32"/>
          <w:szCs w:val="32"/>
          <w:lang w:val="zh-CN"/>
        </w:rPr>
        <w:t>（一）评价目的。</w:t>
      </w:r>
      <w:r>
        <w:rPr>
          <w:rFonts w:hint="eastAsia" w:ascii="方正仿宋简体" w:eastAsia="方正仿宋简体" w:cs="方正仿宋简体"/>
          <w:sz w:val="33"/>
          <w:szCs w:val="33"/>
          <w:u w:val="none"/>
          <w:lang w:val="zh-CN" w:eastAsia="zh-CN"/>
        </w:rPr>
        <w:t>20</w:t>
      </w:r>
      <w:r>
        <w:rPr>
          <w:rFonts w:hint="eastAsia" w:ascii="方正仿宋简体" w:eastAsia="方正仿宋简体" w:cs="方正仿宋简体"/>
          <w:sz w:val="33"/>
          <w:szCs w:val="33"/>
          <w:u w:val="none"/>
          <w:lang w:val="en-US" w:eastAsia="zh-CN"/>
        </w:rPr>
        <w:t>23</w:t>
      </w:r>
      <w:r>
        <w:rPr>
          <w:rFonts w:hint="eastAsia" w:ascii="方正仿宋简体" w:eastAsia="方正仿宋简体" w:cs="方正仿宋简体"/>
          <w:sz w:val="33"/>
          <w:szCs w:val="33"/>
          <w:u w:val="none"/>
          <w:lang w:val="zh-CN" w:eastAsia="zh-CN"/>
        </w:rPr>
        <w:t>年度项目绩效评估工作通过线上与线下相结合方式开展。按照有关规定和工作安排，我单位开展自行评估，通过自行成立组建评估组，通过收集被评估项目相关基础资料，并查阅资料、收集数据信息等，深入论证分析后，形成绩效评估报告。</w:t>
      </w:r>
    </w:p>
    <w:p>
      <w:pPr>
        <w:adjustRightInd w:val="0"/>
        <w:snapToGrid w:val="0"/>
        <w:spacing w:line="600" w:lineRule="exact"/>
        <w:ind w:firstLine="643" w:firstLineChars="200"/>
        <w:rPr>
          <w:rFonts w:hint="eastAsia" w:ascii="方正仿宋简体" w:eastAsia="方正仿宋简体" w:cs="方正仿宋简体"/>
          <w:sz w:val="33"/>
          <w:szCs w:val="33"/>
          <w:u w:val="none"/>
          <w:lang w:val="zh-CN" w:eastAsia="zh-CN"/>
        </w:rPr>
      </w:pPr>
      <w:r>
        <w:rPr>
          <w:rFonts w:hint="eastAsia" w:ascii="楷体_GB2312" w:eastAsia="楷体_GB2312"/>
          <w:b/>
          <w:sz w:val="32"/>
          <w:szCs w:val="32"/>
          <w:lang w:val="zh-CN"/>
        </w:rPr>
        <w:t>（二）预设问题及评价重点。</w:t>
      </w:r>
      <w:r>
        <w:rPr>
          <w:rFonts w:hint="eastAsia" w:ascii="方正仿宋简体" w:eastAsia="方正仿宋简体" w:cs="方正仿宋简体"/>
          <w:sz w:val="33"/>
          <w:szCs w:val="33"/>
          <w:u w:val="none"/>
          <w:lang w:val="zh-CN" w:eastAsia="zh-CN"/>
        </w:rPr>
        <w:t>本项目通过现场踏勘、与项目相关人员座谈或讨论、聘请相关专业专家、市场调研等方法了解项目情况，收集相关资料，综合分析相关情况后，对项目的立项必要性、投入经济性、目标合理性、方案可行性以及筹资合规性实施评估。</w:t>
      </w:r>
    </w:p>
    <w:p>
      <w:pPr>
        <w:snapToGrid w:val="0"/>
        <w:spacing w:line="600" w:lineRule="exact"/>
        <w:ind w:firstLine="643" w:firstLineChars="200"/>
        <w:jc w:val="left"/>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b/>
          <w:sz w:val="32"/>
          <w:szCs w:val="32"/>
          <w:lang w:val="zh-CN"/>
        </w:rPr>
        <w:t>（三）</w:t>
      </w:r>
      <w:r>
        <w:rPr>
          <w:rFonts w:ascii="楷体_GB2312" w:hAnsi="Times New Roman" w:eastAsia="楷体_GB2312"/>
          <w:b/>
          <w:sz w:val="33"/>
          <w:szCs w:val="33"/>
          <w:u w:val="none"/>
        </w:rPr>
        <w:t>评估程序</w:t>
      </w:r>
      <w:r>
        <w:rPr>
          <w:rFonts w:hint="eastAsia" w:ascii="方正仿宋简体" w:hAnsi="Times New Roman" w:eastAsia="方正仿宋简体" w:cs="方正仿宋简体"/>
          <w:kern w:val="2"/>
          <w:sz w:val="33"/>
          <w:szCs w:val="33"/>
          <w:u w:val="none"/>
          <w:lang w:val="zh-CN" w:eastAsia="zh-CN" w:bidi="ar-SA"/>
        </w:rPr>
        <w:t>20</w:t>
      </w:r>
      <w:r>
        <w:rPr>
          <w:rFonts w:hint="eastAsia" w:ascii="方正仿宋简体" w:hAnsi="Times New Roman" w:eastAsia="方正仿宋简体" w:cs="方正仿宋简体"/>
          <w:kern w:val="2"/>
          <w:sz w:val="33"/>
          <w:szCs w:val="33"/>
          <w:u w:val="none"/>
          <w:lang w:val="en-US" w:eastAsia="zh-CN" w:bidi="ar-SA"/>
        </w:rPr>
        <w:t>2</w:t>
      </w:r>
      <w:r>
        <w:rPr>
          <w:rFonts w:hint="eastAsia" w:ascii="方正仿宋简体" w:eastAsia="方正仿宋简体" w:cs="方正仿宋简体"/>
          <w:kern w:val="2"/>
          <w:sz w:val="33"/>
          <w:szCs w:val="33"/>
          <w:u w:val="none"/>
          <w:lang w:val="en-US" w:eastAsia="zh-CN" w:bidi="ar-SA"/>
        </w:rPr>
        <w:t>3</w:t>
      </w:r>
      <w:r>
        <w:rPr>
          <w:rFonts w:hint="eastAsia" w:ascii="方正仿宋简体" w:hAnsi="Times New Roman" w:eastAsia="方正仿宋简体" w:cs="方正仿宋简体"/>
          <w:kern w:val="2"/>
          <w:sz w:val="33"/>
          <w:szCs w:val="33"/>
          <w:u w:val="none"/>
          <w:lang w:val="zh-CN" w:eastAsia="zh-CN" w:bidi="ar-SA"/>
        </w:rPr>
        <w:t>年度预算项目绩效评估工作通过线上与线下相结合方式开展。按照有关规定和工作安排，我单位开展自行评估，通过自行成立组建评估组，通过收集被评估项目相关基础资料，并查阅资料、收集数据信息等，深入论证分析后，形成绩效评估报告。</w:t>
      </w:r>
    </w:p>
    <w:p>
      <w:pPr>
        <w:snapToGrid w:val="0"/>
        <w:spacing w:line="600" w:lineRule="exact"/>
        <w:ind w:firstLine="663" w:firstLineChars="200"/>
        <w:jc w:val="left"/>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b/>
          <w:sz w:val="33"/>
          <w:szCs w:val="33"/>
          <w:u w:val="none"/>
          <w:lang w:eastAsia="zh-CN"/>
        </w:rPr>
        <w:t>（</w:t>
      </w:r>
      <w:r>
        <w:rPr>
          <w:rFonts w:hint="eastAsia" w:ascii="楷体_GB2312" w:eastAsia="楷体_GB2312"/>
          <w:b/>
          <w:sz w:val="33"/>
          <w:szCs w:val="33"/>
          <w:u w:val="none"/>
          <w:lang w:val="en-US" w:eastAsia="zh-CN"/>
        </w:rPr>
        <w:t>四</w:t>
      </w:r>
      <w:r>
        <w:rPr>
          <w:rFonts w:hint="eastAsia" w:ascii="楷体_GB2312" w:eastAsia="楷体_GB2312"/>
          <w:b/>
          <w:sz w:val="33"/>
          <w:szCs w:val="33"/>
          <w:u w:val="none"/>
          <w:lang w:eastAsia="zh-CN"/>
        </w:rPr>
        <w:t>）</w:t>
      </w:r>
      <w:r>
        <w:rPr>
          <w:rFonts w:hint="eastAsia" w:ascii="楷体_GB2312" w:hAnsi="Times New Roman" w:eastAsia="楷体_GB2312"/>
          <w:b/>
          <w:sz w:val="33"/>
          <w:szCs w:val="33"/>
          <w:u w:val="none"/>
        </w:rPr>
        <w:t>评估方法</w:t>
      </w:r>
      <w:r>
        <w:rPr>
          <w:rFonts w:hint="eastAsia" w:ascii="方正仿宋简体" w:hAnsi="Times New Roman" w:eastAsia="方正仿宋简体" w:cs="方正仿宋简体"/>
          <w:kern w:val="2"/>
          <w:sz w:val="33"/>
          <w:szCs w:val="33"/>
          <w:u w:val="none"/>
          <w:lang w:val="zh-CN" w:eastAsia="zh-CN" w:bidi="ar-SA"/>
        </w:rPr>
        <w:t>本项目通过现场踏勘、与项目相关人员座谈或讨论、聘请相关专业专家、市场调研等方法了解项目情况，收集相关资料，综合分析相关情况后，对项目的立项必要性、投入经济性、目标合理性、方案可行性以及筹资合规性实施评估。</w:t>
      </w:r>
    </w:p>
    <w:p>
      <w:pPr>
        <w:snapToGrid w:val="0"/>
        <w:spacing w:line="600" w:lineRule="exact"/>
        <w:ind w:firstLine="643" w:firstLineChars="200"/>
        <w:jc w:val="left"/>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b/>
          <w:color w:val="auto"/>
          <w:sz w:val="32"/>
          <w:szCs w:val="32"/>
          <w:lang w:val="zh-CN"/>
        </w:rPr>
        <w:t>（</w:t>
      </w:r>
      <w:r>
        <w:rPr>
          <w:rFonts w:hint="eastAsia" w:ascii="楷体_GB2312" w:eastAsia="楷体_GB2312"/>
          <w:b/>
          <w:color w:val="auto"/>
          <w:sz w:val="32"/>
          <w:szCs w:val="32"/>
          <w:lang w:val="en-US" w:eastAsia="zh-CN"/>
        </w:rPr>
        <w:t>五</w:t>
      </w:r>
      <w:r>
        <w:rPr>
          <w:rFonts w:hint="eastAsia" w:ascii="楷体_GB2312" w:eastAsia="楷体_GB2312"/>
          <w:b/>
          <w:color w:val="auto"/>
          <w:sz w:val="32"/>
          <w:szCs w:val="32"/>
          <w:lang w:val="zh-CN"/>
        </w:rPr>
        <w:t>）评价组织。</w:t>
      </w:r>
      <w:r>
        <w:rPr>
          <w:rFonts w:hint="eastAsia" w:ascii="楷体_GB2312" w:eastAsia="楷体_GB2312"/>
          <w:b/>
          <w:color w:val="auto"/>
          <w:sz w:val="32"/>
          <w:szCs w:val="32"/>
          <w:lang w:val="en-US" w:eastAsia="zh-CN"/>
        </w:rPr>
        <w:t>成立绩效评价小组，</w:t>
      </w:r>
      <w:r>
        <w:rPr>
          <w:rFonts w:hint="eastAsia" w:ascii="方正仿宋简体" w:hAnsi="Times New Roman" w:eastAsia="方正仿宋简体" w:cs="方正仿宋简体"/>
          <w:kern w:val="2"/>
          <w:sz w:val="33"/>
          <w:szCs w:val="33"/>
          <w:u w:val="none"/>
          <w:lang w:val="en-US" w:eastAsia="zh-CN" w:bidi="ar-SA"/>
        </w:rPr>
        <w:t>局长担任组长</w:t>
      </w:r>
      <w:r>
        <w:rPr>
          <w:rFonts w:hint="eastAsia" w:ascii="方正仿宋简体" w:hAnsi="Times New Roman" w:eastAsia="方正仿宋简体" w:cs="方正仿宋简体"/>
          <w:kern w:val="2"/>
          <w:sz w:val="33"/>
          <w:szCs w:val="33"/>
          <w:u w:val="none"/>
          <w:lang w:val="zh-CN" w:eastAsia="zh-CN" w:bidi="ar-SA"/>
        </w:rPr>
        <w:t>负责统一部署和管理绩效考核工作，对各部门负责人进行绩效考核评价，对各部门的考核结果进行审核，</w:t>
      </w:r>
      <w:r>
        <w:rPr>
          <w:rFonts w:hint="eastAsia" w:ascii="方正仿宋简体" w:eastAsia="方正仿宋简体" w:cs="方正仿宋简体"/>
          <w:kern w:val="2"/>
          <w:sz w:val="33"/>
          <w:szCs w:val="33"/>
          <w:u w:val="none"/>
          <w:lang w:val="en-US" w:eastAsia="zh-CN" w:bidi="ar-SA"/>
        </w:rPr>
        <w:t>及工作</w:t>
      </w:r>
      <w:r>
        <w:rPr>
          <w:rFonts w:hint="eastAsia" w:ascii="方正仿宋简体" w:hAnsi="Times New Roman" w:eastAsia="方正仿宋简体" w:cs="方正仿宋简体"/>
          <w:kern w:val="2"/>
          <w:sz w:val="33"/>
          <w:szCs w:val="33"/>
          <w:u w:val="none"/>
          <w:lang w:val="zh-CN" w:eastAsia="zh-CN" w:bidi="ar-SA"/>
        </w:rPr>
        <w:t>指导，促进整体绩效目标的达成和提高。</w:t>
      </w:r>
      <w:r>
        <w:rPr>
          <w:rFonts w:hint="eastAsia" w:ascii="方正仿宋简体" w:hAnsi="Times New Roman" w:eastAsia="方正仿宋简体" w:cs="方正仿宋简体"/>
          <w:kern w:val="2"/>
          <w:sz w:val="33"/>
          <w:szCs w:val="33"/>
          <w:u w:val="none"/>
          <w:lang w:val="en-US" w:eastAsia="zh-CN" w:bidi="ar-SA"/>
        </w:rPr>
        <w:t>副局长及中心主任担任副组长</w:t>
      </w:r>
      <w:r>
        <w:rPr>
          <w:rFonts w:hint="eastAsia" w:ascii="方正仿宋简体" w:eastAsia="方正仿宋简体" w:cs="方正仿宋简体"/>
          <w:kern w:val="2"/>
          <w:sz w:val="33"/>
          <w:szCs w:val="33"/>
          <w:u w:val="none"/>
          <w:lang w:val="en-US" w:eastAsia="zh-CN" w:bidi="ar-SA"/>
        </w:rPr>
        <w:t>，</w:t>
      </w:r>
      <w:r>
        <w:rPr>
          <w:rFonts w:hint="eastAsia" w:ascii="方正仿宋简体" w:hAnsi="Times New Roman" w:eastAsia="方正仿宋简体" w:cs="方正仿宋简体"/>
          <w:kern w:val="2"/>
          <w:sz w:val="33"/>
          <w:szCs w:val="33"/>
          <w:u w:val="none"/>
          <w:lang w:val="zh-CN" w:eastAsia="zh-CN" w:bidi="ar-SA"/>
        </w:rPr>
        <w:t>负责依据考评原则和考评程序，对所属部门员工进行绩效考核评价。及时与员工进行考评沟通，提供必要的反馈和指导。</w:t>
      </w:r>
    </w:p>
    <w:p>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pPr>
        <w:ind w:firstLine="640" w:firstLineChars="200"/>
        <w:rPr>
          <w:rFonts w:hint="eastAsia" w:ascii="方正仿宋简体" w:hAnsi="Times New Roman" w:eastAsia="方正仿宋简体" w:cs="方正仿宋简体"/>
          <w:sz w:val="33"/>
          <w:szCs w:val="33"/>
          <w:u w:val="none"/>
          <w:lang w:val="zh-CN" w:eastAsia="zh-CN"/>
        </w:rPr>
      </w:pPr>
      <w:r>
        <w:rPr>
          <w:rFonts w:hint="eastAsia" w:eastAsia="仿宋_GB2312"/>
          <w:sz w:val="32"/>
          <w:szCs w:val="32"/>
          <w:lang w:val="zh-CN"/>
        </w:rPr>
        <w:t>根</w:t>
      </w:r>
      <w:r>
        <w:rPr>
          <w:rFonts w:hint="eastAsia" w:ascii="方正仿宋简体" w:hAnsi="Times New Roman" w:eastAsia="方正仿宋简体" w:cs="方正仿宋简体"/>
          <w:sz w:val="33"/>
          <w:szCs w:val="33"/>
          <w:u w:val="none"/>
          <w:lang w:val="zh-CN" w:eastAsia="zh-CN"/>
        </w:rPr>
        <w:t>据项目预算绩效评价指标体系“通用指标”“专用指标”“个性指标”涉及二、三级指标进行逐项绩效分析并评分。</w:t>
      </w:r>
    </w:p>
    <w:p>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pPr>
        <w:adjustRightInd w:val="0"/>
        <w:snapToGrid w:val="0"/>
        <w:spacing w:line="560" w:lineRule="exact"/>
        <w:ind w:firstLine="640" w:firstLineChars="200"/>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sz w:val="32"/>
          <w:szCs w:val="32"/>
          <w:lang w:val="zh-CN"/>
        </w:rPr>
        <w:t>1.项目决策。</w:t>
      </w:r>
      <w:r>
        <w:rPr>
          <w:rFonts w:hint="eastAsia" w:ascii="方正仿宋简体" w:hAnsi="Times New Roman" w:eastAsia="方正仿宋简体" w:cs="方正仿宋简体"/>
          <w:kern w:val="2"/>
          <w:sz w:val="33"/>
          <w:szCs w:val="33"/>
          <w:u w:val="none"/>
          <w:lang w:val="en-US" w:eastAsia="zh-CN" w:bidi="ar-SA"/>
        </w:rPr>
        <w:t>该笔资金来源渠道的合法合规，评估内容具有公共性，属于公共财政支持范围，筹资渠道符合法律法规规定，筹资结构合理，资金来源渠道明确。</w:t>
      </w:r>
    </w:p>
    <w:p>
      <w:pPr>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outlineLvl w:val="9"/>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sz w:val="32"/>
          <w:szCs w:val="32"/>
          <w:lang w:val="zh-CN"/>
        </w:rPr>
        <w:t>2.项目管理。</w:t>
      </w:r>
      <w:r>
        <w:rPr>
          <w:rFonts w:hint="eastAsia" w:ascii="方正仿宋简体" w:hAnsi="Times New Roman" w:eastAsia="方正仿宋简体" w:cs="方正仿宋简体"/>
          <w:kern w:val="2"/>
          <w:sz w:val="33"/>
          <w:szCs w:val="33"/>
          <w:u w:val="none"/>
          <w:lang w:val="en-US" w:eastAsia="zh-CN" w:bidi="ar-SA"/>
        </w:rPr>
        <w:t>严格按照批复的支出预算执行，对人员经费严格按照上级的有关政策规定执行，无擅自扩大开支范围和提高开支标准情况。项目支出严格按照批复的项目和用途使用，无自行改变项目内容及扩大使用范围情况，保证专款专用，无截留、挪用专项资金情况。</w:t>
      </w:r>
    </w:p>
    <w:p>
      <w:pPr>
        <w:ind w:firstLine="640" w:firstLineChars="200"/>
        <w:rPr>
          <w:rFonts w:hint="eastAsia" w:ascii="方正仿宋简体" w:hAnsi="Times New Roman" w:eastAsia="方正仿宋简体" w:cs="方正仿宋简体"/>
          <w:kern w:val="2"/>
          <w:sz w:val="33"/>
          <w:szCs w:val="33"/>
          <w:u w:val="none"/>
          <w:lang w:val="en-US" w:eastAsia="zh-CN" w:bidi="ar-SA"/>
        </w:rPr>
      </w:pPr>
      <w:r>
        <w:rPr>
          <w:rFonts w:hint="eastAsia" w:ascii="楷体_GB2312" w:eastAsia="楷体_GB2312"/>
          <w:sz w:val="32"/>
          <w:szCs w:val="32"/>
          <w:lang w:val="zh-CN"/>
        </w:rPr>
        <w:t>3.项目实施。</w:t>
      </w:r>
      <w:r>
        <w:rPr>
          <w:rFonts w:hint="eastAsia" w:ascii="方正仿宋简体" w:hAnsi="Times New Roman" w:eastAsia="方正仿宋简体" w:cs="方正仿宋简体"/>
          <w:kern w:val="2"/>
          <w:sz w:val="33"/>
          <w:szCs w:val="33"/>
          <w:u w:val="none"/>
          <w:lang w:val="en-US" w:eastAsia="zh-CN" w:bidi="ar-SA"/>
        </w:rPr>
        <w:t>保证在财政批复部门预算后20日内，通过攀枝花市西区人民政府网站预决算公开统一平台公开绩效目标情况，并妥善做好解释说明工作，确保公开信息规范化、标准化，主动接受预算监督。</w:t>
      </w:r>
    </w:p>
    <w:p>
      <w:pPr>
        <w:adjustRightInd w:val="0"/>
        <w:snapToGrid w:val="0"/>
        <w:spacing w:line="600" w:lineRule="exact"/>
        <w:ind w:firstLine="720"/>
        <w:rPr>
          <w:rFonts w:eastAsia="仿宋_GB2312"/>
          <w:sz w:val="32"/>
          <w:szCs w:val="32"/>
          <w:lang w:val="zh-CN"/>
        </w:rPr>
      </w:pPr>
      <w:r>
        <w:rPr>
          <w:rFonts w:hint="eastAsia" w:ascii="楷体_GB2312" w:eastAsia="楷体_GB2312"/>
          <w:sz w:val="32"/>
          <w:szCs w:val="32"/>
          <w:lang w:val="zh-CN"/>
        </w:rPr>
        <w:t>4.项目结果。</w:t>
      </w:r>
      <w:r>
        <w:rPr>
          <w:rFonts w:hint="eastAsia"/>
          <w:lang w:val="en-US" w:eastAsia="zh-CN"/>
        </w:rPr>
        <w:t xml:space="preserve"> </w:t>
      </w:r>
      <w:r>
        <w:rPr>
          <w:rFonts w:hint="eastAsia" w:ascii="方正仿宋简体" w:hAnsi="Times New Roman" w:eastAsia="方正仿宋简体" w:cs="方正仿宋简体"/>
          <w:kern w:val="2"/>
          <w:sz w:val="33"/>
          <w:szCs w:val="33"/>
          <w:u w:val="none"/>
          <w:lang w:val="en-US" w:eastAsia="zh-CN" w:bidi="ar-SA"/>
        </w:rPr>
        <w:t>该项目资金</w:t>
      </w:r>
      <w:r>
        <w:rPr>
          <w:rFonts w:hint="eastAsia" w:ascii="方正仿宋简体" w:hAnsi="Times New Roman" w:eastAsia="方正仿宋简体" w:cs="方正仿宋简体"/>
          <w:sz w:val="33"/>
          <w:szCs w:val="33"/>
          <w:u w:val="none"/>
          <w:lang w:val="en-US" w:eastAsia="zh-CN"/>
        </w:rPr>
        <w:t>年初预算</w:t>
      </w:r>
      <w:r>
        <w:rPr>
          <w:rFonts w:hint="eastAsia" w:ascii="方正仿宋简体" w:eastAsia="方正仿宋简体" w:cs="方正仿宋简体"/>
          <w:sz w:val="33"/>
          <w:szCs w:val="33"/>
          <w:u w:val="none"/>
          <w:lang w:val="en-US" w:eastAsia="zh-CN"/>
        </w:rPr>
        <w:t>5</w:t>
      </w:r>
      <w:r>
        <w:rPr>
          <w:rFonts w:hint="eastAsia" w:ascii="方正仿宋简体" w:hAnsi="Times New Roman" w:eastAsia="方正仿宋简体" w:cs="方正仿宋简体"/>
          <w:sz w:val="33"/>
          <w:szCs w:val="33"/>
          <w:u w:val="none"/>
          <w:lang w:val="en-US" w:eastAsia="zh-CN"/>
        </w:rPr>
        <w:t>万元，区财政已及时拨付到位，</w:t>
      </w:r>
      <w:r>
        <w:rPr>
          <w:rFonts w:hint="eastAsia" w:ascii="方正仿宋简体" w:eastAsia="方正仿宋简体" w:cs="方正仿宋简体"/>
          <w:sz w:val="33"/>
          <w:szCs w:val="33"/>
          <w:u w:val="none"/>
          <w:lang w:val="en-US" w:eastAsia="zh-CN"/>
        </w:rPr>
        <w:t>追加10万，</w:t>
      </w:r>
      <w:r>
        <w:rPr>
          <w:rFonts w:hint="eastAsia" w:ascii="方正仿宋简体" w:hAnsi="Times New Roman" w:eastAsia="方正仿宋简体" w:cs="方正仿宋简体"/>
          <w:sz w:val="33"/>
          <w:szCs w:val="33"/>
          <w:u w:val="none"/>
          <w:lang w:val="en-US" w:eastAsia="zh-CN"/>
        </w:rPr>
        <w:t>全年完成数</w:t>
      </w:r>
      <w:r>
        <w:rPr>
          <w:rFonts w:hint="eastAsia" w:ascii="方正仿宋简体" w:eastAsia="方正仿宋简体" w:cs="方正仿宋简体"/>
          <w:sz w:val="33"/>
          <w:szCs w:val="33"/>
          <w:u w:val="none"/>
          <w:lang w:val="en-US" w:eastAsia="zh-CN"/>
        </w:rPr>
        <w:t>15</w:t>
      </w:r>
      <w:r>
        <w:rPr>
          <w:rFonts w:hint="eastAsia" w:ascii="方正仿宋简体" w:hAnsi="Times New Roman" w:eastAsia="方正仿宋简体" w:cs="方正仿宋简体"/>
          <w:sz w:val="33"/>
          <w:szCs w:val="33"/>
          <w:u w:val="none"/>
          <w:lang w:val="en-US" w:eastAsia="zh-CN"/>
        </w:rPr>
        <w:t>万元。该</w:t>
      </w:r>
      <w:r>
        <w:rPr>
          <w:rFonts w:hint="eastAsia" w:ascii="方正仿宋简体" w:hAnsi="Times New Roman" w:eastAsia="方正仿宋简体" w:cs="方正仿宋简体"/>
          <w:sz w:val="33"/>
          <w:szCs w:val="33"/>
          <w:u w:val="none"/>
          <w:lang w:val="zh-CN" w:eastAsia="zh-CN"/>
        </w:rPr>
        <w:t>项目</w:t>
      </w:r>
      <w:r>
        <w:rPr>
          <w:rFonts w:hint="eastAsia" w:ascii="方正仿宋简体" w:hAnsi="Times New Roman" w:eastAsia="方正仿宋简体" w:cs="方正仿宋简体"/>
          <w:kern w:val="2"/>
          <w:sz w:val="33"/>
          <w:szCs w:val="33"/>
          <w:u w:val="none"/>
          <w:lang w:val="zh-CN" w:eastAsia="zh-CN" w:bidi="ar-SA"/>
        </w:rPr>
        <w:t>实施财务管理制度健全，严格执行财务管理制度，账务处理及时，会计核算规范。</w:t>
      </w:r>
    </w:p>
    <w:p>
      <w:pPr>
        <w:ind w:firstLine="643" w:firstLineChars="200"/>
        <w:rPr>
          <w:sz w:val="33"/>
          <w:szCs w:val="33"/>
          <w:lang w:val="zh-CN"/>
        </w:rPr>
      </w:pPr>
      <w:r>
        <w:rPr>
          <w:rFonts w:hint="eastAsia" w:ascii="楷体_GB2312" w:hAnsi="Times New Roman" w:eastAsia="楷体_GB2312" w:cs="Times New Roman"/>
          <w:b/>
          <w:sz w:val="32"/>
          <w:szCs w:val="32"/>
          <w:lang w:val="zh-CN"/>
        </w:rPr>
        <w:t>（二）个性指标</w:t>
      </w:r>
      <w:r>
        <w:rPr>
          <w:rFonts w:hint="eastAsia" w:ascii="楷体_GB2312" w:eastAsia="楷体_GB2312"/>
          <w:b/>
          <w:sz w:val="32"/>
          <w:szCs w:val="32"/>
          <w:lang w:val="zh-CN"/>
        </w:rPr>
        <w:t>绩效分析。</w:t>
      </w:r>
    </w:p>
    <w:p>
      <w:pPr>
        <w:snapToGrid w:val="0"/>
        <w:spacing w:line="600" w:lineRule="atLeast"/>
        <w:jc w:val="center"/>
        <w:rPr>
          <w:rFonts w:ascii="宋体" w:hAnsi="宋体" w:eastAsia="宋体"/>
          <w:b/>
          <w:sz w:val="28"/>
          <w:szCs w:val="28"/>
          <w:u w:val="none"/>
        </w:rPr>
      </w:pPr>
      <w:r>
        <w:rPr>
          <w:rFonts w:hint="eastAsia" w:ascii="宋体" w:hAnsi="宋体" w:eastAsia="宋体"/>
          <w:b/>
          <w:sz w:val="28"/>
          <w:szCs w:val="28"/>
          <w:u w:val="none"/>
        </w:rPr>
        <w:t>攀枝花市西区区级驻京驻蓉信访维稳经费</w:t>
      </w:r>
      <w:r>
        <w:rPr>
          <w:rFonts w:ascii="宋体" w:hAnsi="宋体" w:eastAsia="宋体"/>
          <w:b/>
          <w:sz w:val="28"/>
          <w:szCs w:val="28"/>
          <w:u w:val="none"/>
        </w:rPr>
        <w:t>绩效</w:t>
      </w:r>
      <w:r>
        <w:rPr>
          <w:rFonts w:hint="eastAsia" w:ascii="宋体" w:hAnsi="宋体" w:eastAsia="宋体"/>
          <w:b/>
          <w:sz w:val="28"/>
          <w:szCs w:val="28"/>
          <w:u w:val="none"/>
        </w:rPr>
        <w:t>目标</w:t>
      </w:r>
      <w:r>
        <w:rPr>
          <w:rFonts w:ascii="宋体" w:hAnsi="宋体" w:eastAsia="宋体"/>
          <w:b/>
          <w:sz w:val="28"/>
          <w:szCs w:val="28"/>
          <w:u w:val="none"/>
        </w:rPr>
        <w:t>表</w:t>
      </w:r>
    </w:p>
    <w:p>
      <w:pPr>
        <w:pStyle w:val="2"/>
      </w:pPr>
    </w:p>
    <w:tbl>
      <w:tblPr>
        <w:tblStyle w:val="16"/>
        <w:tblW w:w="9291" w:type="dxa"/>
        <w:tblInd w:w="15" w:type="dxa"/>
        <w:tblLayout w:type="fixed"/>
        <w:tblCellMar>
          <w:top w:w="0" w:type="dxa"/>
          <w:left w:w="0" w:type="dxa"/>
          <w:bottom w:w="0" w:type="dxa"/>
          <w:right w:w="0" w:type="dxa"/>
        </w:tblCellMar>
      </w:tblPr>
      <w:tblGrid>
        <w:gridCol w:w="1101"/>
        <w:gridCol w:w="1365"/>
        <w:gridCol w:w="2220"/>
        <w:gridCol w:w="4605"/>
      </w:tblGrid>
      <w:tr>
        <w:tblPrEx>
          <w:tblLayout w:type="fixed"/>
          <w:tblCellMar>
            <w:top w:w="0" w:type="dxa"/>
            <w:left w:w="0" w:type="dxa"/>
            <w:bottom w:w="0" w:type="dxa"/>
            <w:right w:w="0" w:type="dxa"/>
          </w:tblCellMar>
        </w:tblPrEx>
        <w:trPr>
          <w:trHeight w:val="340" w:hRule="atLeast"/>
        </w:trPr>
        <w:tc>
          <w:tcPr>
            <w:tcW w:w="11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绩效指标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一级指标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二级指标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三级指标</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完成指标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数量指标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本年度内进京赴蓉信访事项</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79"/>
              </w:tabs>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b/>
            </w:r>
            <w:r>
              <w:rPr>
                <w:rFonts w:hint="eastAsia" w:ascii="宋体" w:hAnsi="宋体" w:eastAsia="宋体" w:cs="宋体"/>
                <w:i w:val="0"/>
                <w:color w:val="000000"/>
                <w:kern w:val="0"/>
                <w:sz w:val="20"/>
                <w:szCs w:val="20"/>
                <w:u w:val="none"/>
                <w:lang w:val="en-US" w:eastAsia="zh-CN" w:bidi="ar"/>
              </w:rPr>
              <w:t xml:space="preserve">  质量指标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确保年度内无滋事倒流情况</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时效指标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全年</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成本指标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150000</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效益指标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社会效益指标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保障全区和谐稳定</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满意度指标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服务对象满意度指标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w:t>
            </w:r>
          </w:p>
        </w:tc>
      </w:tr>
    </w:tbl>
    <w:p>
      <w:pPr>
        <w:adjustRightInd w:val="0"/>
        <w:snapToGrid w:val="0"/>
        <w:spacing w:line="600" w:lineRule="exact"/>
        <w:ind w:firstLine="660" w:firstLineChars="200"/>
        <w:rPr>
          <w:rFonts w:eastAsia="黑体"/>
          <w:sz w:val="33"/>
          <w:szCs w:val="33"/>
        </w:rPr>
      </w:pPr>
      <w:r>
        <w:rPr>
          <w:rFonts w:hint="eastAsia" w:eastAsia="黑体"/>
          <w:sz w:val="33"/>
          <w:szCs w:val="33"/>
          <w:lang w:val="en-US" w:eastAsia="zh-CN"/>
        </w:rPr>
        <w:t>四</w:t>
      </w:r>
      <w:r>
        <w:rPr>
          <w:rFonts w:eastAsia="黑体"/>
          <w:sz w:val="33"/>
          <w:szCs w:val="33"/>
        </w:rPr>
        <w:t>、项目实施及管理情况</w:t>
      </w:r>
    </w:p>
    <w:p>
      <w:pPr>
        <w:adjustRightInd w:val="0"/>
        <w:snapToGrid w:val="0"/>
        <w:spacing w:line="560" w:lineRule="exact"/>
        <w:ind w:firstLine="663" w:firstLineChars="200"/>
        <w:rPr>
          <w:rFonts w:hint="eastAsia" w:ascii="方正仿宋简体" w:hAnsi="Times New Roman" w:eastAsia="方正仿宋简体" w:cs="方正仿宋简体"/>
          <w:kern w:val="2"/>
          <w:sz w:val="33"/>
          <w:szCs w:val="33"/>
          <w:u w:val="none"/>
          <w:lang w:val="zh-CN" w:eastAsia="zh-CN" w:bidi="ar-SA"/>
        </w:rPr>
      </w:pPr>
      <w:r>
        <w:rPr>
          <w:rFonts w:eastAsia="楷体_GB2312"/>
          <w:b/>
          <w:sz w:val="33"/>
          <w:szCs w:val="33"/>
          <w:lang w:val="zh-CN"/>
        </w:rPr>
        <w:t>（一）项目组织架构及实施流程。</w:t>
      </w:r>
      <w:r>
        <w:rPr>
          <w:rFonts w:hint="eastAsia" w:ascii="方正仿宋简体" w:hAnsi="Times New Roman" w:eastAsia="方正仿宋简体" w:cs="方正仿宋简体"/>
          <w:kern w:val="2"/>
          <w:sz w:val="33"/>
          <w:szCs w:val="33"/>
          <w:u w:val="none"/>
          <w:lang w:val="en-US" w:eastAsia="zh-CN" w:bidi="ar-SA"/>
        </w:rPr>
        <w:t>该笔资金来源渠道的合法合规，评估内容具有公共性，属于公共财政支持范围，筹资渠道符合法律法规规定，筹资结构合理，资金来源渠道明确。</w:t>
      </w:r>
    </w:p>
    <w:p>
      <w:pPr>
        <w:keepNext w:val="0"/>
        <w:keepLines w:val="0"/>
        <w:pageBreakBefore w:val="0"/>
        <w:widowControl w:val="0"/>
        <w:kinsoku/>
        <w:wordWrap/>
        <w:overflowPunct/>
        <w:topLinePunct w:val="0"/>
        <w:autoSpaceDE/>
        <w:autoSpaceDN/>
        <w:bidi w:val="0"/>
        <w:adjustRightInd/>
        <w:snapToGrid/>
        <w:spacing w:line="353" w:lineRule="auto"/>
        <w:ind w:firstLine="663" w:firstLineChars="200"/>
        <w:textAlignment w:val="auto"/>
        <w:outlineLvl w:val="9"/>
        <w:rPr>
          <w:rFonts w:hint="eastAsia" w:ascii="方正仿宋简体" w:hAnsi="Times New Roman" w:eastAsia="方正仿宋简体" w:cs="方正仿宋简体"/>
          <w:kern w:val="2"/>
          <w:sz w:val="33"/>
          <w:szCs w:val="33"/>
          <w:u w:val="none"/>
          <w:lang w:val="zh-CN" w:eastAsia="zh-CN" w:bidi="ar-SA"/>
        </w:rPr>
      </w:pPr>
      <w:r>
        <w:rPr>
          <w:rFonts w:eastAsia="楷体_GB2312"/>
          <w:b/>
          <w:sz w:val="33"/>
          <w:szCs w:val="33"/>
          <w:lang w:val="zh-CN"/>
        </w:rPr>
        <w:t>（二）项目管理情况。</w:t>
      </w:r>
      <w:r>
        <w:rPr>
          <w:rFonts w:hint="eastAsia" w:ascii="方正仿宋简体" w:hAnsi="Times New Roman" w:eastAsia="方正仿宋简体" w:cs="方正仿宋简体"/>
          <w:kern w:val="2"/>
          <w:sz w:val="33"/>
          <w:szCs w:val="33"/>
          <w:u w:val="none"/>
          <w:lang w:val="en-US" w:eastAsia="zh-CN" w:bidi="ar-SA"/>
        </w:rPr>
        <w:t>严格按照批复的支出预算执行，对人员经费严格按照上级的有关政策规定执行，无擅自扩大开支范围和提高开支标准情况。项目支出严格按照批复的项目和用途使用，无自行改变项目内容及扩大使用范围情况，保证专款专用，无截留、挪用专项资金情况。</w:t>
      </w:r>
    </w:p>
    <w:p>
      <w:pPr>
        <w:keepNext w:val="0"/>
        <w:keepLines w:val="0"/>
        <w:pageBreakBefore w:val="0"/>
        <w:widowControl w:val="0"/>
        <w:kinsoku/>
        <w:wordWrap/>
        <w:overflowPunct/>
        <w:topLinePunct w:val="0"/>
        <w:autoSpaceDE/>
        <w:autoSpaceDN/>
        <w:bidi w:val="0"/>
        <w:adjustRightInd/>
        <w:snapToGrid/>
        <w:spacing w:line="353" w:lineRule="auto"/>
        <w:ind w:firstLine="663" w:firstLineChars="200"/>
        <w:textAlignment w:val="auto"/>
        <w:outlineLvl w:val="9"/>
        <w:rPr>
          <w:rFonts w:hint="eastAsia" w:ascii="Times New Roman" w:hAnsi="Times New Roman" w:eastAsia="仿宋_GB2312" w:cs="Times New Roman"/>
          <w:sz w:val="33"/>
          <w:szCs w:val="33"/>
          <w:u w:val="none"/>
          <w:lang w:eastAsia="zh-CN"/>
        </w:rPr>
      </w:pPr>
      <w:r>
        <w:rPr>
          <w:rFonts w:eastAsia="楷体_GB2312"/>
          <w:b/>
          <w:sz w:val="33"/>
          <w:szCs w:val="33"/>
          <w:lang w:val="zh-CN"/>
        </w:rPr>
        <w:t>（三）项目监管情况。</w:t>
      </w:r>
      <w:r>
        <w:rPr>
          <w:rFonts w:hint="eastAsia" w:ascii="方正仿宋简体" w:hAnsi="Times New Roman" w:eastAsia="方正仿宋简体" w:cs="方正仿宋简体"/>
          <w:kern w:val="2"/>
          <w:sz w:val="33"/>
          <w:szCs w:val="33"/>
          <w:u w:val="none"/>
          <w:lang w:val="en-US" w:eastAsia="zh-CN" w:bidi="ar-SA"/>
        </w:rPr>
        <w:t>保证在财政批复部门预算后20日内，通过攀枝花市西区人民政府网站预决算公开统一平台公开绩效目标情况，并妥善做好解释说明工作，确保公开信息规范化、标准化，主动接受预算监督。</w:t>
      </w:r>
      <w:r>
        <w:rPr>
          <w:sz w:val="33"/>
          <w:szCs w:val="33"/>
          <w:lang w:val="zh-CN"/>
        </w:rPr>
        <w:tab/>
      </w:r>
    </w:p>
    <w:p>
      <w:pPr>
        <w:ind w:firstLine="640" w:firstLineChars="200"/>
        <w:rPr>
          <w:rFonts w:ascii="黑体" w:hAnsi="黑体" w:eastAsia="黑体"/>
          <w:sz w:val="32"/>
          <w:szCs w:val="32"/>
          <w:lang w:val="zh-CN"/>
        </w:rPr>
      </w:pPr>
      <w:r>
        <w:rPr>
          <w:rFonts w:hint="eastAsia" w:ascii="黑体" w:hAnsi="黑体" w:eastAsia="黑体"/>
          <w:sz w:val="32"/>
          <w:szCs w:val="32"/>
          <w:lang w:val="en-US" w:eastAsia="zh-CN"/>
        </w:rPr>
        <w:t>五</w:t>
      </w:r>
      <w:r>
        <w:rPr>
          <w:rFonts w:hint="eastAsia" w:ascii="黑体" w:hAnsi="黑体" w:eastAsia="黑体"/>
          <w:sz w:val="32"/>
          <w:szCs w:val="32"/>
          <w:lang w:val="zh-CN"/>
        </w:rPr>
        <w:t>、评价结论</w:t>
      </w:r>
    </w:p>
    <w:p>
      <w:pPr>
        <w:adjustRightInd w:val="0"/>
        <w:snapToGrid w:val="0"/>
        <w:spacing w:line="600" w:lineRule="exact"/>
        <w:ind w:firstLine="720"/>
        <w:rPr>
          <w:rFonts w:eastAsia="楷体_GB2312"/>
          <w:b/>
          <w:sz w:val="33"/>
          <w:szCs w:val="33"/>
          <w:lang w:val="zh-CN"/>
        </w:rPr>
      </w:pPr>
      <w:r>
        <w:rPr>
          <w:rFonts w:eastAsia="楷体_GB2312"/>
          <w:b/>
          <w:sz w:val="33"/>
          <w:szCs w:val="33"/>
          <w:lang w:val="zh-CN"/>
        </w:rPr>
        <w:t>（一）评价结论。</w:t>
      </w:r>
    </w:p>
    <w:p>
      <w:pPr>
        <w:keepNext w:val="0"/>
        <w:keepLines w:val="0"/>
        <w:pageBreakBefore w:val="0"/>
        <w:widowControl w:val="0"/>
        <w:kinsoku/>
        <w:wordWrap/>
        <w:overflowPunct/>
        <w:topLinePunct w:val="0"/>
        <w:autoSpaceDE/>
        <w:autoSpaceDN/>
        <w:bidi w:val="0"/>
        <w:adjustRightInd/>
        <w:snapToGrid/>
        <w:spacing w:line="353" w:lineRule="auto"/>
        <w:ind w:firstLine="660" w:firstLineChars="200"/>
        <w:textAlignment w:val="auto"/>
        <w:outlineLvl w:val="9"/>
        <w:rPr>
          <w:rFonts w:hint="eastAsia" w:ascii="方正仿宋简体" w:hAnsi="Times New Roman" w:eastAsia="方正仿宋简体" w:cs="方正仿宋简体"/>
          <w:kern w:val="2"/>
          <w:sz w:val="33"/>
          <w:szCs w:val="33"/>
          <w:u w:val="none"/>
          <w:lang w:val="en-US" w:eastAsia="zh-CN" w:bidi="ar-SA"/>
        </w:rPr>
      </w:pPr>
      <w:r>
        <w:rPr>
          <w:rFonts w:hint="eastAsia" w:ascii="方正仿宋简体" w:hAnsi="Times New Roman" w:eastAsia="方正仿宋简体" w:cs="方正仿宋简体"/>
          <w:kern w:val="2"/>
          <w:sz w:val="33"/>
          <w:szCs w:val="33"/>
          <w:u w:val="none"/>
          <w:lang w:val="en-US" w:eastAsia="zh-CN" w:bidi="ar-SA"/>
        </w:rPr>
        <w:t>该项目资金预期产出和效果能满足需求、不需核减预算安排、该笔资金需继续保留。综合前述评估内容来看，该项目立项必要性和依据充分，绩效目标明确，具备实施条件，具有公共性，符合财政资金支持方向等。建议予以支持，预算控制在</w:t>
      </w:r>
      <w:r>
        <w:rPr>
          <w:rFonts w:hint="eastAsia" w:ascii="方正仿宋简体" w:eastAsia="方正仿宋简体" w:cs="方正仿宋简体"/>
          <w:kern w:val="2"/>
          <w:sz w:val="33"/>
          <w:szCs w:val="33"/>
          <w:u w:val="none"/>
          <w:lang w:val="en-US" w:eastAsia="zh-CN" w:bidi="ar-SA"/>
        </w:rPr>
        <w:t>5</w:t>
      </w:r>
      <w:r>
        <w:rPr>
          <w:rFonts w:hint="eastAsia" w:ascii="方正仿宋简体" w:hAnsi="Times New Roman" w:eastAsia="方正仿宋简体" w:cs="方正仿宋简体"/>
          <w:kern w:val="2"/>
          <w:sz w:val="33"/>
          <w:szCs w:val="33"/>
          <w:u w:val="none"/>
          <w:lang w:val="en-US" w:eastAsia="zh-CN" w:bidi="ar-SA"/>
        </w:rPr>
        <w:t>万元以内。该项目申请资金总预算</w:t>
      </w:r>
      <w:r>
        <w:rPr>
          <w:rFonts w:hint="eastAsia" w:ascii="方正仿宋简体" w:eastAsia="方正仿宋简体" w:cs="方正仿宋简体"/>
          <w:kern w:val="2"/>
          <w:sz w:val="33"/>
          <w:szCs w:val="33"/>
          <w:u w:val="none"/>
          <w:lang w:val="en-US" w:eastAsia="zh-CN" w:bidi="ar-SA"/>
        </w:rPr>
        <w:t>15</w:t>
      </w:r>
      <w:r>
        <w:rPr>
          <w:rFonts w:hint="eastAsia" w:ascii="方正仿宋简体" w:hAnsi="Times New Roman" w:eastAsia="方正仿宋简体" w:cs="方正仿宋简体"/>
          <w:kern w:val="2"/>
          <w:sz w:val="33"/>
          <w:szCs w:val="33"/>
          <w:u w:val="none"/>
          <w:lang w:val="en-US" w:eastAsia="zh-CN" w:bidi="ar-SA"/>
        </w:rPr>
        <w:t>万元，经评审，建议预算申报数</w:t>
      </w:r>
      <w:r>
        <w:rPr>
          <w:rFonts w:hint="eastAsia" w:ascii="方正仿宋简体" w:eastAsia="方正仿宋简体" w:cs="方正仿宋简体"/>
          <w:kern w:val="2"/>
          <w:sz w:val="33"/>
          <w:szCs w:val="33"/>
          <w:u w:val="none"/>
          <w:lang w:val="en-US" w:eastAsia="zh-CN" w:bidi="ar-SA"/>
        </w:rPr>
        <w:t>15</w:t>
      </w:r>
      <w:r>
        <w:rPr>
          <w:rFonts w:hint="eastAsia" w:ascii="方正仿宋简体" w:hAnsi="Times New Roman" w:eastAsia="方正仿宋简体" w:cs="方正仿宋简体"/>
          <w:kern w:val="2"/>
          <w:sz w:val="33"/>
          <w:szCs w:val="33"/>
          <w:u w:val="none"/>
          <w:lang w:val="en-US" w:eastAsia="zh-CN" w:bidi="ar-SA"/>
        </w:rPr>
        <w:t>万元,我单位将进一步优化完善实施方案和绩效目标，加强运行监控，节约财政资金并提升资金效益，提升预算绩效管理水平。</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（二）存在的问题。</w:t>
      </w:r>
    </w:p>
    <w:p>
      <w:pPr>
        <w:adjustRightInd w:val="0"/>
        <w:snapToGrid w:val="0"/>
        <w:spacing w:line="600" w:lineRule="exact"/>
        <w:ind w:firstLine="640" w:firstLineChars="200"/>
        <w:rPr>
          <w:sz w:val="32"/>
          <w:szCs w:val="32"/>
          <w:lang w:val="zh-CN"/>
        </w:rPr>
      </w:pPr>
      <w:r>
        <w:rPr>
          <w:rFonts w:hint="eastAsia" w:ascii="方正仿宋简体" w:hAnsi="Times New Roman" w:eastAsia="方正仿宋简体" w:cs="方正仿宋简体"/>
          <w:kern w:val="2"/>
          <w:sz w:val="32"/>
          <w:szCs w:val="32"/>
          <w:u w:val="none"/>
          <w:lang w:val="en-US" w:eastAsia="zh-CN" w:bidi="ar-SA"/>
        </w:rPr>
        <w:t>无</w:t>
      </w:r>
      <w:r>
        <w:rPr>
          <w:rFonts w:hint="eastAsia" w:ascii="方正仿宋简体" w:hAnsi="Times New Roman" w:eastAsia="方正仿宋简体" w:cs="方正仿宋简体"/>
          <w:kern w:val="2"/>
          <w:sz w:val="32"/>
          <w:szCs w:val="32"/>
          <w:u w:val="none"/>
          <w:lang w:val="zh-CN" w:eastAsia="zh-CN" w:bidi="ar-SA"/>
        </w:rPr>
        <w:t>。</w:t>
      </w:r>
      <w:r>
        <w:rPr>
          <w:sz w:val="32"/>
          <w:szCs w:val="32"/>
          <w:lang w:val="zh-CN"/>
        </w:rPr>
        <w:tab/>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（三）相关建议。</w:t>
      </w:r>
    </w:p>
    <w:p>
      <w:pPr>
        <w:keepNext w:val="0"/>
        <w:keepLines w:val="0"/>
        <w:pageBreakBefore w:val="0"/>
        <w:widowControl w:val="0"/>
        <w:kinsoku/>
        <w:wordWrap/>
        <w:overflowPunct/>
        <w:topLinePunct w:val="0"/>
        <w:autoSpaceDE/>
        <w:autoSpaceDN/>
        <w:bidi w:val="0"/>
        <w:adjustRightInd/>
        <w:snapToGrid/>
        <w:spacing w:line="353" w:lineRule="auto"/>
        <w:ind w:firstLine="660" w:firstLineChars="200"/>
        <w:textAlignment w:val="auto"/>
        <w:outlineLvl w:val="9"/>
        <w:rPr>
          <w:rFonts w:hint="eastAsia" w:ascii="方正仿宋简体" w:hAnsi="Times New Roman" w:eastAsia="方正仿宋简体" w:cs="方正仿宋简体"/>
          <w:kern w:val="2"/>
          <w:sz w:val="33"/>
          <w:szCs w:val="33"/>
          <w:u w:val="none"/>
          <w:lang w:val="zh-CN" w:eastAsia="zh-CN" w:bidi="ar-SA"/>
        </w:rPr>
      </w:pPr>
      <w:r>
        <w:rPr>
          <w:rFonts w:hint="eastAsia" w:ascii="方正仿宋简体" w:hAnsi="Times New Roman" w:eastAsia="方正仿宋简体" w:cs="方正仿宋简体"/>
          <w:kern w:val="2"/>
          <w:sz w:val="33"/>
          <w:szCs w:val="33"/>
          <w:u w:val="none"/>
          <w:lang w:val="en-US" w:eastAsia="zh-CN" w:bidi="ar-SA"/>
        </w:rPr>
        <w:t>无</w:t>
      </w:r>
      <w:r>
        <w:rPr>
          <w:rFonts w:hint="eastAsia" w:ascii="方正仿宋简体" w:hAnsi="Times New Roman" w:eastAsia="方正仿宋简体" w:cs="方正仿宋简体"/>
          <w:kern w:val="2"/>
          <w:sz w:val="33"/>
          <w:szCs w:val="33"/>
          <w:u w:val="none"/>
          <w:lang w:val="zh-CN" w:eastAsia="zh-CN" w:bidi="ar-SA"/>
        </w:rPr>
        <w:t>。</w:t>
      </w:r>
    </w:p>
    <w:p>
      <w:pPr>
        <w:pStyle w:val="2"/>
      </w:pPr>
    </w:p>
    <w:p>
      <w:pPr>
        <w:ind w:firstLine="640" w:firstLineChars="200"/>
        <w:rPr>
          <w:rFonts w:eastAsia="仿宋_GB2312"/>
          <w:sz w:val="32"/>
          <w:szCs w:val="32"/>
          <w:lang w:val="zh-CN"/>
        </w:rPr>
      </w:pPr>
    </w:p>
    <w:p>
      <w:pPr>
        <w:pStyle w:val="3"/>
        <w:jc w:val="center"/>
        <w:rPr>
          <w:rFonts w:hint="eastAsia" w:ascii="黑体" w:hAnsi="黑体" w:eastAsia="黑体"/>
        </w:rPr>
      </w:pPr>
    </w:p>
    <w:p>
      <w:pPr>
        <w:pStyle w:val="3"/>
        <w:jc w:val="center"/>
        <w:rPr>
          <w:rFonts w:ascii="黑体" w:hAnsi="黑体" w:eastAsia="黑体"/>
        </w:rPr>
      </w:pPr>
      <w:r>
        <w:rPr>
          <w:rFonts w:hint="eastAsia" w:ascii="黑体" w:hAnsi="黑体" w:eastAsia="黑体"/>
        </w:rPr>
        <w:t>第五部分 附表</w:t>
      </w:r>
    </w:p>
    <w:p>
      <w:pPr>
        <w:rPr>
          <w:rFonts w:ascii="仿宋" w:hAnsi="仿宋" w:eastAsia="仿宋"/>
          <w:sz w:val="32"/>
          <w:szCs w:val="32"/>
        </w:rPr>
      </w:pPr>
      <w:r>
        <w:rPr>
          <w:rFonts w:hint="eastAsia" w:ascii="仿宋" w:hAnsi="仿宋" w:eastAsia="仿宋"/>
          <w:sz w:val="32"/>
          <w:szCs w:val="32"/>
        </w:rPr>
        <w:t>一、收入支出决算总表</w:t>
      </w:r>
    </w:p>
    <w:p>
      <w:pPr>
        <w:rPr>
          <w:rFonts w:ascii="仿宋" w:hAnsi="仿宋" w:eastAsia="仿宋"/>
          <w:sz w:val="32"/>
          <w:szCs w:val="32"/>
        </w:rPr>
      </w:pPr>
      <w:r>
        <w:rPr>
          <w:rFonts w:hint="eastAsia" w:ascii="仿宋" w:hAnsi="仿宋" w:eastAsia="仿宋"/>
          <w:sz w:val="32"/>
          <w:szCs w:val="32"/>
        </w:rPr>
        <w:t>二、收入决算表</w:t>
      </w:r>
    </w:p>
    <w:p>
      <w:pPr>
        <w:rPr>
          <w:rFonts w:ascii="仿宋" w:hAnsi="仿宋" w:eastAsia="仿宋"/>
          <w:sz w:val="32"/>
          <w:szCs w:val="32"/>
        </w:rPr>
      </w:pPr>
      <w:r>
        <w:rPr>
          <w:rFonts w:hint="eastAsia" w:ascii="仿宋" w:hAnsi="仿宋" w:eastAsia="仿宋"/>
          <w:sz w:val="32"/>
          <w:szCs w:val="32"/>
        </w:rPr>
        <w:t>三、支出决算表</w:t>
      </w:r>
    </w:p>
    <w:p>
      <w:pPr>
        <w:rPr>
          <w:rFonts w:ascii="仿宋" w:hAnsi="仿宋" w:eastAsia="仿宋"/>
          <w:sz w:val="32"/>
          <w:szCs w:val="32"/>
        </w:rPr>
      </w:pPr>
      <w:r>
        <w:rPr>
          <w:rFonts w:hint="eastAsia" w:ascii="仿宋" w:hAnsi="仿宋" w:eastAsia="仿宋"/>
          <w:sz w:val="32"/>
          <w:szCs w:val="32"/>
        </w:rPr>
        <w:t>四、财政拨款收入支出决算总表</w:t>
      </w:r>
    </w:p>
    <w:p>
      <w:pPr>
        <w:rPr>
          <w:rFonts w:ascii="仿宋" w:hAnsi="仿宋" w:eastAsia="仿宋"/>
          <w:sz w:val="32"/>
          <w:szCs w:val="32"/>
        </w:rPr>
      </w:pPr>
      <w:r>
        <w:rPr>
          <w:rFonts w:hint="eastAsia" w:ascii="仿宋" w:hAnsi="仿宋" w:eastAsia="仿宋"/>
          <w:sz w:val="32"/>
          <w:szCs w:val="32"/>
        </w:rPr>
        <w:t>五、财政拨款支出决算明细表</w:t>
      </w:r>
    </w:p>
    <w:p>
      <w:pPr>
        <w:rPr>
          <w:rFonts w:ascii="仿宋" w:hAnsi="仿宋" w:eastAsia="仿宋"/>
          <w:sz w:val="32"/>
          <w:szCs w:val="32"/>
        </w:rPr>
      </w:pPr>
      <w:r>
        <w:rPr>
          <w:rFonts w:hint="eastAsia" w:ascii="仿宋" w:hAnsi="仿宋" w:eastAsia="仿宋"/>
          <w:sz w:val="32"/>
          <w:szCs w:val="32"/>
        </w:rPr>
        <w:t>六、一般公共预算财政拨款支出决算表</w:t>
      </w:r>
    </w:p>
    <w:p>
      <w:pPr>
        <w:rPr>
          <w:rFonts w:ascii="仿宋" w:hAnsi="仿宋" w:eastAsia="仿宋"/>
          <w:sz w:val="32"/>
          <w:szCs w:val="32"/>
        </w:rPr>
      </w:pPr>
      <w:r>
        <w:rPr>
          <w:rFonts w:hint="eastAsia" w:ascii="仿宋" w:hAnsi="仿宋" w:eastAsia="仿宋"/>
          <w:sz w:val="32"/>
          <w:szCs w:val="32"/>
        </w:rPr>
        <w:t>七、一般公共预算财政拨款支出决算明细表</w:t>
      </w:r>
    </w:p>
    <w:p>
      <w:pPr>
        <w:rPr>
          <w:rFonts w:ascii="仿宋" w:hAnsi="仿宋" w:eastAsia="仿宋"/>
          <w:sz w:val="32"/>
          <w:szCs w:val="32"/>
        </w:rPr>
      </w:pPr>
      <w:r>
        <w:rPr>
          <w:rFonts w:hint="eastAsia" w:ascii="仿宋" w:hAnsi="仿宋" w:eastAsia="仿宋"/>
          <w:sz w:val="32"/>
          <w:szCs w:val="32"/>
        </w:rPr>
        <w:t>八、一般公共预算财政拨款基本支出决算表</w:t>
      </w:r>
    </w:p>
    <w:p>
      <w:pPr>
        <w:rPr>
          <w:rFonts w:ascii="仿宋" w:hAnsi="仿宋" w:eastAsia="仿宋"/>
          <w:sz w:val="32"/>
          <w:szCs w:val="32"/>
        </w:rPr>
      </w:pPr>
      <w:r>
        <w:rPr>
          <w:rFonts w:hint="eastAsia" w:ascii="仿宋" w:hAnsi="仿宋" w:eastAsia="仿宋"/>
          <w:sz w:val="32"/>
          <w:szCs w:val="32"/>
        </w:rPr>
        <w:t>九、一般公共预算财政拨款项目支出决算表</w:t>
      </w:r>
    </w:p>
    <w:p>
      <w:pPr>
        <w:rPr>
          <w:rFonts w:ascii="仿宋" w:hAnsi="仿宋" w:eastAsia="仿宋"/>
          <w:sz w:val="32"/>
          <w:szCs w:val="32"/>
        </w:rPr>
      </w:pPr>
      <w:r>
        <w:rPr>
          <w:rFonts w:hint="eastAsia" w:ascii="仿宋" w:hAnsi="仿宋" w:eastAsia="仿宋"/>
          <w:sz w:val="32"/>
          <w:szCs w:val="32"/>
        </w:rPr>
        <w:t>十、政府性基金预算财政拨款收入支出决算表</w:t>
      </w:r>
    </w:p>
    <w:p>
      <w:pPr>
        <w:rPr>
          <w:rFonts w:ascii="仿宋" w:hAnsi="仿宋" w:eastAsia="仿宋"/>
          <w:sz w:val="32"/>
          <w:szCs w:val="32"/>
        </w:rPr>
      </w:pPr>
      <w:r>
        <w:rPr>
          <w:rFonts w:hint="eastAsia" w:ascii="仿宋" w:hAnsi="仿宋" w:eastAsia="仿宋"/>
          <w:sz w:val="32"/>
          <w:szCs w:val="32"/>
        </w:rPr>
        <w:t>十一、国有资本经营预算财政拨款收入支出决算表</w:t>
      </w:r>
    </w:p>
    <w:p>
      <w:pPr>
        <w:rPr>
          <w:rFonts w:ascii="仿宋" w:hAnsi="仿宋" w:eastAsia="仿宋"/>
          <w:sz w:val="32"/>
          <w:szCs w:val="32"/>
        </w:rPr>
      </w:pPr>
      <w:r>
        <w:rPr>
          <w:rFonts w:hint="eastAsia" w:ascii="仿宋" w:hAnsi="仿宋" w:eastAsia="仿宋"/>
          <w:sz w:val="32"/>
          <w:szCs w:val="32"/>
        </w:rPr>
        <w:t>十二、国有资本经营预算财政拨款支出决算表</w:t>
      </w:r>
    </w:p>
    <w:p>
      <w:pPr>
        <w:rPr>
          <w:rFonts w:ascii="仿宋" w:hAnsi="仿宋" w:eastAsia="仿宋"/>
          <w:sz w:val="32"/>
          <w:szCs w:val="32"/>
        </w:rPr>
      </w:pPr>
      <w:r>
        <w:rPr>
          <w:rFonts w:hint="eastAsia" w:ascii="仿宋" w:hAnsi="仿宋" w:eastAsia="仿宋"/>
          <w:sz w:val="32"/>
          <w:szCs w:val="32"/>
        </w:rPr>
        <w:t>十三、财政拨款“三公”经费支出决算表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23</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0A00E9"/>
    <w:multiLevelType w:val="singleLevel"/>
    <w:tmpl w:val="B00A00E9"/>
    <w:lvl w:ilvl="0" w:tentative="0">
      <w:start w:val="2"/>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A134FBD"/>
    <w:multiLevelType w:val="singleLevel"/>
    <w:tmpl w:val="4A134FBD"/>
    <w:lvl w:ilvl="0" w:tentative="0">
      <w:start w:val="3"/>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3YjlhODAyNDFiNjcwNzA5MWQzNmRkNGIwN2I1OTIifQ=="/>
  </w:docVars>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5391F"/>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2FEBE30"/>
    <w:rsid w:val="036F8141"/>
    <w:rsid w:val="059B4A2E"/>
    <w:rsid w:val="066E0107"/>
    <w:rsid w:val="07996F6E"/>
    <w:rsid w:val="07DFD8BA"/>
    <w:rsid w:val="08C421F4"/>
    <w:rsid w:val="0A2032A3"/>
    <w:rsid w:val="0B6345A8"/>
    <w:rsid w:val="0D35B1ED"/>
    <w:rsid w:val="0E7ED1F5"/>
    <w:rsid w:val="0F98263C"/>
    <w:rsid w:val="101860EC"/>
    <w:rsid w:val="10C055FF"/>
    <w:rsid w:val="118107EC"/>
    <w:rsid w:val="13D50BC4"/>
    <w:rsid w:val="13F5616D"/>
    <w:rsid w:val="16BB723D"/>
    <w:rsid w:val="17F9714D"/>
    <w:rsid w:val="1918F934"/>
    <w:rsid w:val="197D0976"/>
    <w:rsid w:val="1BE8440E"/>
    <w:rsid w:val="1D155CEE"/>
    <w:rsid w:val="1DFBC4B3"/>
    <w:rsid w:val="1E740ACF"/>
    <w:rsid w:val="1F19C781"/>
    <w:rsid w:val="1F33FCE5"/>
    <w:rsid w:val="1F7F7398"/>
    <w:rsid w:val="1FD2DB6F"/>
    <w:rsid w:val="1FDD0604"/>
    <w:rsid w:val="1FF35744"/>
    <w:rsid w:val="1FF6BC77"/>
    <w:rsid w:val="1FF9236D"/>
    <w:rsid w:val="21BE6F2B"/>
    <w:rsid w:val="2333840E"/>
    <w:rsid w:val="23860B96"/>
    <w:rsid w:val="240371BF"/>
    <w:rsid w:val="244634B4"/>
    <w:rsid w:val="257C638F"/>
    <w:rsid w:val="276D3197"/>
    <w:rsid w:val="29FD04D3"/>
    <w:rsid w:val="2A7508EB"/>
    <w:rsid w:val="2BFF7BC6"/>
    <w:rsid w:val="2C8A61B5"/>
    <w:rsid w:val="2CD59C95"/>
    <w:rsid w:val="2DF04E50"/>
    <w:rsid w:val="2EFD05E5"/>
    <w:rsid w:val="2F040D46"/>
    <w:rsid w:val="2F4F95CE"/>
    <w:rsid w:val="2F8B66DA"/>
    <w:rsid w:val="2FACAFDD"/>
    <w:rsid w:val="2FAE5751"/>
    <w:rsid w:val="2FB1A395"/>
    <w:rsid w:val="2FCF0B76"/>
    <w:rsid w:val="2FD9A7D8"/>
    <w:rsid w:val="319F7F4E"/>
    <w:rsid w:val="3304709D"/>
    <w:rsid w:val="36AA5135"/>
    <w:rsid w:val="36BE0DA7"/>
    <w:rsid w:val="376B6AA6"/>
    <w:rsid w:val="376D39B2"/>
    <w:rsid w:val="37E16F03"/>
    <w:rsid w:val="37F53A3B"/>
    <w:rsid w:val="387A2107"/>
    <w:rsid w:val="38D469F0"/>
    <w:rsid w:val="38F78389"/>
    <w:rsid w:val="397BAF1F"/>
    <w:rsid w:val="39E7B272"/>
    <w:rsid w:val="39F7642F"/>
    <w:rsid w:val="39FF7B37"/>
    <w:rsid w:val="3AB79AF3"/>
    <w:rsid w:val="3AFDCB77"/>
    <w:rsid w:val="3B7EF35A"/>
    <w:rsid w:val="3B9FDB6C"/>
    <w:rsid w:val="3BF5BC2F"/>
    <w:rsid w:val="3BF7C23A"/>
    <w:rsid w:val="3BFF223E"/>
    <w:rsid w:val="3C6EC0A1"/>
    <w:rsid w:val="3CDB0824"/>
    <w:rsid w:val="3CEBA265"/>
    <w:rsid w:val="3D6A7F9F"/>
    <w:rsid w:val="3D7E7F4D"/>
    <w:rsid w:val="3D98207C"/>
    <w:rsid w:val="3D9CF30A"/>
    <w:rsid w:val="3DFF5A3E"/>
    <w:rsid w:val="3E78745D"/>
    <w:rsid w:val="3EEE77E9"/>
    <w:rsid w:val="3F394AF5"/>
    <w:rsid w:val="3FBE5714"/>
    <w:rsid w:val="3FDD8615"/>
    <w:rsid w:val="3FDFB2FF"/>
    <w:rsid w:val="3FF4CAE0"/>
    <w:rsid w:val="3FF75FAF"/>
    <w:rsid w:val="3FF7B227"/>
    <w:rsid w:val="44E268DA"/>
    <w:rsid w:val="457F4F6B"/>
    <w:rsid w:val="4737FB58"/>
    <w:rsid w:val="47ECCB02"/>
    <w:rsid w:val="47FA6A3F"/>
    <w:rsid w:val="49D7AE48"/>
    <w:rsid w:val="4A3F6C7E"/>
    <w:rsid w:val="4A627F82"/>
    <w:rsid w:val="4B0E749A"/>
    <w:rsid w:val="4B4F25DA"/>
    <w:rsid w:val="4BBB4781"/>
    <w:rsid w:val="4BD709A5"/>
    <w:rsid w:val="4BDD9BFF"/>
    <w:rsid w:val="4BE068DB"/>
    <w:rsid w:val="4D577224"/>
    <w:rsid w:val="4DBF1CEB"/>
    <w:rsid w:val="4DBF6A6B"/>
    <w:rsid w:val="4DF6A672"/>
    <w:rsid w:val="4EAB630A"/>
    <w:rsid w:val="4ECE2238"/>
    <w:rsid w:val="4F7EA413"/>
    <w:rsid w:val="4FAB812F"/>
    <w:rsid w:val="4FE9BD67"/>
    <w:rsid w:val="4FEE4C07"/>
    <w:rsid w:val="4FFB052F"/>
    <w:rsid w:val="537E6D0A"/>
    <w:rsid w:val="538E7F5C"/>
    <w:rsid w:val="53AB6B88"/>
    <w:rsid w:val="53F74C96"/>
    <w:rsid w:val="5583522D"/>
    <w:rsid w:val="57BD3DD4"/>
    <w:rsid w:val="57F9CD1E"/>
    <w:rsid w:val="58C60761"/>
    <w:rsid w:val="5AF92295"/>
    <w:rsid w:val="5AF9D8E9"/>
    <w:rsid w:val="5BDD38BD"/>
    <w:rsid w:val="5BDD79E6"/>
    <w:rsid w:val="5BEFC772"/>
    <w:rsid w:val="5BFF5DFC"/>
    <w:rsid w:val="5CD71FC4"/>
    <w:rsid w:val="5D1F11B5"/>
    <w:rsid w:val="5D3647F9"/>
    <w:rsid w:val="5DA644D4"/>
    <w:rsid w:val="5DAE1B18"/>
    <w:rsid w:val="5DE7D9E5"/>
    <w:rsid w:val="5ECEC941"/>
    <w:rsid w:val="5EFF8FC6"/>
    <w:rsid w:val="5F5BA39A"/>
    <w:rsid w:val="5F7D3B79"/>
    <w:rsid w:val="5F7F4610"/>
    <w:rsid w:val="5F8C607C"/>
    <w:rsid w:val="5FBF9FF3"/>
    <w:rsid w:val="5FCD4E2C"/>
    <w:rsid w:val="5FEF394A"/>
    <w:rsid w:val="5FF67715"/>
    <w:rsid w:val="61CA71D5"/>
    <w:rsid w:val="62270795"/>
    <w:rsid w:val="627EE9EA"/>
    <w:rsid w:val="63B23AA5"/>
    <w:rsid w:val="647F5392"/>
    <w:rsid w:val="64E322C4"/>
    <w:rsid w:val="6595076A"/>
    <w:rsid w:val="65FB93B9"/>
    <w:rsid w:val="6633C463"/>
    <w:rsid w:val="67D55B77"/>
    <w:rsid w:val="67EE7F84"/>
    <w:rsid w:val="686F5F53"/>
    <w:rsid w:val="6A1C4324"/>
    <w:rsid w:val="6AFFCEAF"/>
    <w:rsid w:val="6B96E9E6"/>
    <w:rsid w:val="6BCE57B5"/>
    <w:rsid w:val="6BFEA4DB"/>
    <w:rsid w:val="6BFFB662"/>
    <w:rsid w:val="6C4A05C8"/>
    <w:rsid w:val="6CFF4FB8"/>
    <w:rsid w:val="6D6BD6E0"/>
    <w:rsid w:val="6D77E73C"/>
    <w:rsid w:val="6DBF5E93"/>
    <w:rsid w:val="6DFF077E"/>
    <w:rsid w:val="6E7E3605"/>
    <w:rsid w:val="6E7FDCC7"/>
    <w:rsid w:val="6ED6A62E"/>
    <w:rsid w:val="6EE00B15"/>
    <w:rsid w:val="6EE737B2"/>
    <w:rsid w:val="6EEB2329"/>
    <w:rsid w:val="6EECE67A"/>
    <w:rsid w:val="6F6F90A8"/>
    <w:rsid w:val="6F6FB3EB"/>
    <w:rsid w:val="6F8731EA"/>
    <w:rsid w:val="6FBC2ADD"/>
    <w:rsid w:val="6FD57C00"/>
    <w:rsid w:val="6FEFFFD8"/>
    <w:rsid w:val="6FF5CC65"/>
    <w:rsid w:val="6FFB47EC"/>
    <w:rsid w:val="6FFF034A"/>
    <w:rsid w:val="712A28F1"/>
    <w:rsid w:val="715C0E4B"/>
    <w:rsid w:val="71FFD401"/>
    <w:rsid w:val="72233669"/>
    <w:rsid w:val="72734D90"/>
    <w:rsid w:val="7332FE48"/>
    <w:rsid w:val="73AD73D5"/>
    <w:rsid w:val="73B6EB34"/>
    <w:rsid w:val="73FA497D"/>
    <w:rsid w:val="744731E5"/>
    <w:rsid w:val="748C6F0C"/>
    <w:rsid w:val="74BBD01D"/>
    <w:rsid w:val="74ED5379"/>
    <w:rsid w:val="75DEEEC2"/>
    <w:rsid w:val="767F479D"/>
    <w:rsid w:val="76E3355F"/>
    <w:rsid w:val="76F742AF"/>
    <w:rsid w:val="76F7BE7D"/>
    <w:rsid w:val="76FF5125"/>
    <w:rsid w:val="773570D3"/>
    <w:rsid w:val="77597F31"/>
    <w:rsid w:val="776F6FFA"/>
    <w:rsid w:val="7777A522"/>
    <w:rsid w:val="77858688"/>
    <w:rsid w:val="778769C8"/>
    <w:rsid w:val="77CB741A"/>
    <w:rsid w:val="77D7BE3A"/>
    <w:rsid w:val="77DC22F5"/>
    <w:rsid w:val="782D099E"/>
    <w:rsid w:val="797E3A6C"/>
    <w:rsid w:val="79CF70E2"/>
    <w:rsid w:val="79D7FD79"/>
    <w:rsid w:val="79E75806"/>
    <w:rsid w:val="79EE5BA4"/>
    <w:rsid w:val="7A641148"/>
    <w:rsid w:val="7A6F8BF5"/>
    <w:rsid w:val="7A894339"/>
    <w:rsid w:val="7ACF82B5"/>
    <w:rsid w:val="7AFF28C9"/>
    <w:rsid w:val="7AFF72A0"/>
    <w:rsid w:val="7AFF7572"/>
    <w:rsid w:val="7B6C7DFB"/>
    <w:rsid w:val="7B7D76A7"/>
    <w:rsid w:val="7BAE2FE2"/>
    <w:rsid w:val="7BAF6951"/>
    <w:rsid w:val="7BBFBED0"/>
    <w:rsid w:val="7BC3E394"/>
    <w:rsid w:val="7BF3FE4C"/>
    <w:rsid w:val="7BFB5035"/>
    <w:rsid w:val="7BFDE17E"/>
    <w:rsid w:val="7CBFC87B"/>
    <w:rsid w:val="7CFE0F48"/>
    <w:rsid w:val="7D3DE31C"/>
    <w:rsid w:val="7D7EC23E"/>
    <w:rsid w:val="7D7F8A13"/>
    <w:rsid w:val="7D960193"/>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26"/>
    <w:qFormat/>
    <w:uiPriority w:val="99"/>
    <w:pPr>
      <w:spacing w:beforeLines="30"/>
    </w:pPr>
    <w:rPr>
      <w:rFonts w:ascii="仿宋_GB2312" w:eastAsia="仿宋_GB2312"/>
      <w:kern w:val="0"/>
      <w:sz w:val="30"/>
    </w:rPr>
  </w:style>
  <w:style w:type="paragraph" w:styleId="6">
    <w:name w:val="Normal Indent"/>
    <w:basedOn w:val="1"/>
    <w:qFormat/>
    <w:uiPriority w:val="0"/>
    <w:pPr>
      <w:ind w:firstLine="200" w:firstLineChars="200"/>
    </w:pPr>
    <w:rPr>
      <w:rFonts w:ascii="Times New Roman" w:hAnsi="Times New Roman"/>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Title"/>
    <w:basedOn w:val="1"/>
    <w:qFormat/>
    <w:uiPriority w:val="0"/>
    <w:pPr>
      <w:spacing w:before="240" w:after="60"/>
      <w:jc w:val="center"/>
      <w:outlineLvl w:val="0"/>
    </w:pPr>
    <w:rPr>
      <w:rFonts w:ascii="Arial" w:hAnsi="Arial" w:cs="Arial"/>
      <w:b/>
      <w:bCs/>
      <w:sz w:val="32"/>
      <w:szCs w:val="32"/>
    </w:r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字符"/>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字符"/>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字符"/>
    <w:link w:val="2"/>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7"/>
    <w:link w:val="3"/>
    <w:qFormat/>
    <w:uiPriority w:val="9"/>
    <w:rPr>
      <w:rFonts w:ascii="Times New Roman" w:hAnsi="Times New Roman"/>
      <w:b/>
      <w:bCs/>
      <w:kern w:val="44"/>
      <w:sz w:val="44"/>
      <w:szCs w:val="44"/>
    </w:rPr>
  </w:style>
  <w:style w:type="character" w:customStyle="1" w:styleId="30">
    <w:name w:val="标题 2 字符"/>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7"/>
    <w:link w:val="9"/>
    <w:semiHidden/>
    <w:qFormat/>
    <w:uiPriority w:val="99"/>
    <w:rPr>
      <w:rFonts w:ascii="Times New Roman" w:hAnsi="Times New Roman"/>
      <w:kern w:val="2"/>
      <w:sz w:val="18"/>
      <w:szCs w:val="18"/>
    </w:rPr>
  </w:style>
  <w:style w:type="character" w:customStyle="1" w:styleId="33">
    <w:name w:val="标题 3 字符"/>
    <w:basedOn w:val="17"/>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1535</Words>
  <Characters>8751</Characters>
  <Lines>72</Lines>
  <Paragraphs>20</Paragraphs>
  <TotalTime>3</TotalTime>
  <ScaleCrop>false</ScaleCrop>
  <LinksUpToDate>false</LinksUpToDate>
  <CharactersWithSpaces>10266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高玮</cp:lastModifiedBy>
  <cp:lastPrinted>2023-08-03T10:35:00Z</cp:lastPrinted>
  <dcterms:modified xsi:type="dcterms:W3CDTF">2024-10-25T08:20:14Z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82307B59896A408DBB0D6CEEA2DCB56D_12</vt:lpwstr>
  </property>
</Properties>
</file>