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E60E3">
      <w:pPr>
        <w:spacing w:line="600" w:lineRule="exact"/>
        <w:jc w:val="left"/>
        <w:rPr>
          <w:rFonts w:eastAsia="方正小标宋简体"/>
          <w:szCs w:val="21"/>
        </w:rPr>
      </w:pPr>
      <w:bookmarkStart w:id="0" w:name="_Toc15306267"/>
    </w:p>
    <w:p w14:paraId="38EB7CA6">
      <w:pPr>
        <w:pStyle w:val="2"/>
        <w:spacing w:before="93"/>
        <w:rPr>
          <w:rFonts w:ascii="Times New Roman"/>
        </w:rPr>
      </w:pPr>
    </w:p>
    <w:p w14:paraId="7007B60E">
      <w:pPr>
        <w:spacing w:line="600" w:lineRule="exact"/>
        <w:jc w:val="center"/>
        <w:rPr>
          <w:rFonts w:eastAsia="方正小标宋简体"/>
          <w:sz w:val="72"/>
          <w:szCs w:val="72"/>
        </w:rPr>
      </w:pPr>
    </w:p>
    <w:p w14:paraId="6F2C4E9A">
      <w:pPr>
        <w:spacing w:line="600" w:lineRule="exact"/>
        <w:jc w:val="center"/>
        <w:rPr>
          <w:rFonts w:eastAsia="方正小标宋简体"/>
          <w:sz w:val="72"/>
          <w:szCs w:val="72"/>
        </w:rPr>
      </w:pPr>
    </w:p>
    <w:p w14:paraId="07B1D869">
      <w:pPr>
        <w:jc w:val="center"/>
        <w:rPr>
          <w:rFonts w:eastAsia="方正小标宋_GBK"/>
          <w:color w:val="000000"/>
          <w:sz w:val="72"/>
          <w:szCs w:val="72"/>
        </w:rPr>
      </w:pPr>
      <w:bookmarkStart w:id="1" w:name="_Toc15378441"/>
      <w:bookmarkStart w:id="2" w:name="_Toc15396597"/>
      <w:bookmarkStart w:id="3" w:name="_Toc15377193"/>
      <w:bookmarkStart w:id="4" w:name="_Toc15377425"/>
      <w:bookmarkStart w:id="5" w:name="_Toc15396475"/>
      <w:r>
        <w:rPr>
          <w:rFonts w:eastAsia="方正小标宋_GBK"/>
          <w:color w:val="000000"/>
          <w:sz w:val="72"/>
          <w:szCs w:val="72"/>
        </w:rPr>
        <w:t>2023年度</w:t>
      </w:r>
      <w:bookmarkEnd w:id="1"/>
      <w:bookmarkEnd w:id="2"/>
      <w:bookmarkEnd w:id="3"/>
      <w:bookmarkEnd w:id="4"/>
      <w:bookmarkEnd w:id="5"/>
    </w:p>
    <w:p w14:paraId="279FB056">
      <w:pPr>
        <w:jc w:val="center"/>
        <w:outlineLvl w:val="0"/>
        <w:rPr>
          <w:rFonts w:eastAsia="方正小标宋_GBK"/>
          <w:color w:val="000000"/>
          <w:sz w:val="72"/>
          <w:szCs w:val="72"/>
        </w:rPr>
      </w:pPr>
      <w:bookmarkStart w:id="6" w:name="_Toc15377194"/>
      <w:bookmarkStart w:id="7" w:name="_Toc15396598"/>
      <w:bookmarkStart w:id="8" w:name="_Toc15396476"/>
      <w:bookmarkStart w:id="9" w:name="_Toc15378442"/>
      <w:bookmarkStart w:id="10" w:name="_Toc15377426"/>
      <w:bookmarkStart w:id="11" w:name="_Toc2913"/>
      <w:bookmarkStart w:id="12" w:name="_Toc20299"/>
      <w:r>
        <w:rPr>
          <w:rFonts w:eastAsia="方正小标宋_GBK"/>
          <w:color w:val="000000"/>
          <w:sz w:val="72"/>
          <w:szCs w:val="72"/>
        </w:rPr>
        <w:t>四川省</w:t>
      </w:r>
      <w:bookmarkEnd w:id="0"/>
      <w:bookmarkStart w:id="13" w:name="_Toc15306268"/>
      <w:r>
        <w:rPr>
          <w:rFonts w:eastAsia="方正小标宋_GBK"/>
          <w:color w:val="000000"/>
          <w:sz w:val="72"/>
          <w:szCs w:val="72"/>
        </w:rPr>
        <w:t>攀枝花市西区动物疫病预防控制中心决算</w:t>
      </w:r>
      <w:bookmarkEnd w:id="6"/>
      <w:bookmarkEnd w:id="7"/>
      <w:bookmarkEnd w:id="8"/>
      <w:bookmarkEnd w:id="9"/>
      <w:bookmarkEnd w:id="10"/>
      <w:bookmarkEnd w:id="11"/>
      <w:bookmarkEnd w:id="12"/>
      <w:bookmarkEnd w:id="13"/>
    </w:p>
    <w:p w14:paraId="6D0EB6ED">
      <w:pPr>
        <w:widowControl/>
        <w:jc w:val="center"/>
        <w:rPr>
          <w:rFonts w:eastAsia="黑体"/>
          <w:sz w:val="48"/>
          <w:szCs w:val="48"/>
        </w:rPr>
        <w:sectPr>
          <w:headerReference r:id="rId3" w:type="default"/>
          <w:footerReference r:id="rId4" w:type="default"/>
          <w:pgSz w:w="11906" w:h="16838"/>
          <w:pgMar w:top="2098" w:right="1474" w:bottom="1984" w:left="1587" w:header="851" w:footer="992" w:gutter="0"/>
          <w:pgNumType w:fmt="numberInDash" w:start="1"/>
          <w:cols w:space="425" w:num="1"/>
          <w:docGrid w:type="lines" w:linePitch="312" w:charSpace="0"/>
        </w:sectPr>
      </w:pPr>
    </w:p>
    <w:p w14:paraId="7CDBC1F2">
      <w:pPr>
        <w:widowControl/>
        <w:jc w:val="center"/>
        <w:rPr>
          <w:rFonts w:eastAsia="黑体"/>
          <w:sz w:val="48"/>
          <w:szCs w:val="48"/>
        </w:rPr>
      </w:pPr>
      <w:r>
        <w:rPr>
          <w:rFonts w:eastAsia="黑体"/>
          <w:sz w:val="48"/>
          <w:szCs w:val="48"/>
        </w:rPr>
        <w:t>目录</w:t>
      </w:r>
    </w:p>
    <w:p w14:paraId="31408FC5">
      <w:pPr>
        <w:widowControl/>
        <w:jc w:val="center"/>
        <w:rPr>
          <w:rFonts w:eastAsia="黑体"/>
          <w:sz w:val="28"/>
          <w:szCs w:val="28"/>
        </w:rPr>
      </w:pPr>
    </w:p>
    <w:p w14:paraId="3119199B">
      <w:pPr>
        <w:pStyle w:val="11"/>
        <w:rPr>
          <w:rFonts w:ascii="Times New Roman" w:hAnsi="Times New Roman" w:eastAsia="仿宋_GB2312"/>
        </w:rPr>
      </w:pPr>
      <w:r>
        <w:rPr>
          <w:rFonts w:ascii="Times New Roman" w:hAnsi="Times New Roman" w:eastAsia="仿宋_GB2312"/>
        </w:rPr>
        <w:t>公开时间：2023年9月6日</w:t>
      </w:r>
    </w:p>
    <w:p w14:paraId="35C1D4DC"/>
    <w:sdt>
      <w:sdtPr>
        <w:rPr>
          <w:rFonts w:ascii="宋体" w:hAnsi="宋体"/>
          <w:b/>
          <w:bCs/>
        </w:rPr>
        <w:id w:val="147451942"/>
        <w:docPartObj>
          <w:docPartGallery w:val="Table of Contents"/>
          <w:docPartUnique/>
        </w:docPartObj>
      </w:sdtPr>
      <w:sdtEndPr>
        <w:rPr>
          <w:rFonts w:ascii="Times New Roman" w:hAnsi="Times New Roman" w:eastAsia="方正小标宋_GBK"/>
          <w:b/>
          <w:bCs/>
          <w:kern w:val="44"/>
          <w:sz w:val="44"/>
          <w:szCs w:val="44"/>
        </w:rPr>
      </w:sdtEndPr>
      <w:sdtContent>
        <w:p w14:paraId="4C569596">
          <w:pPr>
            <w:jc w:val="center"/>
          </w:pPr>
          <w:bookmarkStart w:id="14" w:name="_Toc15396599"/>
          <w:bookmarkStart w:id="15" w:name="_Toc15377196"/>
          <w:r>
            <w:rPr>
              <w:rFonts w:eastAsia="方正小标宋_GBK"/>
            </w:rPr>
            <w:fldChar w:fldCharType="begin"/>
          </w:r>
          <w:r>
            <w:rPr>
              <w:rFonts w:eastAsia="方正小标宋_GBK"/>
            </w:rPr>
            <w:instrText xml:space="preserve">TOC \o "1-3" \h \u </w:instrText>
          </w:r>
          <w:r>
            <w:rPr>
              <w:rFonts w:eastAsia="方正小标宋_GBK"/>
            </w:rPr>
            <w:fldChar w:fldCharType="separate"/>
          </w:r>
        </w:p>
        <w:p w14:paraId="1975C5C6">
          <w:pPr>
            <w:pStyle w:val="11"/>
            <w:tabs>
              <w:tab w:val="right" w:leader="dot" w:pos="8845"/>
              <w:tab w:val="clear" w:pos="8296"/>
            </w:tabs>
            <w:rPr>
              <w:rFonts w:ascii="Times New Roman" w:hAnsi="Times New Roman" w:eastAsia="宋体"/>
              <w:sz w:val="21"/>
              <w:szCs w:val="24"/>
            </w:rPr>
          </w:pPr>
          <w:r>
            <w:fldChar w:fldCharType="begin"/>
          </w:r>
          <w:r>
            <w:instrText xml:space="preserve"> HYPERLINK \l "_Toc23688" </w:instrText>
          </w:r>
          <w:r>
            <w:fldChar w:fldCharType="separate"/>
          </w:r>
          <w:r>
            <w:rPr>
              <w:rFonts w:hint="eastAsia" w:ascii="方正小标宋_GBK" w:hAnsi="方正小标宋_GBK" w:eastAsia="方正小标宋_GBK" w:cs="方正小标宋_GBK"/>
              <w:sz w:val="21"/>
              <w:szCs w:val="24"/>
            </w:rPr>
            <w:t>第一部分 单位概况</w:t>
          </w:r>
          <w:r>
            <w:rPr>
              <w:rFonts w:ascii="Times New Roman" w:hAnsi="Times New Roman" w:eastAsia="宋体"/>
              <w:sz w:val="21"/>
              <w:szCs w:val="24"/>
            </w:rPr>
            <w:tab/>
          </w:r>
          <w:r>
            <w:rPr>
              <w:rFonts w:ascii="Times New Roman" w:hAnsi="Times New Roman" w:eastAsia="宋体"/>
              <w:sz w:val="21"/>
              <w:szCs w:val="24"/>
            </w:rPr>
            <w:fldChar w:fldCharType="begin"/>
          </w:r>
          <w:r>
            <w:rPr>
              <w:rFonts w:ascii="Times New Roman" w:hAnsi="Times New Roman" w:eastAsia="宋体"/>
              <w:sz w:val="21"/>
              <w:szCs w:val="24"/>
            </w:rPr>
            <w:instrText xml:space="preserve"> PAGEREF _Toc23688 \h </w:instrText>
          </w:r>
          <w:r>
            <w:rPr>
              <w:rFonts w:ascii="Times New Roman" w:hAnsi="Times New Roman" w:eastAsia="宋体"/>
              <w:sz w:val="21"/>
              <w:szCs w:val="24"/>
            </w:rPr>
            <w:fldChar w:fldCharType="separate"/>
          </w:r>
          <w:r>
            <w:rPr>
              <w:rFonts w:ascii="Times New Roman" w:hAnsi="Times New Roman" w:eastAsia="宋体"/>
              <w:sz w:val="21"/>
              <w:szCs w:val="24"/>
            </w:rPr>
            <w:t>- 1 -</w:t>
          </w:r>
          <w:r>
            <w:rPr>
              <w:rFonts w:ascii="Times New Roman" w:hAnsi="Times New Roman" w:eastAsia="宋体"/>
              <w:sz w:val="21"/>
              <w:szCs w:val="24"/>
            </w:rPr>
            <w:fldChar w:fldCharType="end"/>
          </w:r>
          <w:r>
            <w:rPr>
              <w:rFonts w:ascii="Times New Roman" w:hAnsi="Times New Roman" w:eastAsia="宋体"/>
              <w:sz w:val="21"/>
              <w:szCs w:val="24"/>
            </w:rPr>
            <w:fldChar w:fldCharType="end"/>
          </w:r>
        </w:p>
        <w:p w14:paraId="3853F0B9">
          <w:pPr>
            <w:pStyle w:val="12"/>
            <w:tabs>
              <w:tab w:val="right" w:leader="dot" w:pos="8845"/>
              <w:tab w:val="clear" w:pos="8296"/>
            </w:tabs>
          </w:pPr>
          <w:r>
            <w:fldChar w:fldCharType="begin"/>
          </w:r>
          <w:r>
            <w:instrText xml:space="preserve"> HYPERLINK \l "_Toc10912" </w:instrText>
          </w:r>
          <w:r>
            <w:fldChar w:fldCharType="separate"/>
          </w:r>
          <w:r>
            <w:rPr>
              <w:rFonts w:eastAsia="黑体"/>
            </w:rPr>
            <w:t>一、主要职责</w:t>
          </w:r>
          <w:r>
            <w:tab/>
          </w:r>
          <w:r>
            <w:fldChar w:fldCharType="begin"/>
          </w:r>
          <w:r>
            <w:instrText xml:space="preserve"> PAGEREF _Toc10912 \h </w:instrText>
          </w:r>
          <w:r>
            <w:fldChar w:fldCharType="separate"/>
          </w:r>
          <w:r>
            <w:t>- 1 -</w:t>
          </w:r>
          <w:r>
            <w:fldChar w:fldCharType="end"/>
          </w:r>
          <w:r>
            <w:fldChar w:fldCharType="end"/>
          </w:r>
        </w:p>
        <w:p w14:paraId="141A0302">
          <w:pPr>
            <w:pStyle w:val="12"/>
            <w:tabs>
              <w:tab w:val="right" w:leader="dot" w:pos="8845"/>
              <w:tab w:val="clear" w:pos="8296"/>
            </w:tabs>
          </w:pPr>
          <w:r>
            <w:fldChar w:fldCharType="begin"/>
          </w:r>
          <w:r>
            <w:instrText xml:space="preserve"> HYPERLINK \l "_Toc1882" </w:instrText>
          </w:r>
          <w:r>
            <w:fldChar w:fldCharType="separate"/>
          </w:r>
          <w:r>
            <w:rPr>
              <w:rFonts w:eastAsia="黑体"/>
            </w:rPr>
            <w:t>二、机构设置</w:t>
          </w:r>
          <w:r>
            <w:tab/>
          </w:r>
          <w:r>
            <w:fldChar w:fldCharType="begin"/>
          </w:r>
          <w:r>
            <w:instrText xml:space="preserve"> PAGEREF _Toc1882 \h </w:instrText>
          </w:r>
          <w:r>
            <w:fldChar w:fldCharType="separate"/>
          </w:r>
          <w:r>
            <w:t>- 1 -</w:t>
          </w:r>
          <w:r>
            <w:fldChar w:fldCharType="end"/>
          </w:r>
          <w:r>
            <w:fldChar w:fldCharType="end"/>
          </w:r>
        </w:p>
        <w:p w14:paraId="34CFFF0A">
          <w:pPr>
            <w:pStyle w:val="11"/>
            <w:tabs>
              <w:tab w:val="right" w:leader="dot" w:pos="8845"/>
              <w:tab w:val="clear" w:pos="8296"/>
            </w:tabs>
            <w:rPr>
              <w:rFonts w:ascii="Times New Roman" w:hAnsi="Times New Roman" w:eastAsia="宋体"/>
              <w:sz w:val="21"/>
              <w:szCs w:val="24"/>
            </w:rPr>
          </w:pPr>
          <w:r>
            <w:fldChar w:fldCharType="begin"/>
          </w:r>
          <w:r>
            <w:instrText xml:space="preserve"> HYPERLINK \l "_Toc25304" </w:instrText>
          </w:r>
          <w:r>
            <w:fldChar w:fldCharType="separate"/>
          </w:r>
          <w:r>
            <w:rPr>
              <w:rFonts w:hint="eastAsia" w:ascii="方正小标宋_GBK" w:hAnsi="方正小标宋_GBK" w:eastAsia="方正小标宋_GBK" w:cs="方正小标宋_GBK"/>
              <w:sz w:val="21"/>
              <w:szCs w:val="24"/>
            </w:rPr>
            <w:t>第二部分 2023年度单位决算情况说明</w:t>
          </w:r>
          <w:r>
            <w:rPr>
              <w:rFonts w:ascii="Times New Roman" w:hAnsi="Times New Roman" w:eastAsia="宋体"/>
              <w:sz w:val="21"/>
              <w:szCs w:val="24"/>
            </w:rPr>
            <w:tab/>
          </w:r>
          <w:r>
            <w:rPr>
              <w:rFonts w:ascii="Times New Roman" w:hAnsi="Times New Roman" w:eastAsia="宋体"/>
              <w:sz w:val="21"/>
              <w:szCs w:val="24"/>
            </w:rPr>
            <w:fldChar w:fldCharType="begin"/>
          </w:r>
          <w:r>
            <w:rPr>
              <w:rFonts w:ascii="Times New Roman" w:hAnsi="Times New Roman" w:eastAsia="宋体"/>
              <w:sz w:val="21"/>
              <w:szCs w:val="24"/>
            </w:rPr>
            <w:instrText xml:space="preserve"> PAGEREF _Toc26448 \h </w:instrText>
          </w:r>
          <w:r>
            <w:rPr>
              <w:rFonts w:ascii="Times New Roman" w:hAnsi="Times New Roman" w:eastAsia="宋体"/>
              <w:sz w:val="21"/>
              <w:szCs w:val="24"/>
            </w:rPr>
            <w:fldChar w:fldCharType="separate"/>
          </w:r>
          <w:r>
            <w:rPr>
              <w:rFonts w:ascii="Times New Roman" w:hAnsi="Times New Roman" w:eastAsia="宋体"/>
              <w:sz w:val="21"/>
              <w:szCs w:val="24"/>
            </w:rPr>
            <w:t>- 2 -</w:t>
          </w:r>
          <w:r>
            <w:rPr>
              <w:rFonts w:ascii="Times New Roman" w:hAnsi="Times New Roman" w:eastAsia="宋体"/>
              <w:sz w:val="21"/>
              <w:szCs w:val="24"/>
            </w:rPr>
            <w:fldChar w:fldCharType="end"/>
          </w:r>
          <w:r>
            <w:rPr>
              <w:rFonts w:ascii="Times New Roman" w:hAnsi="Times New Roman" w:eastAsia="宋体"/>
              <w:sz w:val="21"/>
              <w:szCs w:val="24"/>
            </w:rPr>
            <w:fldChar w:fldCharType="end"/>
          </w:r>
        </w:p>
        <w:p w14:paraId="19736ECC">
          <w:pPr>
            <w:pStyle w:val="12"/>
            <w:tabs>
              <w:tab w:val="right" w:leader="dot" w:pos="8845"/>
              <w:tab w:val="clear" w:pos="8296"/>
            </w:tabs>
          </w:pPr>
          <w:r>
            <w:fldChar w:fldCharType="begin"/>
          </w:r>
          <w:r>
            <w:instrText xml:space="preserve"> HYPERLINK \l "_Toc26448" </w:instrText>
          </w:r>
          <w:r>
            <w:fldChar w:fldCharType="separate"/>
          </w:r>
          <w:r>
            <w:rPr>
              <w:rFonts w:eastAsia="黑体"/>
              <w:szCs w:val="32"/>
            </w:rPr>
            <w:t>一、收</w:t>
          </w:r>
          <w:r>
            <w:rPr>
              <w:rFonts w:eastAsia="黑体"/>
            </w:rPr>
            <w:t>入支出决算总体情况说明</w:t>
          </w:r>
          <w:r>
            <w:tab/>
          </w:r>
          <w:r>
            <w:fldChar w:fldCharType="begin"/>
          </w:r>
          <w:r>
            <w:instrText xml:space="preserve"> PAGEREF _Toc26448 \h </w:instrText>
          </w:r>
          <w:r>
            <w:fldChar w:fldCharType="separate"/>
          </w:r>
          <w:r>
            <w:t>- 2 -</w:t>
          </w:r>
          <w:r>
            <w:fldChar w:fldCharType="end"/>
          </w:r>
          <w:r>
            <w:fldChar w:fldCharType="end"/>
          </w:r>
        </w:p>
        <w:p w14:paraId="08A84F2E">
          <w:pPr>
            <w:pStyle w:val="12"/>
            <w:tabs>
              <w:tab w:val="right" w:leader="dot" w:pos="8845"/>
              <w:tab w:val="clear" w:pos="8296"/>
            </w:tabs>
          </w:pPr>
          <w:r>
            <w:fldChar w:fldCharType="begin"/>
          </w:r>
          <w:r>
            <w:instrText xml:space="preserve"> HYPERLINK \l "_Toc4419" </w:instrText>
          </w:r>
          <w:r>
            <w:fldChar w:fldCharType="separate"/>
          </w:r>
          <w:r>
            <w:rPr>
              <w:rFonts w:eastAsia="黑体"/>
              <w:szCs w:val="32"/>
            </w:rPr>
            <w:t>二、收</w:t>
          </w:r>
          <w:r>
            <w:rPr>
              <w:rFonts w:eastAsia="黑体"/>
            </w:rPr>
            <w:t>入决算情况说明</w:t>
          </w:r>
          <w:r>
            <w:tab/>
          </w:r>
          <w:r>
            <w:fldChar w:fldCharType="begin"/>
          </w:r>
          <w:r>
            <w:instrText xml:space="preserve"> PAGEREF _Toc4419 \h </w:instrText>
          </w:r>
          <w:r>
            <w:fldChar w:fldCharType="separate"/>
          </w:r>
          <w:r>
            <w:t>- 2 -</w:t>
          </w:r>
          <w:r>
            <w:fldChar w:fldCharType="end"/>
          </w:r>
          <w:r>
            <w:fldChar w:fldCharType="end"/>
          </w:r>
        </w:p>
        <w:p w14:paraId="0246C3D5">
          <w:pPr>
            <w:pStyle w:val="12"/>
            <w:tabs>
              <w:tab w:val="right" w:leader="dot" w:pos="8845"/>
              <w:tab w:val="clear" w:pos="8296"/>
            </w:tabs>
          </w:pPr>
          <w:r>
            <w:fldChar w:fldCharType="begin"/>
          </w:r>
          <w:r>
            <w:instrText xml:space="preserve"> HYPERLINK \l "_Toc12247" </w:instrText>
          </w:r>
          <w:r>
            <w:fldChar w:fldCharType="separate"/>
          </w:r>
          <w:r>
            <w:rPr>
              <w:rFonts w:eastAsia="黑体"/>
              <w:szCs w:val="32"/>
            </w:rPr>
            <w:t>三、支</w:t>
          </w:r>
          <w:r>
            <w:rPr>
              <w:rFonts w:eastAsia="黑体"/>
            </w:rPr>
            <w:t>出决算情况说明</w:t>
          </w:r>
          <w:r>
            <w:tab/>
          </w:r>
          <w:r>
            <w:fldChar w:fldCharType="begin"/>
          </w:r>
          <w:r>
            <w:instrText xml:space="preserve"> PAGEREF _Toc12247 \h </w:instrText>
          </w:r>
          <w:r>
            <w:fldChar w:fldCharType="separate"/>
          </w:r>
          <w:r>
            <w:t>- 3 -</w:t>
          </w:r>
          <w:r>
            <w:fldChar w:fldCharType="end"/>
          </w:r>
          <w:r>
            <w:fldChar w:fldCharType="end"/>
          </w:r>
        </w:p>
        <w:p w14:paraId="189EB70F">
          <w:pPr>
            <w:pStyle w:val="12"/>
            <w:tabs>
              <w:tab w:val="right" w:leader="dot" w:pos="8845"/>
              <w:tab w:val="clear" w:pos="8296"/>
            </w:tabs>
          </w:pPr>
          <w:r>
            <w:fldChar w:fldCharType="begin"/>
          </w:r>
          <w:r>
            <w:instrText xml:space="preserve"> HYPERLINK \l "_Toc28392" </w:instrText>
          </w:r>
          <w:r>
            <w:fldChar w:fldCharType="separate"/>
          </w:r>
          <w:r>
            <w:rPr>
              <w:rFonts w:eastAsia="黑体"/>
              <w:szCs w:val="32"/>
            </w:rPr>
            <w:t>四、财</w:t>
          </w:r>
          <w:r>
            <w:rPr>
              <w:rFonts w:eastAsia="黑体"/>
            </w:rPr>
            <w:t>政拨款收入支出决算总体情况说明</w:t>
          </w:r>
          <w:r>
            <w:tab/>
          </w:r>
          <w:r>
            <w:fldChar w:fldCharType="begin"/>
          </w:r>
          <w:r>
            <w:instrText xml:space="preserve"> PAGEREF _Toc28392 \h </w:instrText>
          </w:r>
          <w:r>
            <w:fldChar w:fldCharType="separate"/>
          </w:r>
          <w:r>
            <w:t>- 4 -</w:t>
          </w:r>
          <w:r>
            <w:fldChar w:fldCharType="end"/>
          </w:r>
          <w:r>
            <w:fldChar w:fldCharType="end"/>
          </w:r>
        </w:p>
        <w:p w14:paraId="7FFE0E3A">
          <w:pPr>
            <w:pStyle w:val="12"/>
            <w:tabs>
              <w:tab w:val="right" w:leader="dot" w:pos="8845"/>
              <w:tab w:val="clear" w:pos="8296"/>
            </w:tabs>
          </w:pPr>
          <w:r>
            <w:fldChar w:fldCharType="begin"/>
          </w:r>
          <w:r>
            <w:instrText xml:space="preserve"> HYPERLINK \l "_Toc26675" </w:instrText>
          </w:r>
          <w:r>
            <w:fldChar w:fldCharType="separate"/>
          </w:r>
          <w:r>
            <w:rPr>
              <w:rFonts w:eastAsia="黑体"/>
              <w:bCs/>
              <w:szCs w:val="32"/>
            </w:rPr>
            <w:t>五、</w:t>
          </w:r>
          <w:r>
            <w:rPr>
              <w:rFonts w:eastAsia="黑体"/>
              <w:szCs w:val="32"/>
            </w:rPr>
            <w:t>一</w:t>
          </w:r>
          <w:r>
            <w:rPr>
              <w:rFonts w:eastAsia="黑体"/>
            </w:rPr>
            <w:t>般公共预算财政拨款支出决算情况说明</w:t>
          </w:r>
          <w:r>
            <w:tab/>
          </w:r>
          <w:r>
            <w:fldChar w:fldCharType="begin"/>
          </w:r>
          <w:r>
            <w:instrText xml:space="preserve"> PAGEREF _Toc26675 \h </w:instrText>
          </w:r>
          <w:r>
            <w:fldChar w:fldCharType="separate"/>
          </w:r>
          <w:r>
            <w:t>- 4 -</w:t>
          </w:r>
          <w:r>
            <w:fldChar w:fldCharType="end"/>
          </w:r>
          <w:r>
            <w:fldChar w:fldCharType="end"/>
          </w:r>
        </w:p>
        <w:p w14:paraId="35E0B64E">
          <w:pPr>
            <w:pStyle w:val="7"/>
            <w:tabs>
              <w:tab w:val="right" w:leader="dot" w:pos="8845"/>
              <w:tab w:val="clear" w:pos="8296"/>
            </w:tabs>
          </w:pPr>
          <w:r>
            <w:fldChar w:fldCharType="begin"/>
          </w:r>
          <w:r>
            <w:instrText xml:space="preserve"> HYPERLINK \l "_Toc15804" </w:instrText>
          </w:r>
          <w:r>
            <w:fldChar w:fldCharType="separate"/>
          </w:r>
          <w:r>
            <w:rPr>
              <w:rFonts w:eastAsia="楷体_GB2312"/>
              <w:bCs/>
              <w:szCs w:val="32"/>
            </w:rPr>
            <w:t>（一）一般公共预算财政拨款支出决算总体情况。</w:t>
          </w:r>
          <w:r>
            <w:tab/>
          </w:r>
          <w:r>
            <w:fldChar w:fldCharType="begin"/>
          </w:r>
          <w:r>
            <w:instrText xml:space="preserve"> PAGEREF _Toc15804 \h </w:instrText>
          </w:r>
          <w:r>
            <w:fldChar w:fldCharType="separate"/>
          </w:r>
          <w:r>
            <w:t>- 4 -</w:t>
          </w:r>
          <w:r>
            <w:fldChar w:fldCharType="end"/>
          </w:r>
          <w:r>
            <w:fldChar w:fldCharType="end"/>
          </w:r>
        </w:p>
        <w:p w14:paraId="6B13EB6C">
          <w:pPr>
            <w:pStyle w:val="7"/>
            <w:tabs>
              <w:tab w:val="right" w:leader="dot" w:pos="8845"/>
              <w:tab w:val="clear" w:pos="8296"/>
            </w:tabs>
          </w:pPr>
          <w:r>
            <w:fldChar w:fldCharType="begin"/>
          </w:r>
          <w:r>
            <w:instrText xml:space="preserve"> HYPERLINK \l "_Toc19150" </w:instrText>
          </w:r>
          <w:r>
            <w:fldChar w:fldCharType="separate"/>
          </w:r>
          <w:r>
            <w:rPr>
              <w:rFonts w:eastAsia="楷体_GB2312"/>
              <w:bCs/>
              <w:szCs w:val="32"/>
            </w:rPr>
            <w:t>（二）一般公共预算财政拨款支出决算结构情况。</w:t>
          </w:r>
          <w:r>
            <w:tab/>
          </w:r>
          <w:r>
            <w:fldChar w:fldCharType="begin"/>
          </w:r>
          <w:r>
            <w:instrText xml:space="preserve"> PAGEREF _Toc19150 \h </w:instrText>
          </w:r>
          <w:r>
            <w:fldChar w:fldCharType="separate"/>
          </w:r>
          <w:r>
            <w:t>- 5 -</w:t>
          </w:r>
          <w:r>
            <w:fldChar w:fldCharType="end"/>
          </w:r>
          <w:r>
            <w:fldChar w:fldCharType="end"/>
          </w:r>
        </w:p>
        <w:p w14:paraId="6D74F23D">
          <w:pPr>
            <w:pStyle w:val="7"/>
            <w:tabs>
              <w:tab w:val="right" w:leader="dot" w:pos="8845"/>
              <w:tab w:val="clear" w:pos="8296"/>
            </w:tabs>
          </w:pPr>
          <w:r>
            <w:fldChar w:fldCharType="begin"/>
          </w:r>
          <w:r>
            <w:instrText xml:space="preserve"> HYPERLINK \l "_Toc17603" </w:instrText>
          </w:r>
          <w:r>
            <w:fldChar w:fldCharType="separate"/>
          </w:r>
          <w:r>
            <w:rPr>
              <w:rFonts w:eastAsia="楷体_GB2312"/>
              <w:bCs/>
              <w:szCs w:val="32"/>
            </w:rPr>
            <w:t>（三）一般公共预算财政拨款支出决算具体情况。</w:t>
          </w:r>
          <w:r>
            <w:tab/>
          </w:r>
          <w:r>
            <w:fldChar w:fldCharType="begin"/>
          </w:r>
          <w:r>
            <w:instrText xml:space="preserve"> PAGEREF _Toc17603 \h </w:instrText>
          </w:r>
          <w:r>
            <w:fldChar w:fldCharType="separate"/>
          </w:r>
          <w:r>
            <w:t>- 6 -</w:t>
          </w:r>
          <w:r>
            <w:fldChar w:fldCharType="end"/>
          </w:r>
          <w:r>
            <w:fldChar w:fldCharType="end"/>
          </w:r>
        </w:p>
        <w:p w14:paraId="58C45B8F">
          <w:pPr>
            <w:pStyle w:val="12"/>
            <w:tabs>
              <w:tab w:val="right" w:leader="dot" w:pos="8845"/>
              <w:tab w:val="clear" w:pos="8296"/>
            </w:tabs>
          </w:pPr>
          <w:r>
            <w:fldChar w:fldCharType="begin"/>
          </w:r>
          <w:r>
            <w:instrText xml:space="preserve"> HYPERLINK \l "_Toc18031" </w:instrText>
          </w:r>
          <w:r>
            <w:fldChar w:fldCharType="separate"/>
          </w:r>
          <w:r>
            <w:rPr>
              <w:rFonts w:eastAsia="黑体"/>
              <w:szCs w:val="32"/>
            </w:rPr>
            <w:t>六、一</w:t>
          </w:r>
          <w:r>
            <w:rPr>
              <w:rFonts w:eastAsia="黑体"/>
            </w:rPr>
            <w:t>般公共预算财政拨款基本支出决算情况说明</w:t>
          </w:r>
          <w:r>
            <w:tab/>
          </w:r>
          <w:r>
            <w:fldChar w:fldCharType="begin"/>
          </w:r>
          <w:r>
            <w:instrText xml:space="preserve"> PAGEREF _Toc18031 \h </w:instrText>
          </w:r>
          <w:r>
            <w:fldChar w:fldCharType="separate"/>
          </w:r>
          <w:r>
            <w:t>- 7 -</w:t>
          </w:r>
          <w:r>
            <w:fldChar w:fldCharType="end"/>
          </w:r>
          <w:r>
            <w:fldChar w:fldCharType="end"/>
          </w:r>
        </w:p>
        <w:p w14:paraId="03215876">
          <w:pPr>
            <w:pStyle w:val="12"/>
            <w:tabs>
              <w:tab w:val="right" w:leader="dot" w:pos="8845"/>
              <w:tab w:val="clear" w:pos="8296"/>
            </w:tabs>
          </w:pPr>
          <w:r>
            <w:fldChar w:fldCharType="begin"/>
          </w:r>
          <w:r>
            <w:instrText xml:space="preserve"> HYPERLINK \l "_Toc30999" </w:instrText>
          </w:r>
          <w:r>
            <w:fldChar w:fldCharType="separate"/>
          </w:r>
          <w:r>
            <w:rPr>
              <w:rFonts w:eastAsia="黑体"/>
              <w:szCs w:val="32"/>
            </w:rPr>
            <w:t>七、</w:t>
          </w:r>
          <w:r>
            <w:rPr>
              <w:rFonts w:eastAsia="黑体"/>
            </w:rPr>
            <w:t>财政拨款“三公”经费支出决算情况说明</w:t>
          </w:r>
          <w:r>
            <w:tab/>
          </w:r>
          <w:r>
            <w:fldChar w:fldCharType="begin"/>
          </w:r>
          <w:r>
            <w:instrText xml:space="preserve"> PAGEREF _Toc30999 \h </w:instrText>
          </w:r>
          <w:r>
            <w:fldChar w:fldCharType="separate"/>
          </w:r>
          <w:r>
            <w:t>- 8 -</w:t>
          </w:r>
          <w:r>
            <w:fldChar w:fldCharType="end"/>
          </w:r>
          <w:r>
            <w:fldChar w:fldCharType="end"/>
          </w:r>
        </w:p>
        <w:p w14:paraId="1AC648E4">
          <w:pPr>
            <w:pStyle w:val="7"/>
            <w:tabs>
              <w:tab w:val="right" w:leader="dot" w:pos="8845"/>
              <w:tab w:val="clear" w:pos="8296"/>
            </w:tabs>
          </w:pPr>
          <w:r>
            <w:fldChar w:fldCharType="begin"/>
          </w:r>
          <w:r>
            <w:instrText xml:space="preserve"> HYPERLINK \l "_Toc17418" </w:instrText>
          </w:r>
          <w:r>
            <w:fldChar w:fldCharType="separate"/>
          </w:r>
          <w:r>
            <w:rPr>
              <w:rFonts w:eastAsia="楷体_GB2312"/>
              <w:bCs/>
              <w:szCs w:val="32"/>
            </w:rPr>
            <w:t>（一）“三公”经费财政拨款支出决算总体情况说明。</w:t>
          </w:r>
          <w:r>
            <w:tab/>
          </w:r>
          <w:r>
            <w:fldChar w:fldCharType="begin"/>
          </w:r>
          <w:r>
            <w:instrText xml:space="preserve"> PAGEREF _Toc17418 \h </w:instrText>
          </w:r>
          <w:r>
            <w:fldChar w:fldCharType="separate"/>
          </w:r>
          <w:r>
            <w:t>- 8 -</w:t>
          </w:r>
          <w:r>
            <w:fldChar w:fldCharType="end"/>
          </w:r>
          <w:r>
            <w:fldChar w:fldCharType="end"/>
          </w:r>
        </w:p>
        <w:p w14:paraId="5BE4829F">
          <w:pPr>
            <w:pStyle w:val="7"/>
            <w:tabs>
              <w:tab w:val="right" w:leader="dot" w:pos="8845"/>
              <w:tab w:val="clear" w:pos="8296"/>
            </w:tabs>
          </w:pPr>
          <w:r>
            <w:fldChar w:fldCharType="begin"/>
          </w:r>
          <w:r>
            <w:instrText xml:space="preserve"> HYPERLINK \l "_Toc3808" </w:instrText>
          </w:r>
          <w:r>
            <w:fldChar w:fldCharType="separate"/>
          </w:r>
          <w:r>
            <w:rPr>
              <w:rFonts w:eastAsia="楷体_GB2312"/>
              <w:bCs/>
              <w:szCs w:val="32"/>
            </w:rPr>
            <w:t>（二）“三公”经费财政拨款支出决算具体情况说明。</w:t>
          </w:r>
          <w:r>
            <w:tab/>
          </w:r>
          <w:r>
            <w:fldChar w:fldCharType="begin"/>
          </w:r>
          <w:r>
            <w:instrText xml:space="preserve"> PAGEREF _Toc3808 \h </w:instrText>
          </w:r>
          <w:r>
            <w:fldChar w:fldCharType="separate"/>
          </w:r>
          <w:r>
            <w:t>- 8 -</w:t>
          </w:r>
          <w:r>
            <w:fldChar w:fldCharType="end"/>
          </w:r>
          <w:r>
            <w:fldChar w:fldCharType="end"/>
          </w:r>
        </w:p>
        <w:p w14:paraId="4CDACC4C">
          <w:pPr>
            <w:pStyle w:val="12"/>
            <w:tabs>
              <w:tab w:val="right" w:leader="dot" w:pos="8845"/>
              <w:tab w:val="clear" w:pos="8296"/>
            </w:tabs>
          </w:pPr>
          <w:r>
            <w:fldChar w:fldCharType="begin"/>
          </w:r>
          <w:r>
            <w:instrText xml:space="preserve"> HYPERLINK \l "_Toc28154" </w:instrText>
          </w:r>
          <w:r>
            <w:fldChar w:fldCharType="separate"/>
          </w:r>
          <w:r>
            <w:rPr>
              <w:rFonts w:eastAsia="黑体"/>
              <w:szCs w:val="32"/>
            </w:rPr>
            <w:t>八、</w:t>
          </w:r>
          <w:r>
            <w:rPr>
              <w:rFonts w:eastAsia="黑体"/>
            </w:rPr>
            <w:t>政府性基金预算支出决算情况说明</w:t>
          </w:r>
          <w:r>
            <w:tab/>
          </w:r>
          <w:r>
            <w:fldChar w:fldCharType="begin"/>
          </w:r>
          <w:r>
            <w:instrText xml:space="preserve"> PAGEREF _Toc28154 \h </w:instrText>
          </w:r>
          <w:r>
            <w:fldChar w:fldCharType="separate"/>
          </w:r>
          <w:r>
            <w:t>- 10 -</w:t>
          </w:r>
          <w:r>
            <w:fldChar w:fldCharType="end"/>
          </w:r>
          <w:r>
            <w:fldChar w:fldCharType="end"/>
          </w:r>
        </w:p>
        <w:p w14:paraId="284A2707">
          <w:pPr>
            <w:pStyle w:val="12"/>
            <w:tabs>
              <w:tab w:val="right" w:leader="dot" w:pos="8845"/>
              <w:tab w:val="clear" w:pos="8296"/>
            </w:tabs>
          </w:pPr>
          <w:r>
            <w:fldChar w:fldCharType="begin"/>
          </w:r>
          <w:r>
            <w:instrText xml:space="preserve"> HYPERLINK \l "_Toc2501" </w:instrText>
          </w:r>
          <w:r>
            <w:fldChar w:fldCharType="separate"/>
          </w:r>
          <w:r>
            <w:rPr>
              <w:rFonts w:eastAsia="黑体"/>
            </w:rPr>
            <w:t>九、国有资本经营预算支出决算情况说明</w:t>
          </w:r>
          <w:r>
            <w:tab/>
          </w:r>
          <w:r>
            <w:fldChar w:fldCharType="begin"/>
          </w:r>
          <w:r>
            <w:instrText xml:space="preserve"> PAGEREF _Toc2501 \h </w:instrText>
          </w:r>
          <w:r>
            <w:fldChar w:fldCharType="separate"/>
          </w:r>
          <w:r>
            <w:t>- 10 -</w:t>
          </w:r>
          <w:r>
            <w:fldChar w:fldCharType="end"/>
          </w:r>
          <w:r>
            <w:fldChar w:fldCharType="end"/>
          </w:r>
        </w:p>
        <w:p w14:paraId="27F6F93D">
          <w:pPr>
            <w:pStyle w:val="12"/>
            <w:tabs>
              <w:tab w:val="right" w:leader="dot" w:pos="8845"/>
              <w:tab w:val="clear" w:pos="8296"/>
            </w:tabs>
          </w:pPr>
          <w:r>
            <w:fldChar w:fldCharType="begin"/>
          </w:r>
          <w:r>
            <w:instrText xml:space="preserve"> HYPERLINK \l "_Toc25421" </w:instrText>
          </w:r>
          <w:r>
            <w:fldChar w:fldCharType="separate"/>
          </w:r>
          <w:r>
            <w:rPr>
              <w:rFonts w:eastAsia="黑体"/>
            </w:rPr>
            <w:t>十、其他重要事项的情况说明</w:t>
          </w:r>
          <w:r>
            <w:tab/>
          </w:r>
          <w:r>
            <w:fldChar w:fldCharType="begin"/>
          </w:r>
          <w:r>
            <w:instrText xml:space="preserve"> PAGEREF _Toc25421 \h </w:instrText>
          </w:r>
          <w:r>
            <w:fldChar w:fldCharType="separate"/>
          </w:r>
          <w:r>
            <w:t>- 10 -</w:t>
          </w:r>
          <w:r>
            <w:fldChar w:fldCharType="end"/>
          </w:r>
          <w:r>
            <w:fldChar w:fldCharType="end"/>
          </w:r>
        </w:p>
        <w:p w14:paraId="082AC65F">
          <w:pPr>
            <w:pStyle w:val="7"/>
            <w:tabs>
              <w:tab w:val="right" w:leader="dot" w:pos="8845"/>
              <w:tab w:val="clear" w:pos="8296"/>
            </w:tabs>
          </w:pPr>
          <w:r>
            <w:fldChar w:fldCharType="begin"/>
          </w:r>
          <w:r>
            <w:instrText xml:space="preserve"> HYPERLINK \l "_Toc1904" </w:instrText>
          </w:r>
          <w:r>
            <w:fldChar w:fldCharType="separate"/>
          </w:r>
          <w:r>
            <w:rPr>
              <w:rFonts w:eastAsia="楷体_GB2312"/>
              <w:bCs/>
              <w:szCs w:val="32"/>
            </w:rPr>
            <w:t>（一）机关运行经费支出情况。</w:t>
          </w:r>
          <w:r>
            <w:tab/>
          </w:r>
          <w:r>
            <w:fldChar w:fldCharType="begin"/>
          </w:r>
          <w:r>
            <w:instrText xml:space="preserve"> PAGEREF _Toc1904 \h </w:instrText>
          </w:r>
          <w:r>
            <w:fldChar w:fldCharType="separate"/>
          </w:r>
          <w:r>
            <w:t>- 10 -</w:t>
          </w:r>
          <w:r>
            <w:fldChar w:fldCharType="end"/>
          </w:r>
          <w:r>
            <w:fldChar w:fldCharType="end"/>
          </w:r>
        </w:p>
        <w:p w14:paraId="4E953C0B">
          <w:pPr>
            <w:pStyle w:val="7"/>
            <w:tabs>
              <w:tab w:val="right" w:leader="dot" w:pos="8845"/>
              <w:tab w:val="clear" w:pos="8296"/>
            </w:tabs>
          </w:pPr>
          <w:r>
            <w:fldChar w:fldCharType="begin"/>
          </w:r>
          <w:r>
            <w:instrText xml:space="preserve"> HYPERLINK \l "_Toc8837" </w:instrText>
          </w:r>
          <w:r>
            <w:fldChar w:fldCharType="separate"/>
          </w:r>
          <w:r>
            <w:rPr>
              <w:rFonts w:eastAsia="楷体_GB2312"/>
              <w:bCs/>
              <w:szCs w:val="32"/>
            </w:rPr>
            <w:t>（二）政府采购支出情况。</w:t>
          </w:r>
          <w:r>
            <w:tab/>
          </w:r>
          <w:r>
            <w:fldChar w:fldCharType="begin"/>
          </w:r>
          <w:r>
            <w:instrText xml:space="preserve"> PAGEREF _Toc8837 \h </w:instrText>
          </w:r>
          <w:r>
            <w:fldChar w:fldCharType="separate"/>
          </w:r>
          <w:r>
            <w:t>- 10 -</w:t>
          </w:r>
          <w:r>
            <w:fldChar w:fldCharType="end"/>
          </w:r>
          <w:r>
            <w:fldChar w:fldCharType="end"/>
          </w:r>
        </w:p>
        <w:p w14:paraId="356DB448">
          <w:pPr>
            <w:pStyle w:val="7"/>
            <w:tabs>
              <w:tab w:val="right" w:leader="dot" w:pos="8845"/>
              <w:tab w:val="clear" w:pos="8296"/>
            </w:tabs>
          </w:pPr>
          <w:r>
            <w:fldChar w:fldCharType="begin"/>
          </w:r>
          <w:r>
            <w:instrText xml:space="preserve"> HYPERLINK \l "_Toc11701" </w:instrText>
          </w:r>
          <w:r>
            <w:fldChar w:fldCharType="separate"/>
          </w:r>
          <w:r>
            <w:rPr>
              <w:rFonts w:eastAsia="楷体_GB2312"/>
              <w:bCs/>
              <w:szCs w:val="32"/>
            </w:rPr>
            <w:t>（三）国有资产占有使用情况。</w:t>
          </w:r>
          <w:r>
            <w:tab/>
          </w:r>
          <w:r>
            <w:fldChar w:fldCharType="begin"/>
          </w:r>
          <w:r>
            <w:instrText xml:space="preserve"> PAGEREF _Toc11701 \h </w:instrText>
          </w:r>
          <w:r>
            <w:fldChar w:fldCharType="separate"/>
          </w:r>
          <w:r>
            <w:t>- 11 -</w:t>
          </w:r>
          <w:r>
            <w:fldChar w:fldCharType="end"/>
          </w:r>
          <w:r>
            <w:fldChar w:fldCharType="end"/>
          </w:r>
        </w:p>
        <w:p w14:paraId="481B5056">
          <w:pPr>
            <w:pStyle w:val="7"/>
            <w:tabs>
              <w:tab w:val="right" w:leader="dot" w:pos="8845"/>
              <w:tab w:val="clear" w:pos="8296"/>
            </w:tabs>
          </w:pPr>
          <w:r>
            <w:fldChar w:fldCharType="begin"/>
          </w:r>
          <w:r>
            <w:instrText xml:space="preserve"> HYPERLINK \l "_Toc24070" </w:instrText>
          </w:r>
          <w:r>
            <w:fldChar w:fldCharType="separate"/>
          </w:r>
          <w:r>
            <w:rPr>
              <w:rFonts w:eastAsia="楷体_GB2312"/>
              <w:bCs/>
              <w:szCs w:val="32"/>
            </w:rPr>
            <w:t>（四）预算绩效管理情况。</w:t>
          </w:r>
          <w:r>
            <w:tab/>
          </w:r>
          <w:r>
            <w:fldChar w:fldCharType="begin"/>
          </w:r>
          <w:r>
            <w:instrText xml:space="preserve"> PAGEREF _Toc24070 \h </w:instrText>
          </w:r>
          <w:r>
            <w:fldChar w:fldCharType="separate"/>
          </w:r>
          <w:r>
            <w:t>- 11 -</w:t>
          </w:r>
          <w:r>
            <w:fldChar w:fldCharType="end"/>
          </w:r>
          <w:r>
            <w:fldChar w:fldCharType="end"/>
          </w:r>
        </w:p>
        <w:p w14:paraId="4CB07C35">
          <w:pPr>
            <w:pStyle w:val="11"/>
            <w:tabs>
              <w:tab w:val="right" w:leader="dot" w:pos="8845"/>
              <w:tab w:val="clear" w:pos="8296"/>
            </w:tabs>
          </w:pPr>
          <w:r>
            <w:fldChar w:fldCharType="begin"/>
          </w:r>
          <w:r>
            <w:instrText xml:space="preserve"> HYPERLINK \l "_Toc25061" </w:instrText>
          </w:r>
          <w:r>
            <w:fldChar w:fldCharType="separate"/>
          </w:r>
          <w:r>
            <w:rPr>
              <w:rFonts w:hint="eastAsia" w:ascii="方正小标宋_GBK" w:hAnsi="方正小标宋_GBK" w:eastAsia="方正小标宋_GBK" w:cs="方正小标宋_GBK"/>
              <w:sz w:val="21"/>
              <w:szCs w:val="24"/>
            </w:rPr>
            <w:t>第三部分 名词解释</w:t>
          </w:r>
          <w:r>
            <w:rPr>
              <w:rFonts w:ascii="Times New Roman" w:hAnsi="Times New Roman" w:eastAsia="宋体"/>
              <w:sz w:val="21"/>
              <w:szCs w:val="24"/>
            </w:rPr>
            <w:tab/>
          </w:r>
          <w:r>
            <w:rPr>
              <w:rFonts w:ascii="Times New Roman" w:hAnsi="Times New Roman" w:eastAsia="宋体"/>
              <w:sz w:val="21"/>
              <w:szCs w:val="24"/>
            </w:rPr>
            <w:fldChar w:fldCharType="begin"/>
          </w:r>
          <w:r>
            <w:rPr>
              <w:rFonts w:ascii="Times New Roman" w:hAnsi="Times New Roman" w:eastAsia="宋体"/>
              <w:sz w:val="21"/>
              <w:szCs w:val="24"/>
            </w:rPr>
            <w:instrText xml:space="preserve"> PAGEREF _Toc25061 \h </w:instrText>
          </w:r>
          <w:r>
            <w:rPr>
              <w:rFonts w:ascii="Times New Roman" w:hAnsi="Times New Roman" w:eastAsia="宋体"/>
              <w:sz w:val="21"/>
              <w:szCs w:val="24"/>
            </w:rPr>
            <w:fldChar w:fldCharType="separate"/>
          </w:r>
          <w:r>
            <w:rPr>
              <w:rFonts w:ascii="Times New Roman" w:hAnsi="Times New Roman" w:eastAsia="宋体"/>
              <w:sz w:val="21"/>
              <w:szCs w:val="24"/>
            </w:rPr>
            <w:t>- 12 -</w:t>
          </w:r>
          <w:r>
            <w:rPr>
              <w:rFonts w:ascii="Times New Roman" w:hAnsi="Times New Roman" w:eastAsia="宋体"/>
              <w:sz w:val="21"/>
              <w:szCs w:val="24"/>
            </w:rPr>
            <w:fldChar w:fldCharType="end"/>
          </w:r>
          <w:r>
            <w:rPr>
              <w:rFonts w:ascii="Times New Roman" w:hAnsi="Times New Roman" w:eastAsia="宋体"/>
              <w:sz w:val="21"/>
              <w:szCs w:val="24"/>
            </w:rPr>
            <w:fldChar w:fldCharType="end"/>
          </w:r>
        </w:p>
        <w:p w14:paraId="5E986370">
          <w:pPr>
            <w:pStyle w:val="11"/>
            <w:tabs>
              <w:tab w:val="right" w:leader="dot" w:pos="8845"/>
              <w:tab w:val="clear" w:pos="8296"/>
            </w:tabs>
            <w:rPr>
              <w:rFonts w:ascii="Times New Roman" w:hAnsi="Times New Roman" w:eastAsia="宋体"/>
              <w:sz w:val="21"/>
              <w:szCs w:val="24"/>
            </w:rPr>
          </w:pPr>
          <w:r>
            <w:fldChar w:fldCharType="begin"/>
          </w:r>
          <w:r>
            <w:instrText xml:space="preserve"> HYPERLINK \l "_Toc27230" </w:instrText>
          </w:r>
          <w:r>
            <w:fldChar w:fldCharType="separate"/>
          </w:r>
          <w:r>
            <w:rPr>
              <w:rFonts w:hint="eastAsia" w:ascii="方正小标宋_GBK" w:hAnsi="方正小标宋_GBK" w:eastAsia="方正小标宋_GBK" w:cs="方正小标宋_GBK"/>
              <w:sz w:val="21"/>
              <w:szCs w:val="24"/>
            </w:rPr>
            <w:t>第四部分 附件</w:t>
          </w:r>
          <w:r>
            <w:rPr>
              <w:rFonts w:hint="eastAsia" w:ascii="Times New Roman" w:hAnsi="Times New Roman" w:eastAsia="宋体"/>
              <w:sz w:val="21"/>
              <w:szCs w:val="24"/>
            </w:rPr>
            <w:tab/>
          </w:r>
          <w:r>
            <w:rPr>
              <w:rFonts w:hint="eastAsia" w:ascii="Times New Roman" w:hAnsi="Times New Roman" w:eastAsia="宋体"/>
              <w:sz w:val="21"/>
              <w:szCs w:val="24"/>
            </w:rPr>
            <w:fldChar w:fldCharType="begin"/>
          </w:r>
          <w:r>
            <w:rPr>
              <w:rFonts w:hint="eastAsia" w:ascii="Times New Roman" w:hAnsi="Times New Roman" w:eastAsia="宋体"/>
              <w:sz w:val="21"/>
              <w:szCs w:val="24"/>
            </w:rPr>
            <w:instrText xml:space="preserve"> PAGEREF _Toc27230 \h </w:instrText>
          </w:r>
          <w:r>
            <w:rPr>
              <w:rFonts w:hint="eastAsia" w:ascii="Times New Roman" w:hAnsi="Times New Roman" w:eastAsia="宋体"/>
              <w:sz w:val="21"/>
              <w:szCs w:val="24"/>
            </w:rPr>
            <w:fldChar w:fldCharType="separate"/>
          </w:r>
          <w:r>
            <w:rPr>
              <w:rFonts w:hint="eastAsia" w:ascii="Times New Roman" w:hAnsi="Times New Roman" w:eastAsia="宋体"/>
              <w:sz w:val="21"/>
              <w:szCs w:val="24"/>
            </w:rPr>
            <w:t>- 15 -</w:t>
          </w:r>
          <w:r>
            <w:rPr>
              <w:rFonts w:hint="eastAsia" w:ascii="Times New Roman" w:hAnsi="Times New Roman" w:eastAsia="宋体"/>
              <w:sz w:val="21"/>
              <w:szCs w:val="24"/>
            </w:rPr>
            <w:fldChar w:fldCharType="end"/>
          </w:r>
          <w:r>
            <w:rPr>
              <w:rFonts w:hint="eastAsia" w:ascii="Times New Roman" w:hAnsi="Times New Roman" w:eastAsia="宋体"/>
              <w:sz w:val="21"/>
              <w:szCs w:val="24"/>
            </w:rPr>
            <w:fldChar w:fldCharType="end"/>
          </w:r>
        </w:p>
        <w:p w14:paraId="48D0ED26">
          <w:pPr>
            <w:pStyle w:val="11"/>
            <w:tabs>
              <w:tab w:val="right" w:leader="dot" w:pos="8845"/>
              <w:tab w:val="clear" w:pos="8296"/>
            </w:tabs>
          </w:pPr>
          <w:r>
            <w:fldChar w:fldCharType="begin"/>
          </w:r>
          <w:r>
            <w:instrText xml:space="preserve"> HYPERLINK \l "_Toc27612" </w:instrText>
          </w:r>
          <w:r>
            <w:fldChar w:fldCharType="separate"/>
          </w:r>
          <w:r>
            <w:rPr>
              <w:rFonts w:hint="eastAsia" w:ascii="方正小标宋_GBK" w:hAnsi="方正小标宋_GBK" w:eastAsia="方正小标宋_GBK" w:cs="方正小标宋_GBK"/>
              <w:sz w:val="21"/>
              <w:szCs w:val="24"/>
            </w:rPr>
            <w:t>第五部分 附表</w:t>
          </w:r>
          <w:r>
            <w:rPr>
              <w:rFonts w:ascii="Times New Roman" w:hAnsi="Times New Roman" w:eastAsia="宋体"/>
              <w:sz w:val="21"/>
              <w:szCs w:val="24"/>
            </w:rPr>
            <w:tab/>
          </w:r>
          <w:r>
            <w:rPr>
              <w:rFonts w:ascii="Times New Roman" w:hAnsi="Times New Roman" w:eastAsia="宋体"/>
              <w:sz w:val="21"/>
              <w:szCs w:val="24"/>
            </w:rPr>
            <w:fldChar w:fldCharType="begin"/>
          </w:r>
          <w:r>
            <w:rPr>
              <w:rFonts w:ascii="Times New Roman" w:hAnsi="Times New Roman" w:eastAsia="宋体"/>
              <w:sz w:val="21"/>
              <w:szCs w:val="24"/>
            </w:rPr>
            <w:instrText xml:space="preserve"> PAGEREF _Toc27612 \h </w:instrText>
          </w:r>
          <w:r>
            <w:rPr>
              <w:rFonts w:ascii="Times New Roman" w:hAnsi="Times New Roman" w:eastAsia="宋体"/>
              <w:sz w:val="21"/>
              <w:szCs w:val="24"/>
            </w:rPr>
            <w:fldChar w:fldCharType="separate"/>
          </w:r>
          <w:r>
            <w:rPr>
              <w:rFonts w:ascii="Times New Roman" w:hAnsi="Times New Roman" w:eastAsia="宋体"/>
              <w:sz w:val="21"/>
              <w:szCs w:val="24"/>
            </w:rPr>
            <w:t>- 16 -</w:t>
          </w:r>
          <w:r>
            <w:rPr>
              <w:rFonts w:ascii="Times New Roman" w:hAnsi="Times New Roman" w:eastAsia="宋体"/>
              <w:sz w:val="21"/>
              <w:szCs w:val="24"/>
            </w:rPr>
            <w:fldChar w:fldCharType="end"/>
          </w:r>
          <w:r>
            <w:rPr>
              <w:rFonts w:ascii="Times New Roman" w:hAnsi="Times New Roman" w:eastAsia="宋体"/>
              <w:sz w:val="21"/>
              <w:szCs w:val="24"/>
            </w:rPr>
            <w:fldChar w:fldCharType="end"/>
          </w:r>
        </w:p>
        <w:p w14:paraId="5FF2AB97">
          <w:pPr>
            <w:pStyle w:val="12"/>
            <w:tabs>
              <w:tab w:val="right" w:leader="dot" w:pos="8845"/>
              <w:tab w:val="clear" w:pos="8296"/>
            </w:tabs>
          </w:pPr>
          <w:r>
            <w:fldChar w:fldCharType="begin"/>
          </w:r>
          <w:r>
            <w:instrText xml:space="preserve"> HYPERLINK \l "_Toc29085" </w:instrText>
          </w:r>
          <w:r>
            <w:fldChar w:fldCharType="separate"/>
          </w:r>
          <w:r>
            <w:rPr>
              <w:rFonts w:hint="eastAsia" w:ascii="仿宋_GB2312" w:hAnsi="仿宋_GB2312" w:eastAsia="仿宋_GB2312" w:cs="仿宋_GB2312"/>
            </w:rPr>
            <w:t>一、收入支出决算总表</w:t>
          </w:r>
          <w:r>
            <w:tab/>
          </w:r>
          <w:r>
            <w:fldChar w:fldCharType="begin"/>
          </w:r>
          <w:r>
            <w:instrText xml:space="preserve"> PAGEREF _Toc29085 \h </w:instrText>
          </w:r>
          <w:r>
            <w:fldChar w:fldCharType="separate"/>
          </w:r>
          <w:r>
            <w:t>- 16 -</w:t>
          </w:r>
          <w:r>
            <w:fldChar w:fldCharType="end"/>
          </w:r>
          <w:r>
            <w:fldChar w:fldCharType="end"/>
          </w:r>
        </w:p>
        <w:p w14:paraId="3D047011">
          <w:pPr>
            <w:pStyle w:val="12"/>
            <w:tabs>
              <w:tab w:val="right" w:leader="dot" w:pos="8845"/>
              <w:tab w:val="clear" w:pos="8296"/>
            </w:tabs>
          </w:pPr>
          <w:r>
            <w:fldChar w:fldCharType="begin"/>
          </w:r>
          <w:r>
            <w:instrText xml:space="preserve"> HYPERLINK \l "_Toc21882" </w:instrText>
          </w:r>
          <w:r>
            <w:fldChar w:fldCharType="separate"/>
          </w:r>
          <w:r>
            <w:rPr>
              <w:rFonts w:hint="eastAsia" w:ascii="仿宋_GB2312" w:hAnsi="仿宋_GB2312" w:eastAsia="仿宋_GB2312" w:cs="仿宋_GB2312"/>
            </w:rPr>
            <w:t>二、收入决算表</w:t>
          </w:r>
          <w:r>
            <w:tab/>
          </w:r>
          <w:r>
            <w:fldChar w:fldCharType="begin"/>
          </w:r>
          <w:r>
            <w:instrText xml:space="preserve"> PAGEREF _Toc21882 \h </w:instrText>
          </w:r>
          <w:r>
            <w:fldChar w:fldCharType="separate"/>
          </w:r>
          <w:r>
            <w:t>- 16 -</w:t>
          </w:r>
          <w:r>
            <w:fldChar w:fldCharType="end"/>
          </w:r>
          <w:r>
            <w:fldChar w:fldCharType="end"/>
          </w:r>
        </w:p>
        <w:p w14:paraId="6B2FE10C">
          <w:pPr>
            <w:pStyle w:val="12"/>
            <w:tabs>
              <w:tab w:val="right" w:leader="dot" w:pos="8845"/>
              <w:tab w:val="clear" w:pos="8296"/>
            </w:tabs>
          </w:pPr>
          <w:r>
            <w:fldChar w:fldCharType="begin"/>
          </w:r>
          <w:r>
            <w:instrText xml:space="preserve"> HYPERLINK \l "_Toc2356" </w:instrText>
          </w:r>
          <w:r>
            <w:fldChar w:fldCharType="separate"/>
          </w:r>
          <w:r>
            <w:rPr>
              <w:rFonts w:hint="eastAsia" w:ascii="仿宋_GB2312" w:hAnsi="仿宋_GB2312" w:eastAsia="仿宋_GB2312" w:cs="仿宋_GB2312"/>
            </w:rPr>
            <w:t>三、支出决算表</w:t>
          </w:r>
          <w:r>
            <w:tab/>
          </w:r>
          <w:r>
            <w:fldChar w:fldCharType="begin"/>
          </w:r>
          <w:r>
            <w:instrText xml:space="preserve"> PAGEREF _Toc2356 \h </w:instrText>
          </w:r>
          <w:r>
            <w:fldChar w:fldCharType="separate"/>
          </w:r>
          <w:r>
            <w:t>- 16 -</w:t>
          </w:r>
          <w:r>
            <w:fldChar w:fldCharType="end"/>
          </w:r>
          <w:r>
            <w:fldChar w:fldCharType="end"/>
          </w:r>
        </w:p>
        <w:p w14:paraId="462C1B02">
          <w:pPr>
            <w:pStyle w:val="12"/>
            <w:tabs>
              <w:tab w:val="right" w:leader="dot" w:pos="8845"/>
              <w:tab w:val="clear" w:pos="8296"/>
            </w:tabs>
          </w:pPr>
          <w:r>
            <w:fldChar w:fldCharType="begin"/>
          </w:r>
          <w:r>
            <w:instrText xml:space="preserve"> HYPERLINK \l "_Toc21509" </w:instrText>
          </w:r>
          <w:r>
            <w:fldChar w:fldCharType="separate"/>
          </w:r>
          <w:r>
            <w:rPr>
              <w:rFonts w:hint="eastAsia" w:ascii="仿宋_GB2312" w:hAnsi="仿宋_GB2312" w:eastAsia="仿宋_GB2312" w:cs="仿宋_GB2312"/>
            </w:rPr>
            <w:t>四、财政拨款收入支出决算总表</w:t>
          </w:r>
          <w:r>
            <w:tab/>
          </w:r>
          <w:r>
            <w:fldChar w:fldCharType="begin"/>
          </w:r>
          <w:r>
            <w:instrText xml:space="preserve"> PAGEREF _Toc21509 \h </w:instrText>
          </w:r>
          <w:r>
            <w:fldChar w:fldCharType="separate"/>
          </w:r>
          <w:r>
            <w:t>- 16 -</w:t>
          </w:r>
          <w:r>
            <w:fldChar w:fldCharType="end"/>
          </w:r>
          <w:r>
            <w:fldChar w:fldCharType="end"/>
          </w:r>
        </w:p>
        <w:p w14:paraId="25A0C9F9">
          <w:pPr>
            <w:pStyle w:val="12"/>
            <w:tabs>
              <w:tab w:val="right" w:leader="dot" w:pos="8845"/>
              <w:tab w:val="clear" w:pos="8296"/>
            </w:tabs>
          </w:pPr>
          <w:r>
            <w:fldChar w:fldCharType="begin"/>
          </w:r>
          <w:r>
            <w:instrText xml:space="preserve"> HYPERLINK \l "_Toc30147" </w:instrText>
          </w:r>
          <w:r>
            <w:fldChar w:fldCharType="separate"/>
          </w:r>
          <w:r>
            <w:rPr>
              <w:rFonts w:hint="eastAsia" w:ascii="仿宋_GB2312" w:hAnsi="仿宋_GB2312" w:eastAsia="仿宋_GB2312" w:cs="仿宋_GB2312"/>
            </w:rPr>
            <w:t>五、财政拨款支出决算明细表</w:t>
          </w:r>
          <w:r>
            <w:tab/>
          </w:r>
          <w:r>
            <w:fldChar w:fldCharType="begin"/>
          </w:r>
          <w:r>
            <w:instrText xml:space="preserve"> PAGEREF _Toc30147 \h </w:instrText>
          </w:r>
          <w:r>
            <w:fldChar w:fldCharType="separate"/>
          </w:r>
          <w:r>
            <w:t>- 16 -</w:t>
          </w:r>
          <w:r>
            <w:fldChar w:fldCharType="end"/>
          </w:r>
          <w:r>
            <w:fldChar w:fldCharType="end"/>
          </w:r>
        </w:p>
        <w:p w14:paraId="63307856">
          <w:pPr>
            <w:pStyle w:val="12"/>
            <w:tabs>
              <w:tab w:val="right" w:leader="dot" w:pos="8845"/>
              <w:tab w:val="clear" w:pos="8296"/>
            </w:tabs>
          </w:pPr>
          <w:r>
            <w:fldChar w:fldCharType="begin"/>
          </w:r>
          <w:r>
            <w:instrText xml:space="preserve"> HYPERLINK \l "_Toc11619" </w:instrText>
          </w:r>
          <w:r>
            <w:fldChar w:fldCharType="separate"/>
          </w:r>
          <w:r>
            <w:rPr>
              <w:rFonts w:hint="eastAsia" w:ascii="仿宋_GB2312" w:hAnsi="仿宋_GB2312" w:eastAsia="仿宋_GB2312" w:cs="仿宋_GB2312"/>
            </w:rPr>
            <w:t>六、一般公共预算财政拨款支出决算表</w:t>
          </w:r>
          <w:r>
            <w:tab/>
          </w:r>
          <w:r>
            <w:fldChar w:fldCharType="begin"/>
          </w:r>
          <w:r>
            <w:instrText xml:space="preserve"> PAGEREF _Toc11619 \h </w:instrText>
          </w:r>
          <w:r>
            <w:fldChar w:fldCharType="separate"/>
          </w:r>
          <w:r>
            <w:t>- 16 -</w:t>
          </w:r>
          <w:r>
            <w:fldChar w:fldCharType="end"/>
          </w:r>
          <w:r>
            <w:fldChar w:fldCharType="end"/>
          </w:r>
        </w:p>
        <w:p w14:paraId="509D01FE">
          <w:pPr>
            <w:pStyle w:val="12"/>
            <w:tabs>
              <w:tab w:val="right" w:leader="dot" w:pos="8845"/>
              <w:tab w:val="clear" w:pos="8296"/>
            </w:tabs>
          </w:pPr>
          <w:r>
            <w:fldChar w:fldCharType="begin"/>
          </w:r>
          <w:r>
            <w:instrText xml:space="preserve"> HYPERLINK \l "_Toc1448" </w:instrText>
          </w:r>
          <w:r>
            <w:fldChar w:fldCharType="separate"/>
          </w:r>
          <w:r>
            <w:rPr>
              <w:rFonts w:hint="eastAsia" w:ascii="仿宋_GB2312" w:hAnsi="仿宋_GB2312" w:eastAsia="仿宋_GB2312" w:cs="仿宋_GB2312"/>
            </w:rPr>
            <w:t>七、一般公共预算财政拨款支出决算明细表</w:t>
          </w:r>
          <w:r>
            <w:tab/>
          </w:r>
          <w:r>
            <w:fldChar w:fldCharType="begin"/>
          </w:r>
          <w:r>
            <w:instrText xml:space="preserve"> PAGEREF _Toc1448 \h </w:instrText>
          </w:r>
          <w:r>
            <w:fldChar w:fldCharType="separate"/>
          </w:r>
          <w:r>
            <w:t>- 16 -</w:t>
          </w:r>
          <w:r>
            <w:fldChar w:fldCharType="end"/>
          </w:r>
          <w:r>
            <w:fldChar w:fldCharType="end"/>
          </w:r>
        </w:p>
        <w:p w14:paraId="2421B04B">
          <w:pPr>
            <w:pStyle w:val="12"/>
            <w:tabs>
              <w:tab w:val="right" w:leader="dot" w:pos="8845"/>
              <w:tab w:val="clear" w:pos="8296"/>
            </w:tabs>
          </w:pPr>
          <w:r>
            <w:fldChar w:fldCharType="begin"/>
          </w:r>
          <w:r>
            <w:instrText xml:space="preserve"> HYPERLINK \l "_Toc15966" </w:instrText>
          </w:r>
          <w:r>
            <w:fldChar w:fldCharType="separate"/>
          </w:r>
          <w:r>
            <w:rPr>
              <w:rFonts w:hint="eastAsia" w:ascii="仿宋_GB2312" w:hAnsi="仿宋_GB2312" w:eastAsia="仿宋_GB2312" w:cs="仿宋_GB2312"/>
            </w:rPr>
            <w:t>八、一般公共预算财政拨款基本支出决算表</w:t>
          </w:r>
          <w:r>
            <w:tab/>
          </w:r>
          <w:r>
            <w:fldChar w:fldCharType="begin"/>
          </w:r>
          <w:r>
            <w:instrText xml:space="preserve"> PAGEREF _Toc15966 \h </w:instrText>
          </w:r>
          <w:r>
            <w:fldChar w:fldCharType="separate"/>
          </w:r>
          <w:r>
            <w:t>- 16 -</w:t>
          </w:r>
          <w:r>
            <w:fldChar w:fldCharType="end"/>
          </w:r>
          <w:r>
            <w:fldChar w:fldCharType="end"/>
          </w:r>
        </w:p>
        <w:p w14:paraId="116FF33C">
          <w:pPr>
            <w:pStyle w:val="12"/>
            <w:tabs>
              <w:tab w:val="right" w:leader="dot" w:pos="8845"/>
              <w:tab w:val="clear" w:pos="8296"/>
            </w:tabs>
          </w:pPr>
          <w:r>
            <w:fldChar w:fldCharType="begin"/>
          </w:r>
          <w:r>
            <w:instrText xml:space="preserve"> HYPERLINK \l "_Toc21208" </w:instrText>
          </w:r>
          <w:r>
            <w:fldChar w:fldCharType="separate"/>
          </w:r>
          <w:r>
            <w:rPr>
              <w:rFonts w:hint="eastAsia" w:ascii="仿宋_GB2312" w:hAnsi="仿宋_GB2312" w:eastAsia="仿宋_GB2312" w:cs="仿宋_GB2312"/>
            </w:rPr>
            <w:t>九、一般公共预算财政拨款项目支出决算表</w:t>
          </w:r>
          <w:r>
            <w:tab/>
          </w:r>
          <w:r>
            <w:fldChar w:fldCharType="begin"/>
          </w:r>
          <w:r>
            <w:instrText xml:space="preserve"> PAGEREF _Toc21208 \h </w:instrText>
          </w:r>
          <w:r>
            <w:fldChar w:fldCharType="separate"/>
          </w:r>
          <w:r>
            <w:t>- 16 -</w:t>
          </w:r>
          <w:r>
            <w:fldChar w:fldCharType="end"/>
          </w:r>
          <w:r>
            <w:fldChar w:fldCharType="end"/>
          </w:r>
        </w:p>
        <w:p w14:paraId="3632404E">
          <w:pPr>
            <w:pStyle w:val="12"/>
            <w:tabs>
              <w:tab w:val="right" w:leader="dot" w:pos="8845"/>
              <w:tab w:val="clear" w:pos="8296"/>
            </w:tabs>
          </w:pPr>
          <w:r>
            <w:fldChar w:fldCharType="begin"/>
          </w:r>
          <w:r>
            <w:instrText xml:space="preserve"> HYPERLINK \l "_Toc4107" </w:instrText>
          </w:r>
          <w:r>
            <w:fldChar w:fldCharType="separate"/>
          </w:r>
          <w:r>
            <w:rPr>
              <w:rFonts w:hint="eastAsia" w:ascii="仿宋_GB2312" w:hAnsi="仿宋_GB2312" w:eastAsia="仿宋_GB2312" w:cs="仿宋_GB2312"/>
            </w:rPr>
            <w:t>十、政府性基金预算财政拨款收入支出决算表</w:t>
          </w:r>
          <w:r>
            <w:tab/>
          </w:r>
          <w:r>
            <w:fldChar w:fldCharType="begin"/>
          </w:r>
          <w:r>
            <w:instrText xml:space="preserve"> PAGEREF _Toc4107 \h </w:instrText>
          </w:r>
          <w:r>
            <w:fldChar w:fldCharType="separate"/>
          </w:r>
          <w:r>
            <w:t>- 16 -</w:t>
          </w:r>
          <w:r>
            <w:fldChar w:fldCharType="end"/>
          </w:r>
          <w:r>
            <w:fldChar w:fldCharType="end"/>
          </w:r>
        </w:p>
        <w:p w14:paraId="18F3E066">
          <w:pPr>
            <w:pStyle w:val="12"/>
            <w:tabs>
              <w:tab w:val="right" w:leader="dot" w:pos="8845"/>
              <w:tab w:val="clear" w:pos="8296"/>
            </w:tabs>
          </w:pPr>
          <w:r>
            <w:fldChar w:fldCharType="begin"/>
          </w:r>
          <w:r>
            <w:instrText xml:space="preserve"> HYPERLINK \l "_Toc1347" </w:instrText>
          </w:r>
          <w:r>
            <w:fldChar w:fldCharType="separate"/>
          </w:r>
          <w:r>
            <w:rPr>
              <w:rFonts w:hint="eastAsia" w:ascii="仿宋_GB2312" w:hAnsi="仿宋_GB2312" w:eastAsia="仿宋_GB2312" w:cs="仿宋_GB2312"/>
            </w:rPr>
            <w:t>十一、国有资本经营预算财政拨款收入支出决算表</w:t>
          </w:r>
          <w:r>
            <w:tab/>
          </w:r>
          <w:r>
            <w:fldChar w:fldCharType="begin"/>
          </w:r>
          <w:r>
            <w:instrText xml:space="preserve"> PAGEREF _Toc1347 \h </w:instrText>
          </w:r>
          <w:r>
            <w:fldChar w:fldCharType="separate"/>
          </w:r>
          <w:r>
            <w:t>- 16 -</w:t>
          </w:r>
          <w:r>
            <w:fldChar w:fldCharType="end"/>
          </w:r>
          <w:r>
            <w:fldChar w:fldCharType="end"/>
          </w:r>
        </w:p>
        <w:p w14:paraId="122CDE70">
          <w:pPr>
            <w:pStyle w:val="12"/>
            <w:tabs>
              <w:tab w:val="right" w:leader="dot" w:pos="8845"/>
              <w:tab w:val="clear" w:pos="8296"/>
            </w:tabs>
          </w:pPr>
          <w:r>
            <w:fldChar w:fldCharType="begin"/>
          </w:r>
          <w:r>
            <w:instrText xml:space="preserve"> HYPERLINK \l "_Toc2325" </w:instrText>
          </w:r>
          <w:r>
            <w:fldChar w:fldCharType="separate"/>
          </w:r>
          <w:r>
            <w:rPr>
              <w:rFonts w:hint="eastAsia" w:ascii="仿宋_GB2312" w:hAnsi="仿宋_GB2312" w:eastAsia="仿宋_GB2312" w:cs="仿宋_GB2312"/>
            </w:rPr>
            <w:t>十二、国有资本经营预算财政拨款支出决算表</w:t>
          </w:r>
          <w:r>
            <w:tab/>
          </w:r>
          <w:r>
            <w:fldChar w:fldCharType="begin"/>
          </w:r>
          <w:r>
            <w:instrText xml:space="preserve"> PAGEREF _Toc2325 \h </w:instrText>
          </w:r>
          <w:r>
            <w:fldChar w:fldCharType="separate"/>
          </w:r>
          <w:r>
            <w:t>- 16 -</w:t>
          </w:r>
          <w:r>
            <w:fldChar w:fldCharType="end"/>
          </w:r>
          <w:r>
            <w:fldChar w:fldCharType="end"/>
          </w:r>
        </w:p>
        <w:p w14:paraId="44577356">
          <w:pPr>
            <w:pStyle w:val="12"/>
            <w:tabs>
              <w:tab w:val="right" w:leader="dot" w:pos="8845"/>
              <w:tab w:val="clear" w:pos="8296"/>
            </w:tabs>
          </w:pPr>
          <w:r>
            <w:fldChar w:fldCharType="begin"/>
          </w:r>
          <w:r>
            <w:instrText xml:space="preserve"> HYPERLINK \l "_Toc21854" </w:instrText>
          </w:r>
          <w:r>
            <w:fldChar w:fldCharType="separate"/>
          </w:r>
          <w:r>
            <w:rPr>
              <w:rFonts w:hint="eastAsia" w:ascii="仿宋_GB2312" w:hAnsi="仿宋_GB2312" w:eastAsia="仿宋_GB2312" w:cs="仿宋_GB2312"/>
            </w:rPr>
            <w:t>十三、财政拨款“三公”经费支出决算表</w:t>
          </w:r>
          <w:r>
            <w:tab/>
          </w:r>
          <w:r>
            <w:fldChar w:fldCharType="begin"/>
          </w:r>
          <w:r>
            <w:instrText xml:space="preserve"> PAGEREF _Toc21854 \h </w:instrText>
          </w:r>
          <w:r>
            <w:fldChar w:fldCharType="separate"/>
          </w:r>
          <w:r>
            <w:t>- 16 -</w:t>
          </w:r>
          <w:r>
            <w:fldChar w:fldCharType="end"/>
          </w:r>
          <w:r>
            <w:fldChar w:fldCharType="end"/>
          </w:r>
        </w:p>
        <w:p w14:paraId="15DBC89F">
          <w:pPr>
            <w:pStyle w:val="3"/>
            <w:spacing w:line="353" w:lineRule="auto"/>
            <w:jc w:val="center"/>
            <w:sectPr>
              <w:footerReference r:id="rId5" w:type="default"/>
              <w:pgSz w:w="11906" w:h="16838"/>
              <w:pgMar w:top="2098" w:right="1474" w:bottom="1984" w:left="1587" w:header="851" w:footer="992" w:gutter="0"/>
              <w:pgNumType w:fmt="numberInDash" w:start="1"/>
              <w:cols w:space="425" w:num="1"/>
              <w:docGrid w:type="lines" w:linePitch="312" w:charSpace="0"/>
            </w:sectPr>
          </w:pPr>
          <w:r>
            <w:rPr>
              <w:rFonts w:eastAsia="方正小标宋_GBK"/>
            </w:rPr>
            <w:fldChar w:fldCharType="end"/>
          </w:r>
        </w:p>
      </w:sdtContent>
    </w:sdt>
    <w:p w14:paraId="19DFFA81">
      <w:pPr>
        <w:pStyle w:val="3"/>
        <w:spacing w:line="353" w:lineRule="auto"/>
        <w:jc w:val="center"/>
        <w:rPr>
          <w:rFonts w:eastAsia="黑体"/>
          <w:sz w:val="32"/>
          <w:szCs w:val="32"/>
        </w:rPr>
      </w:pPr>
      <w:bookmarkStart w:id="16" w:name="_Toc23688"/>
      <w:r>
        <w:rPr>
          <w:rFonts w:eastAsia="方正小标宋_GBK"/>
          <w:b w:val="0"/>
        </w:rPr>
        <w:t>第一部分 单位</w:t>
      </w:r>
      <w:r>
        <w:rPr>
          <w:rStyle w:val="28"/>
          <w:rFonts w:eastAsia="方正小标宋_GBK"/>
          <w:b w:val="0"/>
          <w:bCs w:val="0"/>
        </w:rPr>
        <w:t>概况</w:t>
      </w:r>
      <w:bookmarkEnd w:id="14"/>
      <w:bookmarkEnd w:id="15"/>
      <w:bookmarkEnd w:id="16"/>
    </w:p>
    <w:p w14:paraId="3A934831">
      <w:pPr>
        <w:pStyle w:val="4"/>
        <w:spacing w:line="353" w:lineRule="auto"/>
        <w:ind w:firstLine="640" w:firstLineChars="200"/>
        <w:rPr>
          <w:rStyle w:val="29"/>
          <w:rFonts w:ascii="Times New Roman" w:hAnsi="Times New Roman" w:eastAsia="黑体" w:cs="Times New Roman"/>
          <w:b w:val="0"/>
          <w:bCs w:val="0"/>
        </w:rPr>
      </w:pPr>
      <w:bookmarkStart w:id="17" w:name="_Toc10912"/>
      <w:bookmarkStart w:id="18" w:name="_Toc15396600"/>
      <w:bookmarkStart w:id="19" w:name="_Toc15377197"/>
      <w:r>
        <w:rPr>
          <w:rStyle w:val="29"/>
          <w:rFonts w:ascii="Times New Roman" w:hAnsi="Times New Roman" w:eastAsia="黑体" w:cs="Times New Roman"/>
          <w:b w:val="0"/>
          <w:bCs w:val="0"/>
        </w:rPr>
        <w:t>一、主要职责</w:t>
      </w:r>
      <w:bookmarkEnd w:id="17"/>
    </w:p>
    <w:p w14:paraId="6691DD9A">
      <w:pPr>
        <w:spacing w:line="353" w:lineRule="auto"/>
        <w:ind w:firstLine="640" w:firstLineChars="200"/>
        <w:rPr>
          <w:rFonts w:eastAsia="仿宋_GB2312"/>
          <w:sz w:val="32"/>
          <w:szCs w:val="32"/>
        </w:rPr>
      </w:pPr>
      <w:r>
        <w:rPr>
          <w:rFonts w:eastAsia="仿宋_GB2312"/>
          <w:sz w:val="32"/>
          <w:szCs w:val="32"/>
        </w:rPr>
        <w:t>1、负责施动物疫病的监测、预警、预报、实验室检测、实验室诊断、流行病学调查、疫情报告。</w:t>
      </w:r>
    </w:p>
    <w:p w14:paraId="67EF42BE">
      <w:pPr>
        <w:spacing w:line="353" w:lineRule="auto"/>
        <w:ind w:firstLine="640" w:firstLineChars="200"/>
        <w:rPr>
          <w:rFonts w:eastAsia="仿宋_GB2312"/>
          <w:sz w:val="32"/>
          <w:szCs w:val="32"/>
        </w:rPr>
      </w:pPr>
      <w:r>
        <w:rPr>
          <w:rFonts w:eastAsia="仿宋_GB2312"/>
          <w:sz w:val="32"/>
          <w:szCs w:val="32"/>
        </w:rPr>
        <w:t>2、提出重大动物疫病防控技术方案。</w:t>
      </w:r>
    </w:p>
    <w:p w14:paraId="71834598">
      <w:pPr>
        <w:spacing w:line="353" w:lineRule="auto"/>
        <w:ind w:firstLine="640" w:firstLineChars="200"/>
        <w:rPr>
          <w:rFonts w:eastAsia="仿宋_GB2312"/>
          <w:sz w:val="32"/>
          <w:szCs w:val="32"/>
        </w:rPr>
      </w:pPr>
      <w:r>
        <w:rPr>
          <w:rFonts w:eastAsia="仿宋_GB2312"/>
          <w:sz w:val="32"/>
          <w:szCs w:val="32"/>
        </w:rPr>
        <w:t>3、动物疫病预防的技术指导、技术培训、科普宣传。</w:t>
      </w:r>
    </w:p>
    <w:p w14:paraId="2848AF5A">
      <w:pPr>
        <w:snapToGrid w:val="0"/>
        <w:spacing w:line="353" w:lineRule="auto"/>
        <w:ind w:firstLine="640" w:firstLineChars="200"/>
        <w:rPr>
          <w:rFonts w:eastAsia="仿宋_GB2312"/>
          <w:sz w:val="32"/>
          <w:szCs w:val="32"/>
        </w:rPr>
      </w:pPr>
      <w:r>
        <w:rPr>
          <w:rFonts w:eastAsia="仿宋_GB2312"/>
          <w:sz w:val="32"/>
          <w:szCs w:val="32"/>
        </w:rPr>
        <w:t>4、承担动物产品安全相关技术检测工作。</w:t>
      </w:r>
    </w:p>
    <w:p w14:paraId="0CBBDDBA">
      <w:pPr>
        <w:spacing w:line="353" w:lineRule="auto"/>
        <w:ind w:firstLine="420" w:firstLineChars="200"/>
      </w:pPr>
    </w:p>
    <w:p w14:paraId="7F7DA65F">
      <w:pPr>
        <w:pStyle w:val="4"/>
        <w:spacing w:line="353" w:lineRule="auto"/>
        <w:ind w:firstLine="640" w:firstLineChars="200"/>
        <w:rPr>
          <w:rFonts w:ascii="Times New Roman" w:hAnsi="Times New Roman" w:eastAsia="黑体" w:cs="Times New Roman"/>
          <w:b w:val="0"/>
        </w:rPr>
      </w:pPr>
      <w:bookmarkStart w:id="20" w:name="_Toc1882"/>
      <w:r>
        <w:rPr>
          <w:rFonts w:ascii="Times New Roman" w:hAnsi="Times New Roman" w:eastAsia="黑体" w:cs="Times New Roman"/>
          <w:b w:val="0"/>
        </w:rPr>
        <w:t>二、机构设置</w:t>
      </w:r>
      <w:bookmarkEnd w:id="20"/>
    </w:p>
    <w:p w14:paraId="09373F26">
      <w:pPr>
        <w:spacing w:line="353" w:lineRule="auto"/>
        <w:ind w:firstLine="640" w:firstLineChars="200"/>
      </w:pPr>
      <w:r>
        <w:rPr>
          <w:rFonts w:eastAsia="仿宋_GB2312"/>
          <w:sz w:val="32"/>
          <w:szCs w:val="32"/>
        </w:rPr>
        <w:t>攀枝花市西区动物疫病预防控制中心属于攀枝花市西区农业农村和交通运输局二级单位，为事业一类单位，无内设机构。</w:t>
      </w:r>
    </w:p>
    <w:p w14:paraId="2FECD12F"/>
    <w:bookmarkEnd w:id="18"/>
    <w:bookmarkEnd w:id="19"/>
    <w:p w14:paraId="4CA04100">
      <w:pPr>
        <w:widowControl/>
        <w:jc w:val="left"/>
        <w:rPr>
          <w:rFonts w:eastAsia="仿宋"/>
          <w:kern w:val="0"/>
          <w:sz w:val="32"/>
          <w:szCs w:val="32"/>
        </w:rPr>
      </w:pPr>
      <w:r>
        <w:rPr>
          <w:rFonts w:eastAsia="仿宋"/>
          <w:sz w:val="32"/>
          <w:szCs w:val="32"/>
        </w:rPr>
        <w:br w:type="page"/>
      </w:r>
    </w:p>
    <w:p w14:paraId="544F0321">
      <w:pPr>
        <w:pStyle w:val="3"/>
        <w:spacing w:line="353" w:lineRule="auto"/>
        <w:jc w:val="center"/>
        <w:rPr>
          <w:rFonts w:eastAsia="方正小标宋_GBK"/>
          <w:b w:val="0"/>
        </w:rPr>
      </w:pPr>
      <w:bookmarkStart w:id="21" w:name="_Toc25304"/>
      <w:bookmarkStart w:id="22" w:name="_Toc15377204"/>
      <w:bookmarkStart w:id="23" w:name="_Toc15396602"/>
      <w:r>
        <w:rPr>
          <w:rFonts w:eastAsia="方正小标宋_GBK"/>
          <w:b w:val="0"/>
        </w:rPr>
        <w:t>第二部分 2023年度单位决算情况说明</w:t>
      </w:r>
      <w:bookmarkEnd w:id="21"/>
      <w:bookmarkEnd w:id="22"/>
      <w:bookmarkEnd w:id="23"/>
    </w:p>
    <w:p w14:paraId="0E8D4698">
      <w:pPr>
        <w:spacing w:line="353" w:lineRule="auto"/>
      </w:pPr>
    </w:p>
    <w:p w14:paraId="4EE9F5DB">
      <w:pPr>
        <w:pStyle w:val="27"/>
        <w:spacing w:line="353" w:lineRule="auto"/>
        <w:ind w:firstLine="640"/>
        <w:outlineLvl w:val="1"/>
        <w:rPr>
          <w:rStyle w:val="29"/>
          <w:rFonts w:ascii="Times New Roman" w:hAnsi="Times New Roman" w:eastAsia="黑体" w:cs="Times New Roman"/>
          <w:b w:val="0"/>
        </w:rPr>
      </w:pPr>
      <w:bookmarkStart w:id="24" w:name="_Toc26448"/>
      <w:bookmarkStart w:id="25" w:name="_Toc15396603"/>
      <w:bookmarkStart w:id="26" w:name="_Toc15377205"/>
      <w:r>
        <w:rPr>
          <w:rFonts w:eastAsia="黑体"/>
          <w:sz w:val="32"/>
          <w:szCs w:val="32"/>
        </w:rPr>
        <w:t>一、收</w:t>
      </w:r>
      <w:r>
        <w:rPr>
          <w:rStyle w:val="29"/>
          <w:rFonts w:ascii="Times New Roman" w:hAnsi="Times New Roman" w:eastAsia="黑体" w:cs="Times New Roman"/>
          <w:b w:val="0"/>
        </w:rPr>
        <w:t>入支出决算总体情况说明</w:t>
      </w:r>
      <w:bookmarkEnd w:id="24"/>
      <w:bookmarkEnd w:id="25"/>
      <w:bookmarkEnd w:id="26"/>
    </w:p>
    <w:p w14:paraId="66E7F251">
      <w:pPr>
        <w:spacing w:line="353" w:lineRule="auto"/>
        <w:ind w:firstLine="640" w:firstLineChars="200"/>
        <w:rPr>
          <w:rFonts w:eastAsia="仿宋_GB2312"/>
          <w:sz w:val="32"/>
          <w:szCs w:val="32"/>
        </w:rPr>
      </w:pPr>
      <w:r>
        <w:rPr>
          <w:rFonts w:eastAsia="仿宋_GB2312"/>
          <w:sz w:val="32"/>
          <w:szCs w:val="32"/>
        </w:rPr>
        <w:t>2023年度收、支总计均为214.29万元。与2022年度相比，收、支总计各增加50.86万元，增长31%。主要变动原因是人员经费和项目经费增加。</w:t>
      </w:r>
    </w:p>
    <w:p w14:paraId="033D7EDF">
      <w:pPr>
        <w:spacing w:line="353" w:lineRule="auto"/>
        <w:ind w:firstLine="640" w:firstLineChars="200"/>
        <w:rPr>
          <w:rFonts w:eastAsia="仿宋_GB2312"/>
          <w:sz w:val="32"/>
          <w:szCs w:val="32"/>
        </w:rPr>
      </w:pPr>
      <w:r>
        <w:rPr>
          <w:rFonts w:eastAsia="仿宋_GB2312"/>
          <w:sz w:val="32"/>
          <w:szCs w:val="32"/>
        </w:rPr>
        <w:t>（图1：收、支决算总计变动情况图）</w:t>
      </w:r>
    </w:p>
    <w:p w14:paraId="00A5B309">
      <w:pPr>
        <w:pStyle w:val="19"/>
        <w:ind w:firstLine="1417" w:firstLineChars="588"/>
        <w:outlineLvl w:val="9"/>
        <w:rPr>
          <w:rFonts w:ascii="Times New Roman" w:hAnsi="Times New Roman"/>
        </w:rPr>
      </w:pPr>
      <w:r>
        <w:rPr>
          <w:rFonts w:ascii="Times New Roman" w:hAnsi="Times New Roman"/>
        </w:rPr>
        <w:drawing>
          <wp:inline distT="0" distB="0" distL="0" distR="0">
            <wp:extent cx="3200400" cy="2056765"/>
            <wp:effectExtent l="4445" t="4445" r="14605" b="15240"/>
            <wp:docPr id="1"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C1BA739">
      <w:pPr>
        <w:pStyle w:val="27"/>
        <w:spacing w:line="353" w:lineRule="auto"/>
        <w:ind w:left="640" w:firstLine="0" w:firstLineChars="0"/>
        <w:outlineLvl w:val="1"/>
        <w:rPr>
          <w:rStyle w:val="29"/>
          <w:rFonts w:ascii="Times New Roman" w:hAnsi="Times New Roman" w:eastAsia="黑体" w:cs="Times New Roman"/>
          <w:b w:val="0"/>
        </w:rPr>
      </w:pPr>
      <w:bookmarkStart w:id="27" w:name="_Toc15396604"/>
      <w:bookmarkStart w:id="28" w:name="_Toc15377206"/>
      <w:bookmarkStart w:id="29" w:name="_Toc4419"/>
      <w:r>
        <w:rPr>
          <w:rFonts w:eastAsia="黑体"/>
          <w:sz w:val="32"/>
          <w:szCs w:val="32"/>
        </w:rPr>
        <w:t>二、收</w:t>
      </w:r>
      <w:r>
        <w:rPr>
          <w:rStyle w:val="29"/>
          <w:rFonts w:ascii="Times New Roman" w:hAnsi="Times New Roman" w:eastAsia="黑体" w:cs="Times New Roman"/>
          <w:b w:val="0"/>
        </w:rPr>
        <w:t>入决算情况说明</w:t>
      </w:r>
      <w:bookmarkEnd w:id="27"/>
      <w:bookmarkEnd w:id="28"/>
      <w:bookmarkEnd w:id="29"/>
    </w:p>
    <w:p w14:paraId="594990A2">
      <w:pPr>
        <w:spacing w:line="353" w:lineRule="auto"/>
        <w:ind w:firstLine="640" w:firstLineChars="200"/>
        <w:outlineLvl w:val="1"/>
        <w:rPr>
          <w:rFonts w:eastAsia="仿宋_GB2312"/>
          <w:sz w:val="32"/>
          <w:szCs w:val="32"/>
        </w:rPr>
      </w:pPr>
      <w:bookmarkStart w:id="30" w:name="_Toc11666"/>
      <w:bookmarkStart w:id="31" w:name="_Toc14535"/>
      <w:r>
        <w:rPr>
          <w:rFonts w:eastAsia="仿宋_GB2312"/>
          <w:sz w:val="32"/>
          <w:szCs w:val="32"/>
        </w:rPr>
        <w:t>2023年度本年收入合计214.14万元，其中：一般公共预算财政拨款收入210.54万元，占98.31%；政府性基金预算财政拨款收入3.6万元，占1.68%；国有资本经营预算财政拨款收入0万元，占0%；上级补助收入0万元，占0%；事业收入0万元，占0%；经营收入0万元，占0%；附属单位上缴收入0万元，占0%；其他收入0万元，占0%。</w:t>
      </w:r>
      <w:bookmarkEnd w:id="30"/>
      <w:bookmarkEnd w:id="31"/>
    </w:p>
    <w:p w14:paraId="58BDB0CF">
      <w:pPr>
        <w:spacing w:line="353" w:lineRule="auto"/>
        <w:ind w:firstLine="640" w:firstLineChars="200"/>
        <w:rPr>
          <w:rFonts w:eastAsia="仿宋_GB2312"/>
          <w:sz w:val="32"/>
          <w:szCs w:val="32"/>
        </w:rPr>
      </w:pPr>
      <w:r>
        <w:rPr>
          <w:rFonts w:eastAsia="仿宋_GB2312"/>
          <w:sz w:val="32"/>
          <w:szCs w:val="32"/>
        </w:rPr>
        <w:t>（图2：收入决算结构图）</w:t>
      </w:r>
    </w:p>
    <w:p w14:paraId="18B0676E">
      <w:pPr>
        <w:pStyle w:val="19"/>
        <w:ind w:firstLine="1181" w:firstLineChars="490"/>
        <w:outlineLvl w:val="9"/>
        <w:rPr>
          <w:rFonts w:ascii="Times New Roman" w:hAnsi="Times New Roman"/>
        </w:rPr>
      </w:pPr>
      <w:r>
        <w:rPr>
          <w:rFonts w:ascii="Times New Roman" w:hAnsi="Times New Roman"/>
        </w:rPr>
        <w:drawing>
          <wp:inline distT="0" distB="0" distL="0" distR="0">
            <wp:extent cx="3895090" cy="2063750"/>
            <wp:effectExtent l="5080" t="4445" r="5080" b="825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8003C4">
      <w:pPr>
        <w:pStyle w:val="27"/>
        <w:spacing w:line="353" w:lineRule="auto"/>
        <w:ind w:left="640" w:firstLine="0" w:firstLineChars="0"/>
        <w:outlineLvl w:val="1"/>
        <w:rPr>
          <w:rStyle w:val="29"/>
          <w:rFonts w:ascii="Times New Roman" w:hAnsi="Times New Roman" w:eastAsia="黑体" w:cs="Times New Roman"/>
          <w:b w:val="0"/>
        </w:rPr>
      </w:pPr>
      <w:bookmarkStart w:id="32" w:name="_Toc12247"/>
      <w:bookmarkStart w:id="33" w:name="_Toc15396605"/>
      <w:bookmarkStart w:id="34" w:name="_Toc15377207"/>
      <w:r>
        <w:rPr>
          <w:rFonts w:eastAsia="黑体"/>
          <w:sz w:val="32"/>
          <w:szCs w:val="32"/>
        </w:rPr>
        <w:t>三、支</w:t>
      </w:r>
      <w:r>
        <w:rPr>
          <w:rStyle w:val="29"/>
          <w:rFonts w:ascii="Times New Roman" w:hAnsi="Times New Roman" w:eastAsia="黑体" w:cs="Times New Roman"/>
          <w:b w:val="0"/>
        </w:rPr>
        <w:t>出决算情况说明</w:t>
      </w:r>
      <w:bookmarkEnd w:id="32"/>
      <w:bookmarkEnd w:id="33"/>
      <w:bookmarkEnd w:id="34"/>
    </w:p>
    <w:p w14:paraId="15F0FBC8">
      <w:pPr>
        <w:spacing w:line="353" w:lineRule="auto"/>
        <w:ind w:firstLine="640" w:firstLineChars="200"/>
        <w:outlineLvl w:val="1"/>
        <w:rPr>
          <w:rFonts w:eastAsia="仿宋_GB2312"/>
          <w:sz w:val="32"/>
          <w:szCs w:val="32"/>
        </w:rPr>
      </w:pPr>
      <w:bookmarkStart w:id="35" w:name="_Toc18603"/>
      <w:bookmarkStart w:id="36" w:name="_Toc10433"/>
      <w:r>
        <w:rPr>
          <w:rFonts w:eastAsia="仿宋_GB2312"/>
          <w:sz w:val="32"/>
          <w:szCs w:val="32"/>
        </w:rPr>
        <w:t>2023年度本年支出合计214.14万元，其中：基本支出194.34万元，占90.75%；项目支出19.8万元，占9.24%；上缴上级支出0万元，占0%；经营支出0万元，占0%；对附属单位补助支出0万元，占0%。</w:t>
      </w:r>
      <w:bookmarkEnd w:id="35"/>
      <w:bookmarkEnd w:id="36"/>
    </w:p>
    <w:p w14:paraId="0705CC18">
      <w:pPr>
        <w:spacing w:line="353" w:lineRule="auto"/>
        <w:ind w:firstLine="640" w:firstLineChars="200"/>
        <w:rPr>
          <w:rFonts w:eastAsia="仿宋_GB2312"/>
          <w:sz w:val="32"/>
          <w:szCs w:val="32"/>
        </w:rPr>
      </w:pPr>
      <w:r>
        <w:rPr>
          <w:rFonts w:eastAsia="仿宋_GB2312"/>
          <w:sz w:val="32"/>
          <w:szCs w:val="32"/>
        </w:rPr>
        <w:t>（图3：支出决算结构图）</w:t>
      </w:r>
    </w:p>
    <w:p w14:paraId="185E443A">
      <w:pPr>
        <w:pStyle w:val="19"/>
        <w:ind w:firstLine="1063" w:firstLineChars="441"/>
        <w:outlineLvl w:val="9"/>
        <w:rPr>
          <w:rFonts w:ascii="Times New Roman" w:hAnsi="Times New Roman"/>
        </w:rPr>
      </w:pPr>
      <w:r>
        <w:rPr>
          <w:rFonts w:ascii="Times New Roman" w:hAnsi="Times New Roman"/>
        </w:rPr>
        <w:drawing>
          <wp:inline distT="0" distB="0" distL="0" distR="0">
            <wp:extent cx="4082415" cy="1650365"/>
            <wp:effectExtent l="4445" t="4445" r="8890" b="2159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0B8E7C">
      <w:pPr>
        <w:spacing w:line="600" w:lineRule="exact"/>
        <w:ind w:firstLine="640" w:firstLineChars="200"/>
        <w:rPr>
          <w:rFonts w:eastAsia="黑体"/>
          <w:sz w:val="32"/>
          <w:szCs w:val="32"/>
        </w:rPr>
      </w:pPr>
      <w:bookmarkStart w:id="37" w:name="_Toc15377208"/>
      <w:bookmarkStart w:id="38" w:name="_Toc15396606"/>
    </w:p>
    <w:p w14:paraId="634E3450">
      <w:pPr>
        <w:spacing w:line="353" w:lineRule="auto"/>
        <w:ind w:firstLine="640" w:firstLineChars="200"/>
        <w:outlineLvl w:val="1"/>
        <w:rPr>
          <w:rStyle w:val="29"/>
          <w:rFonts w:ascii="Times New Roman" w:hAnsi="Times New Roman" w:eastAsia="黑体" w:cs="Times New Roman"/>
          <w:b w:val="0"/>
        </w:rPr>
      </w:pPr>
      <w:bookmarkStart w:id="39" w:name="_Toc28392"/>
      <w:r>
        <w:rPr>
          <w:rFonts w:eastAsia="黑体"/>
          <w:sz w:val="32"/>
          <w:szCs w:val="32"/>
        </w:rPr>
        <w:t>四、财</w:t>
      </w:r>
      <w:r>
        <w:rPr>
          <w:rStyle w:val="29"/>
          <w:rFonts w:ascii="Times New Roman" w:hAnsi="Times New Roman" w:eastAsia="黑体" w:cs="Times New Roman"/>
          <w:b w:val="0"/>
        </w:rPr>
        <w:t>政拨款收入支出决算总体情况说明</w:t>
      </w:r>
      <w:bookmarkEnd w:id="37"/>
      <w:bookmarkEnd w:id="38"/>
      <w:bookmarkEnd w:id="39"/>
    </w:p>
    <w:p w14:paraId="449877CA">
      <w:pPr>
        <w:spacing w:line="353" w:lineRule="auto"/>
        <w:ind w:firstLine="640"/>
        <w:rPr>
          <w:rFonts w:eastAsia="仿宋_GB2312"/>
          <w:sz w:val="32"/>
          <w:szCs w:val="32"/>
        </w:rPr>
      </w:pPr>
      <w:r>
        <w:rPr>
          <w:rFonts w:eastAsia="仿宋_GB2312"/>
          <w:sz w:val="32"/>
          <w:szCs w:val="32"/>
        </w:rPr>
        <w:t>2023年度财政拨款收、支总计均为214.29万元。与2022年度相比，财政拨款收、支总计各增加50.86万元，增长31.12%。主要变动原因是人员经费在增加。</w:t>
      </w:r>
    </w:p>
    <w:p w14:paraId="626A5EA9">
      <w:pPr>
        <w:spacing w:line="353" w:lineRule="auto"/>
        <w:ind w:firstLine="640" w:firstLineChars="200"/>
        <w:rPr>
          <w:rFonts w:eastAsia="仿宋_GB2312"/>
          <w:sz w:val="32"/>
          <w:szCs w:val="32"/>
        </w:rPr>
      </w:pPr>
      <w:r>
        <w:rPr>
          <w:rFonts w:eastAsia="仿宋_GB2312"/>
          <w:sz w:val="32"/>
          <w:szCs w:val="32"/>
        </w:rPr>
        <w:t>（图4：财政拨款收、支决算总计变动情况）</w:t>
      </w:r>
    </w:p>
    <w:p w14:paraId="454E96CA">
      <w:pPr>
        <w:spacing w:line="600" w:lineRule="exact"/>
        <w:ind w:firstLine="640"/>
        <w:rPr>
          <w:rFonts w:eastAsia="仿宋"/>
          <w:b/>
          <w:sz w:val="32"/>
          <w:szCs w:val="32"/>
        </w:rPr>
      </w:pPr>
    </w:p>
    <w:p w14:paraId="66E16390">
      <w:pPr>
        <w:pStyle w:val="19"/>
        <w:ind w:firstLine="1417" w:firstLineChars="588"/>
        <w:outlineLvl w:val="9"/>
        <w:rPr>
          <w:rFonts w:ascii="Times New Roman" w:hAnsi="Times New Roman"/>
        </w:rPr>
      </w:pPr>
      <w:r>
        <w:rPr>
          <w:rFonts w:ascii="Times New Roman" w:hAnsi="Times New Roman"/>
        </w:rPr>
        <w:drawing>
          <wp:inline distT="0" distB="0" distL="0" distR="0">
            <wp:extent cx="3200400" cy="2056765"/>
            <wp:effectExtent l="4432" t="4464" r="14562" b="14668"/>
            <wp:docPr id="4"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4CE1C1">
      <w:pPr>
        <w:spacing w:line="353" w:lineRule="auto"/>
        <w:ind w:firstLine="640" w:firstLineChars="200"/>
        <w:outlineLvl w:val="1"/>
        <w:rPr>
          <w:rStyle w:val="29"/>
          <w:rFonts w:ascii="Times New Roman" w:hAnsi="Times New Roman" w:eastAsia="黑体" w:cs="Times New Roman"/>
          <w:b w:val="0"/>
        </w:rPr>
      </w:pPr>
      <w:bookmarkStart w:id="40" w:name="_Toc26675"/>
      <w:bookmarkStart w:id="41" w:name="_Toc15396607"/>
      <w:bookmarkStart w:id="42" w:name="_Toc15377209"/>
      <w:r>
        <w:rPr>
          <w:rFonts w:eastAsia="黑体"/>
          <w:bCs/>
          <w:sz w:val="32"/>
          <w:szCs w:val="32"/>
        </w:rPr>
        <w:t>五、</w:t>
      </w:r>
      <w:r>
        <w:rPr>
          <w:rFonts w:eastAsia="黑体"/>
          <w:b/>
          <w:sz w:val="32"/>
          <w:szCs w:val="32"/>
        </w:rPr>
        <w:t>一</w:t>
      </w:r>
      <w:r>
        <w:rPr>
          <w:rStyle w:val="29"/>
          <w:rFonts w:ascii="Times New Roman" w:hAnsi="Times New Roman" w:eastAsia="黑体" w:cs="Times New Roman"/>
          <w:b w:val="0"/>
        </w:rPr>
        <w:t>般公共预算财政拨款支出决算情况说明</w:t>
      </w:r>
      <w:bookmarkEnd w:id="40"/>
      <w:bookmarkEnd w:id="41"/>
      <w:bookmarkEnd w:id="42"/>
    </w:p>
    <w:p w14:paraId="485022D7">
      <w:pPr>
        <w:spacing w:line="353" w:lineRule="auto"/>
        <w:ind w:firstLine="640" w:firstLineChars="200"/>
        <w:outlineLvl w:val="2"/>
        <w:rPr>
          <w:rFonts w:eastAsia="楷体_GB2312"/>
          <w:bCs/>
          <w:sz w:val="32"/>
          <w:szCs w:val="32"/>
        </w:rPr>
      </w:pPr>
      <w:bookmarkStart w:id="43" w:name="_Toc15377210"/>
      <w:bookmarkStart w:id="44" w:name="_Toc15804"/>
      <w:r>
        <w:rPr>
          <w:rFonts w:eastAsia="楷体_GB2312"/>
          <w:bCs/>
          <w:sz w:val="32"/>
          <w:szCs w:val="32"/>
        </w:rPr>
        <w:t>（一）一般公共预算财政拨款支出决算总体情况</w:t>
      </w:r>
      <w:bookmarkEnd w:id="43"/>
      <w:r>
        <w:rPr>
          <w:rFonts w:eastAsia="楷体_GB2312"/>
          <w:bCs/>
          <w:sz w:val="32"/>
          <w:szCs w:val="32"/>
        </w:rPr>
        <w:t>。</w:t>
      </w:r>
      <w:bookmarkEnd w:id="44"/>
    </w:p>
    <w:p w14:paraId="5F49C080">
      <w:pPr>
        <w:spacing w:line="353" w:lineRule="auto"/>
        <w:ind w:firstLine="640" w:firstLineChars="200"/>
        <w:rPr>
          <w:rFonts w:eastAsia="仿宋"/>
          <w:sz w:val="32"/>
          <w:szCs w:val="32"/>
        </w:rPr>
      </w:pPr>
      <w:r>
        <w:rPr>
          <w:rFonts w:eastAsia="仿宋"/>
          <w:sz w:val="32"/>
          <w:szCs w:val="32"/>
        </w:rPr>
        <w:t>2023年度一般公共预算财政拨款支出210.54万元，占本年支出合计的98.31%。与2022年度相比，一般公共预算财政拨款支出增加47.11万元，增长28.83%。主要变动原因是人员经费增加。</w:t>
      </w:r>
    </w:p>
    <w:p w14:paraId="325D6E93">
      <w:pPr>
        <w:spacing w:line="353" w:lineRule="auto"/>
        <w:ind w:firstLine="640" w:firstLineChars="200"/>
        <w:rPr>
          <w:rFonts w:eastAsia="仿宋"/>
          <w:sz w:val="32"/>
          <w:szCs w:val="32"/>
        </w:rPr>
      </w:pPr>
      <w:r>
        <w:rPr>
          <w:rFonts w:eastAsia="仿宋"/>
          <w:sz w:val="32"/>
          <w:szCs w:val="32"/>
        </w:rPr>
        <w:t>（图5：一般公共预算财政拨款支出决算变动情况）</w:t>
      </w:r>
    </w:p>
    <w:p w14:paraId="6852C5C0">
      <w:pPr>
        <w:spacing w:line="600" w:lineRule="exact"/>
        <w:ind w:firstLine="640" w:firstLineChars="200"/>
        <w:rPr>
          <w:rFonts w:eastAsia="仿宋"/>
          <w:sz w:val="32"/>
          <w:szCs w:val="32"/>
        </w:rPr>
      </w:pPr>
    </w:p>
    <w:p w14:paraId="77F749F2">
      <w:pPr>
        <w:pStyle w:val="19"/>
        <w:ind w:firstLine="1181" w:firstLineChars="490"/>
        <w:outlineLvl w:val="9"/>
        <w:rPr>
          <w:rFonts w:ascii="Times New Roman" w:hAnsi="Times New Roman"/>
        </w:rPr>
      </w:pPr>
      <w:r>
        <w:rPr>
          <w:rFonts w:ascii="Times New Roman" w:hAnsi="Times New Roman"/>
        </w:rPr>
        <w:drawing>
          <wp:inline distT="0" distB="0" distL="0" distR="0">
            <wp:extent cx="3333750" cy="1952625"/>
            <wp:effectExtent l="19050" t="0" r="19050"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62FD14"/>
    <w:p w14:paraId="746B8B19">
      <w:pPr>
        <w:spacing w:line="353" w:lineRule="auto"/>
        <w:ind w:firstLine="640" w:firstLineChars="200"/>
        <w:outlineLvl w:val="2"/>
        <w:rPr>
          <w:rFonts w:eastAsia="楷体_GB2312"/>
          <w:bCs/>
          <w:sz w:val="32"/>
          <w:szCs w:val="32"/>
        </w:rPr>
      </w:pPr>
      <w:bookmarkStart w:id="45" w:name="_Toc15377211"/>
      <w:bookmarkStart w:id="46" w:name="_Toc19150"/>
      <w:r>
        <w:rPr>
          <w:rFonts w:eastAsia="楷体_GB2312"/>
          <w:bCs/>
          <w:sz w:val="32"/>
          <w:szCs w:val="32"/>
        </w:rPr>
        <w:t>（二）一般公共预算财政拨款支出决算结构情况</w:t>
      </w:r>
      <w:bookmarkEnd w:id="45"/>
      <w:r>
        <w:rPr>
          <w:rFonts w:eastAsia="楷体_GB2312"/>
          <w:bCs/>
          <w:sz w:val="32"/>
          <w:szCs w:val="32"/>
        </w:rPr>
        <w:t>。</w:t>
      </w:r>
      <w:bookmarkEnd w:id="46"/>
    </w:p>
    <w:p w14:paraId="34726A3F">
      <w:pPr>
        <w:spacing w:line="353" w:lineRule="auto"/>
        <w:ind w:firstLine="640" w:firstLineChars="200"/>
        <w:rPr>
          <w:rFonts w:eastAsia="仿宋_GB2312"/>
          <w:sz w:val="32"/>
          <w:szCs w:val="32"/>
        </w:rPr>
      </w:pPr>
      <w:bookmarkStart w:id="47" w:name="OLE_LINK1"/>
      <w:r>
        <w:rPr>
          <w:rFonts w:eastAsia="仿宋_GB2312"/>
          <w:sz w:val="32"/>
          <w:szCs w:val="32"/>
        </w:rPr>
        <w:t>2023年度一般公共预算财政拨款支出</w:t>
      </w:r>
      <w:bookmarkEnd w:id="47"/>
      <w:r>
        <w:rPr>
          <w:rFonts w:eastAsia="仿宋_GB2312"/>
          <w:sz w:val="32"/>
          <w:szCs w:val="32"/>
        </w:rPr>
        <w:t>210.54万元，主要用于以下方面:社会保障和就业支出21.37万元，占10.15%；卫生健康支出13.37万元，占6.35%；住房保障支出14.06万元，占6.68%；农林水支出161.75万元，占76.83%。</w:t>
      </w:r>
    </w:p>
    <w:p w14:paraId="26FAFE7E">
      <w:pPr>
        <w:spacing w:line="353" w:lineRule="auto"/>
        <w:ind w:firstLine="640" w:firstLineChars="200"/>
        <w:rPr>
          <w:rFonts w:eastAsia="仿宋"/>
          <w:sz w:val="32"/>
          <w:szCs w:val="32"/>
        </w:rPr>
      </w:pPr>
      <w:r>
        <w:rPr>
          <w:rFonts w:eastAsia="仿宋_GB2312"/>
          <w:sz w:val="32"/>
          <w:szCs w:val="32"/>
        </w:rPr>
        <w:t>（图6：一般公共预算财政拨款支出决算结构）</w:t>
      </w:r>
    </w:p>
    <w:p w14:paraId="2F44DE07">
      <w:pPr>
        <w:pStyle w:val="19"/>
        <w:ind w:firstLine="1299" w:firstLineChars="539"/>
        <w:outlineLvl w:val="9"/>
        <w:rPr>
          <w:rFonts w:ascii="Times New Roman" w:hAnsi="Times New Roman"/>
        </w:rPr>
      </w:pPr>
      <w:bookmarkStart w:id="124" w:name="_GoBack"/>
      <w:bookmarkEnd w:id="124"/>
      <w:r>
        <w:drawing>
          <wp:inline distT="0" distB="0" distL="114300" distR="114300">
            <wp:extent cx="3826510" cy="2458085"/>
            <wp:effectExtent l="4445" t="4445" r="17145" b="1397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FBF314">
      <w:pPr>
        <w:spacing w:line="600" w:lineRule="exact"/>
        <w:ind w:firstLine="640" w:firstLineChars="200"/>
        <w:outlineLvl w:val="2"/>
        <w:rPr>
          <w:rFonts w:eastAsia="楷体_GB2312"/>
          <w:bCs/>
          <w:sz w:val="32"/>
          <w:szCs w:val="32"/>
        </w:rPr>
      </w:pPr>
      <w:bookmarkStart w:id="48" w:name="_Toc15377212"/>
      <w:bookmarkStart w:id="49" w:name="_Toc17603"/>
      <w:r>
        <w:rPr>
          <w:rFonts w:eastAsia="楷体_GB2312"/>
          <w:bCs/>
          <w:sz w:val="32"/>
          <w:szCs w:val="32"/>
        </w:rPr>
        <w:t>（三）一般公共预算财政拨款支出决算具体情况</w:t>
      </w:r>
      <w:bookmarkEnd w:id="48"/>
      <w:r>
        <w:rPr>
          <w:rFonts w:eastAsia="楷体_GB2312"/>
          <w:bCs/>
          <w:sz w:val="32"/>
          <w:szCs w:val="32"/>
        </w:rPr>
        <w:t>。</w:t>
      </w:r>
      <w:bookmarkEnd w:id="49"/>
    </w:p>
    <w:p w14:paraId="454D4103">
      <w:pPr>
        <w:spacing w:line="353" w:lineRule="auto"/>
        <w:ind w:firstLine="640" w:firstLineChars="200"/>
        <w:outlineLvl w:val="1"/>
        <w:rPr>
          <w:rFonts w:eastAsia="仿宋_GB2312"/>
          <w:bCs/>
          <w:sz w:val="32"/>
          <w:szCs w:val="32"/>
        </w:rPr>
      </w:pPr>
      <w:bookmarkStart w:id="50" w:name="_Toc15378460"/>
      <w:bookmarkStart w:id="51" w:name="_Toc15377444"/>
      <w:bookmarkStart w:id="52" w:name="_Toc15377213"/>
      <w:bookmarkStart w:id="53" w:name="_Toc13134"/>
      <w:bookmarkStart w:id="54" w:name="_Toc21720"/>
      <w:r>
        <w:rPr>
          <w:rFonts w:eastAsia="仿宋_GB2312"/>
          <w:bCs/>
          <w:sz w:val="32"/>
          <w:szCs w:val="32"/>
        </w:rPr>
        <w:t>2023年度一般公共预算支出决算数为210.54，</w:t>
      </w:r>
      <w:r>
        <w:rPr>
          <w:rStyle w:val="17"/>
          <w:rFonts w:eastAsia="仿宋_GB2312"/>
          <w:b w:val="0"/>
          <w:bCs/>
          <w:sz w:val="32"/>
          <w:szCs w:val="32"/>
        </w:rPr>
        <w:t>完成预算100%。其中：</w:t>
      </w:r>
      <w:bookmarkEnd w:id="50"/>
      <w:bookmarkEnd w:id="51"/>
      <w:bookmarkEnd w:id="52"/>
      <w:bookmarkEnd w:id="53"/>
      <w:bookmarkEnd w:id="54"/>
    </w:p>
    <w:p w14:paraId="10BD9CD9">
      <w:pPr>
        <w:spacing w:line="353" w:lineRule="auto"/>
        <w:ind w:firstLine="640" w:firstLineChars="200"/>
        <w:rPr>
          <w:rStyle w:val="17"/>
          <w:rFonts w:eastAsia="仿宋_GB2312"/>
          <w:b w:val="0"/>
          <w:bCs/>
          <w:sz w:val="32"/>
          <w:szCs w:val="32"/>
        </w:rPr>
      </w:pPr>
      <w:r>
        <w:rPr>
          <w:rStyle w:val="17"/>
          <w:rFonts w:eastAsia="仿宋_GB2312"/>
          <w:b w:val="0"/>
          <w:bCs/>
          <w:sz w:val="32"/>
          <w:szCs w:val="32"/>
        </w:rPr>
        <w:t>1.社会保障和就业（类）行政事业单位养老支出（款）事业单位离退休（项）:支出决算为2万元，完成预算100%，决算数等于预算数。</w:t>
      </w:r>
    </w:p>
    <w:p w14:paraId="13C428CB">
      <w:pPr>
        <w:spacing w:line="353" w:lineRule="auto"/>
        <w:ind w:firstLine="640" w:firstLineChars="200"/>
        <w:rPr>
          <w:rFonts w:eastAsia="仿宋_GB2312"/>
          <w:bCs/>
          <w:sz w:val="32"/>
          <w:szCs w:val="32"/>
        </w:rPr>
      </w:pPr>
      <w:r>
        <w:rPr>
          <w:rStyle w:val="17"/>
          <w:rFonts w:hint="eastAsia" w:eastAsia="仿宋_GB2312"/>
          <w:b w:val="0"/>
          <w:bCs/>
          <w:sz w:val="32"/>
          <w:szCs w:val="32"/>
        </w:rPr>
        <w:t>2.</w:t>
      </w:r>
      <w:r>
        <w:rPr>
          <w:rStyle w:val="17"/>
          <w:rFonts w:eastAsia="仿宋_GB2312"/>
          <w:b w:val="0"/>
          <w:bCs/>
          <w:sz w:val="32"/>
          <w:szCs w:val="32"/>
        </w:rPr>
        <w:t>社会保障和就业（类）行政事业单位养老支出（款）机关事业单位基本养老保险缴费支出（项）:支出决算为19.37万元，完成预算100%，决算数等于预算数。</w:t>
      </w:r>
    </w:p>
    <w:p w14:paraId="7CE811B0">
      <w:pPr>
        <w:spacing w:line="353" w:lineRule="auto"/>
        <w:ind w:firstLine="640" w:firstLineChars="200"/>
        <w:rPr>
          <w:rStyle w:val="17"/>
          <w:rFonts w:eastAsia="仿宋_GB2312"/>
          <w:b w:val="0"/>
          <w:bCs/>
          <w:sz w:val="32"/>
          <w:szCs w:val="32"/>
        </w:rPr>
      </w:pPr>
      <w:r>
        <w:rPr>
          <w:rFonts w:hint="eastAsia" w:eastAsia="仿宋_GB2312"/>
          <w:bCs/>
          <w:sz w:val="32"/>
          <w:szCs w:val="32"/>
        </w:rPr>
        <w:t>3.</w:t>
      </w:r>
      <w:r>
        <w:rPr>
          <w:rFonts w:eastAsia="仿宋_GB2312"/>
          <w:bCs/>
          <w:sz w:val="32"/>
          <w:szCs w:val="32"/>
        </w:rPr>
        <w:t>卫生健康</w:t>
      </w:r>
      <w:r>
        <w:rPr>
          <w:rStyle w:val="17"/>
          <w:rFonts w:eastAsia="仿宋_GB2312"/>
          <w:b w:val="0"/>
          <w:bCs/>
          <w:sz w:val="32"/>
          <w:szCs w:val="32"/>
        </w:rPr>
        <w:t>（类）行政事业单位医疗（款）事业单位医疗（项）:支出决算为8.05万元，完成预算100%，决算数等于预算数。</w:t>
      </w:r>
    </w:p>
    <w:p w14:paraId="23DD8A46">
      <w:pPr>
        <w:spacing w:line="353" w:lineRule="auto"/>
        <w:ind w:firstLine="640" w:firstLineChars="200"/>
        <w:rPr>
          <w:rStyle w:val="17"/>
          <w:rFonts w:eastAsia="仿宋_GB2312"/>
          <w:b w:val="0"/>
          <w:bCs/>
          <w:sz w:val="32"/>
          <w:szCs w:val="32"/>
        </w:rPr>
      </w:pPr>
      <w:r>
        <w:rPr>
          <w:rFonts w:hint="eastAsia" w:eastAsia="仿宋_GB2312"/>
          <w:bCs/>
          <w:sz w:val="32"/>
          <w:szCs w:val="32"/>
        </w:rPr>
        <w:t>4.</w:t>
      </w:r>
      <w:r>
        <w:rPr>
          <w:rFonts w:eastAsia="仿宋_GB2312"/>
          <w:bCs/>
          <w:sz w:val="32"/>
          <w:szCs w:val="32"/>
        </w:rPr>
        <w:t>卫生健康</w:t>
      </w:r>
      <w:r>
        <w:rPr>
          <w:rStyle w:val="17"/>
          <w:rFonts w:eastAsia="仿宋_GB2312"/>
          <w:b w:val="0"/>
          <w:bCs/>
          <w:sz w:val="32"/>
          <w:szCs w:val="32"/>
        </w:rPr>
        <w:t>（类）行政事业单位医疗（款）</w:t>
      </w:r>
      <w:r>
        <w:rPr>
          <w:rFonts w:eastAsia="仿宋_GB2312"/>
          <w:bCs/>
          <w:sz w:val="32"/>
          <w:szCs w:val="32"/>
        </w:rPr>
        <w:t>其他行政事业单位医疗支出</w:t>
      </w:r>
      <w:r>
        <w:rPr>
          <w:rStyle w:val="17"/>
          <w:rFonts w:eastAsia="仿宋_GB2312"/>
          <w:b w:val="0"/>
          <w:bCs/>
          <w:sz w:val="32"/>
          <w:szCs w:val="32"/>
        </w:rPr>
        <w:t>（项）:支出决算为5.31万元，完成预算100%，决算数等于预算数。</w:t>
      </w:r>
    </w:p>
    <w:p w14:paraId="3E86B60E">
      <w:pPr>
        <w:spacing w:line="353" w:lineRule="auto"/>
        <w:ind w:firstLine="640" w:firstLineChars="200"/>
        <w:rPr>
          <w:rStyle w:val="17"/>
          <w:rFonts w:eastAsia="仿宋_GB2312"/>
          <w:b w:val="0"/>
          <w:bCs/>
          <w:sz w:val="32"/>
          <w:szCs w:val="32"/>
        </w:rPr>
      </w:pPr>
      <w:r>
        <w:rPr>
          <w:rFonts w:hint="eastAsia" w:eastAsia="仿宋_GB2312"/>
          <w:bCs/>
          <w:sz w:val="32"/>
          <w:szCs w:val="32"/>
        </w:rPr>
        <w:t>5.</w:t>
      </w:r>
      <w:r>
        <w:rPr>
          <w:rFonts w:eastAsia="仿宋_GB2312"/>
          <w:bCs/>
          <w:sz w:val="32"/>
          <w:szCs w:val="32"/>
        </w:rPr>
        <w:t>农林水支出</w:t>
      </w:r>
      <w:r>
        <w:rPr>
          <w:rStyle w:val="17"/>
          <w:rFonts w:eastAsia="仿宋_GB2312"/>
          <w:b w:val="0"/>
          <w:bCs/>
          <w:sz w:val="32"/>
          <w:szCs w:val="32"/>
        </w:rPr>
        <w:t>（类）农业农村（款）事业运行（项）:支出决算为145.55万元，完成预算100%，决算数等于预算数。</w:t>
      </w:r>
    </w:p>
    <w:p w14:paraId="611DA001">
      <w:pPr>
        <w:pStyle w:val="19"/>
        <w:spacing w:line="353" w:lineRule="auto"/>
        <w:ind w:firstLine="640" w:firstLineChars="200"/>
        <w:rPr>
          <w:rStyle w:val="17"/>
          <w:rFonts w:ascii="Times New Roman" w:hAnsi="Times New Roman" w:eastAsia="仿宋_GB2312"/>
          <w:b w:val="0"/>
          <w:bCs/>
          <w:sz w:val="32"/>
          <w:szCs w:val="32"/>
        </w:rPr>
      </w:pPr>
      <w:r>
        <w:rPr>
          <w:rFonts w:hint="eastAsia" w:ascii="Times New Roman" w:hAnsi="Times New Roman" w:eastAsia="仿宋_GB2312"/>
          <w:b w:val="0"/>
          <w:bCs/>
          <w:sz w:val="32"/>
          <w:szCs w:val="32"/>
        </w:rPr>
        <w:t>6.</w:t>
      </w:r>
      <w:r>
        <w:rPr>
          <w:rFonts w:ascii="Times New Roman" w:hAnsi="Times New Roman" w:eastAsia="仿宋_GB2312"/>
          <w:b w:val="0"/>
          <w:bCs/>
          <w:sz w:val="32"/>
          <w:szCs w:val="32"/>
        </w:rPr>
        <w:t>农林水支出</w:t>
      </w:r>
      <w:r>
        <w:rPr>
          <w:rStyle w:val="17"/>
          <w:rFonts w:ascii="Times New Roman" w:hAnsi="Times New Roman" w:eastAsia="仿宋_GB2312"/>
          <w:b w:val="0"/>
          <w:bCs/>
          <w:sz w:val="32"/>
          <w:szCs w:val="32"/>
        </w:rPr>
        <w:t>（类）农业农村（款）病虫害控制（项）:支出决算为4.35万元，完成预算100%，决算数等于预算数。</w:t>
      </w:r>
    </w:p>
    <w:p w14:paraId="1BD7901B">
      <w:pPr>
        <w:spacing w:line="353" w:lineRule="auto"/>
        <w:ind w:firstLine="640" w:firstLineChars="200"/>
        <w:rPr>
          <w:rStyle w:val="17"/>
          <w:rFonts w:eastAsia="仿宋_GB2312"/>
          <w:b w:val="0"/>
          <w:bCs/>
          <w:sz w:val="32"/>
          <w:szCs w:val="32"/>
        </w:rPr>
      </w:pPr>
      <w:r>
        <w:rPr>
          <w:rFonts w:hint="eastAsia" w:eastAsia="仿宋_GB2312"/>
          <w:bCs/>
          <w:sz w:val="32"/>
          <w:szCs w:val="32"/>
        </w:rPr>
        <w:t>7.</w:t>
      </w:r>
      <w:r>
        <w:rPr>
          <w:rFonts w:eastAsia="仿宋_GB2312"/>
          <w:bCs/>
          <w:sz w:val="32"/>
          <w:szCs w:val="32"/>
        </w:rPr>
        <w:t>农林水支出</w:t>
      </w:r>
      <w:r>
        <w:rPr>
          <w:rStyle w:val="17"/>
          <w:rFonts w:eastAsia="仿宋_GB2312"/>
          <w:b w:val="0"/>
          <w:bCs/>
          <w:sz w:val="32"/>
          <w:szCs w:val="32"/>
        </w:rPr>
        <w:t>（类）农业农村（款）其他农业农村支出（项）:支出决算为11.85万元，完成预算100%，决算数等于预算数。</w:t>
      </w:r>
    </w:p>
    <w:p w14:paraId="3E9A5427">
      <w:pPr>
        <w:spacing w:line="353" w:lineRule="auto"/>
        <w:ind w:firstLine="640" w:firstLineChars="200"/>
        <w:rPr>
          <w:rFonts w:eastAsia="仿宋_GB2312"/>
          <w:bCs/>
          <w:sz w:val="32"/>
          <w:szCs w:val="32"/>
        </w:rPr>
      </w:pPr>
      <w:r>
        <w:rPr>
          <w:rFonts w:hint="eastAsia" w:eastAsia="仿宋_GB2312"/>
          <w:bCs/>
          <w:sz w:val="32"/>
          <w:szCs w:val="32"/>
        </w:rPr>
        <w:t>8.</w:t>
      </w:r>
      <w:r>
        <w:rPr>
          <w:rFonts w:eastAsia="仿宋_GB2312"/>
          <w:bCs/>
          <w:sz w:val="32"/>
          <w:szCs w:val="32"/>
        </w:rPr>
        <w:t>住房保障支出</w:t>
      </w:r>
      <w:r>
        <w:rPr>
          <w:rStyle w:val="17"/>
          <w:rFonts w:eastAsia="仿宋_GB2312"/>
          <w:b w:val="0"/>
          <w:bCs/>
          <w:sz w:val="32"/>
          <w:szCs w:val="32"/>
        </w:rPr>
        <w:t>（类）住房改革支出（款）住房公积金（项）:支出决算为14.06万元，完成预算100%，决算数等于预算数。</w:t>
      </w:r>
    </w:p>
    <w:p w14:paraId="7490DD64">
      <w:pPr>
        <w:tabs>
          <w:tab w:val="right" w:pos="8306"/>
        </w:tabs>
        <w:spacing w:line="353" w:lineRule="auto"/>
        <w:ind w:firstLine="640" w:firstLineChars="200"/>
        <w:outlineLvl w:val="1"/>
        <w:rPr>
          <w:rStyle w:val="29"/>
          <w:rFonts w:ascii="Times New Roman" w:hAnsi="Times New Roman" w:cs="Times New Roman"/>
        </w:rPr>
      </w:pPr>
      <w:bookmarkStart w:id="55" w:name="_Toc15396608"/>
      <w:bookmarkStart w:id="56" w:name="_Toc15377214"/>
      <w:bookmarkStart w:id="57" w:name="_Toc18031"/>
      <w:r>
        <w:rPr>
          <w:rFonts w:eastAsia="黑体"/>
          <w:sz w:val="32"/>
          <w:szCs w:val="32"/>
        </w:rPr>
        <w:t>六</w:t>
      </w:r>
      <w:r>
        <w:rPr>
          <w:rFonts w:eastAsia="黑体"/>
          <w:b/>
          <w:sz w:val="32"/>
          <w:szCs w:val="32"/>
        </w:rPr>
        <w:t>、一</w:t>
      </w:r>
      <w:r>
        <w:rPr>
          <w:rStyle w:val="29"/>
          <w:rFonts w:ascii="Times New Roman" w:hAnsi="Times New Roman" w:eastAsia="黑体" w:cs="Times New Roman"/>
          <w:b w:val="0"/>
        </w:rPr>
        <w:t>般公共预算财政拨款基本支出决算情况说明</w:t>
      </w:r>
      <w:bookmarkEnd w:id="55"/>
      <w:bookmarkEnd w:id="56"/>
      <w:bookmarkEnd w:id="57"/>
      <w:r>
        <w:rPr>
          <w:rStyle w:val="29"/>
          <w:rFonts w:ascii="Times New Roman" w:hAnsi="Times New Roman" w:eastAsia="黑体" w:cs="Times New Roman"/>
          <w:b w:val="0"/>
        </w:rPr>
        <w:tab/>
      </w:r>
    </w:p>
    <w:p w14:paraId="31FE3EF3">
      <w:pPr>
        <w:spacing w:line="353" w:lineRule="auto"/>
        <w:ind w:firstLine="640" w:firstLineChars="200"/>
        <w:rPr>
          <w:rFonts w:eastAsia="仿宋_GB2312"/>
          <w:sz w:val="32"/>
          <w:szCs w:val="32"/>
        </w:rPr>
      </w:pPr>
      <w:r>
        <w:rPr>
          <w:rFonts w:eastAsia="仿宋_GB2312"/>
          <w:sz w:val="32"/>
          <w:szCs w:val="32"/>
        </w:rPr>
        <w:t>2023年度一般公共预算财政拨款基本支出194.34万元，其中：</w:t>
      </w:r>
    </w:p>
    <w:p w14:paraId="29E25D9D">
      <w:pPr>
        <w:spacing w:line="353" w:lineRule="auto"/>
        <w:ind w:firstLine="640" w:firstLineChars="200"/>
        <w:rPr>
          <w:rFonts w:eastAsia="仿宋"/>
          <w:sz w:val="32"/>
          <w:szCs w:val="32"/>
        </w:rPr>
      </w:pPr>
      <w:r>
        <w:rPr>
          <w:rFonts w:eastAsia="仿宋_GB2312"/>
          <w:sz w:val="32"/>
          <w:szCs w:val="32"/>
        </w:rPr>
        <w:t>人员经费189.99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eastAsia="仿宋_GB2312"/>
          <w:sz w:val="32"/>
          <w:szCs w:val="32"/>
        </w:rPr>
        <w:br w:type="textWrapping"/>
      </w:r>
      <w:r>
        <w:rPr>
          <w:rFonts w:hint="eastAsia" w:eastAsia="仿宋_GB2312"/>
          <w:sz w:val="32"/>
          <w:szCs w:val="32"/>
        </w:rPr>
        <w:t xml:space="preserve">    </w:t>
      </w:r>
      <w:r>
        <w:rPr>
          <w:rFonts w:eastAsia="仿宋_GB2312"/>
          <w:sz w:val="32"/>
          <w:szCs w:val="32"/>
        </w:rPr>
        <w:t>公用经费4.34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0DC5FF33">
      <w:pPr>
        <w:spacing w:line="353" w:lineRule="auto"/>
        <w:ind w:firstLine="640" w:firstLineChars="200"/>
        <w:outlineLvl w:val="1"/>
        <w:rPr>
          <w:rStyle w:val="29"/>
          <w:rFonts w:ascii="Times New Roman" w:hAnsi="Times New Roman" w:eastAsia="黑体" w:cs="Times New Roman"/>
          <w:b w:val="0"/>
        </w:rPr>
      </w:pPr>
      <w:bookmarkStart w:id="58" w:name="_Toc15396609"/>
      <w:bookmarkStart w:id="59" w:name="_Toc15377215"/>
      <w:bookmarkStart w:id="60" w:name="_Toc30999"/>
      <w:r>
        <w:rPr>
          <w:rFonts w:eastAsia="黑体"/>
          <w:sz w:val="32"/>
          <w:szCs w:val="32"/>
        </w:rPr>
        <w:t>七、</w:t>
      </w:r>
      <w:r>
        <w:rPr>
          <w:rStyle w:val="29"/>
          <w:rFonts w:ascii="Times New Roman" w:hAnsi="Times New Roman" w:eastAsia="黑体" w:cs="Times New Roman"/>
          <w:b w:val="0"/>
        </w:rPr>
        <w:t>财政拨款</w:t>
      </w:r>
      <w:r>
        <w:rPr>
          <w:rStyle w:val="29"/>
          <w:rFonts w:ascii="Times New Roman" w:hAnsi="Times New Roman" w:eastAsia="黑体" w:cs="Times New Roman"/>
        </w:rPr>
        <w:t>“</w:t>
      </w:r>
      <w:r>
        <w:rPr>
          <w:rStyle w:val="29"/>
          <w:rFonts w:ascii="Times New Roman" w:hAnsi="Times New Roman" w:eastAsia="黑体" w:cs="Times New Roman"/>
          <w:b w:val="0"/>
        </w:rPr>
        <w:t>三公”经费支出决算情况说明</w:t>
      </w:r>
      <w:bookmarkEnd w:id="58"/>
      <w:bookmarkEnd w:id="59"/>
      <w:bookmarkEnd w:id="60"/>
    </w:p>
    <w:p w14:paraId="48149076">
      <w:pPr>
        <w:spacing w:line="353" w:lineRule="auto"/>
        <w:ind w:firstLine="640" w:firstLineChars="200"/>
        <w:outlineLvl w:val="2"/>
        <w:rPr>
          <w:rFonts w:eastAsia="楷体_GB2312"/>
          <w:bCs/>
          <w:sz w:val="32"/>
          <w:szCs w:val="32"/>
        </w:rPr>
      </w:pPr>
      <w:bookmarkStart w:id="61" w:name="_Toc15377216"/>
      <w:bookmarkStart w:id="62" w:name="_Toc17418"/>
      <w:r>
        <w:rPr>
          <w:rFonts w:eastAsia="楷体_GB2312"/>
          <w:bCs/>
          <w:sz w:val="32"/>
          <w:szCs w:val="32"/>
        </w:rPr>
        <w:t>（一）“三公”经费财政拨款支出决算总体情况说明</w:t>
      </w:r>
      <w:bookmarkEnd w:id="61"/>
      <w:r>
        <w:rPr>
          <w:rFonts w:eastAsia="楷体_GB2312"/>
          <w:bCs/>
          <w:sz w:val="32"/>
          <w:szCs w:val="32"/>
        </w:rPr>
        <w:t>。</w:t>
      </w:r>
      <w:bookmarkEnd w:id="62"/>
    </w:p>
    <w:p w14:paraId="65B357AE">
      <w:pPr>
        <w:spacing w:line="353" w:lineRule="auto"/>
        <w:ind w:firstLine="640" w:firstLineChars="200"/>
        <w:rPr>
          <w:rFonts w:eastAsia="仿宋_GB2312"/>
          <w:sz w:val="32"/>
          <w:szCs w:val="32"/>
        </w:rPr>
      </w:pPr>
      <w:r>
        <w:rPr>
          <w:rFonts w:eastAsia="仿宋_GB2312"/>
          <w:sz w:val="32"/>
          <w:szCs w:val="32"/>
        </w:rPr>
        <w:t>2023年度“三公”经费财政拨款支出决算为0.58万元，完成预算100%，较上年度减少0.14万元，下降19.44%。决算数与预算数持平。</w:t>
      </w:r>
    </w:p>
    <w:p w14:paraId="61E95F52">
      <w:pPr>
        <w:spacing w:line="353" w:lineRule="auto"/>
        <w:ind w:firstLine="640" w:firstLineChars="200"/>
        <w:outlineLvl w:val="2"/>
        <w:rPr>
          <w:rFonts w:eastAsia="楷体_GB2312"/>
          <w:bCs/>
          <w:sz w:val="32"/>
          <w:szCs w:val="32"/>
        </w:rPr>
      </w:pPr>
      <w:bookmarkStart w:id="63" w:name="_Toc15377217"/>
      <w:bookmarkStart w:id="64" w:name="_Toc3808"/>
      <w:r>
        <w:rPr>
          <w:rFonts w:eastAsia="楷体_GB2312"/>
          <w:bCs/>
          <w:sz w:val="32"/>
          <w:szCs w:val="32"/>
        </w:rPr>
        <w:t>（二）“三公”经费财政拨款支出决算具体情况说明</w:t>
      </w:r>
      <w:bookmarkEnd w:id="63"/>
      <w:r>
        <w:rPr>
          <w:rFonts w:eastAsia="楷体_GB2312"/>
          <w:bCs/>
          <w:sz w:val="32"/>
          <w:szCs w:val="32"/>
        </w:rPr>
        <w:t>。</w:t>
      </w:r>
      <w:bookmarkEnd w:id="64"/>
    </w:p>
    <w:p w14:paraId="4C98B508">
      <w:pPr>
        <w:spacing w:line="353" w:lineRule="auto"/>
        <w:ind w:firstLine="640" w:firstLineChars="200"/>
        <w:rPr>
          <w:rFonts w:eastAsia="仿宋_GB2312"/>
          <w:sz w:val="32"/>
          <w:szCs w:val="32"/>
        </w:rPr>
      </w:pPr>
      <w:r>
        <w:rPr>
          <w:rFonts w:eastAsia="仿宋_GB2312"/>
          <w:sz w:val="32"/>
          <w:szCs w:val="32"/>
        </w:rPr>
        <w:t>2023年度“三公”经费财政拨款支出决算中，因公出国（境）费支出决算0万元，占0%；公务用车购置及运行维护费支出决算0.45万元，占76.63%；公务接待费支出决算0.14万元，占23.36%。具体情况如下：</w:t>
      </w:r>
    </w:p>
    <w:p w14:paraId="6395933F">
      <w:pPr>
        <w:spacing w:line="353" w:lineRule="auto"/>
        <w:ind w:firstLine="640" w:firstLineChars="200"/>
        <w:rPr>
          <w:rFonts w:eastAsia="仿宋_GB2312"/>
          <w:sz w:val="32"/>
          <w:szCs w:val="32"/>
        </w:rPr>
      </w:pPr>
      <w:r>
        <w:rPr>
          <w:rFonts w:eastAsia="仿宋_GB2312"/>
          <w:sz w:val="32"/>
          <w:szCs w:val="32"/>
        </w:rPr>
        <w:t>（图7：“三公”经费财政拨款支出结构）</w:t>
      </w:r>
    </w:p>
    <w:p w14:paraId="583892F3">
      <w:pPr>
        <w:pStyle w:val="19"/>
        <w:ind w:firstLine="1535" w:firstLineChars="637"/>
        <w:outlineLvl w:val="9"/>
        <w:rPr>
          <w:rFonts w:ascii="Times New Roman" w:hAnsi="Times New Roman"/>
        </w:rPr>
      </w:pPr>
      <w:r>
        <w:rPr>
          <w:rFonts w:ascii="Times New Roman" w:hAnsi="Times New Roman"/>
        </w:rPr>
        <w:drawing>
          <wp:inline distT="0" distB="0" distL="0" distR="0">
            <wp:extent cx="3573780" cy="1718945"/>
            <wp:effectExtent l="4445" t="4445" r="22225" b="1016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8D69A3">
      <w:pPr>
        <w:spacing w:line="353" w:lineRule="auto"/>
        <w:rPr>
          <w:rFonts w:eastAsia="仿宋_GB2312"/>
          <w:b/>
          <w:sz w:val="32"/>
          <w:szCs w:val="32"/>
        </w:rPr>
      </w:pPr>
      <w:bookmarkStart w:id="65" w:name="_Toc15396610"/>
      <w:bookmarkStart w:id="66" w:name="_Toc15377218"/>
    </w:p>
    <w:p w14:paraId="52EE8347">
      <w:pPr>
        <w:spacing w:line="353" w:lineRule="auto"/>
        <w:ind w:firstLine="640" w:firstLineChars="200"/>
        <w:rPr>
          <w:rFonts w:eastAsia="仿宋_GB2312"/>
          <w:bCs/>
          <w:sz w:val="32"/>
          <w:szCs w:val="32"/>
        </w:rPr>
      </w:pPr>
      <w:r>
        <w:rPr>
          <w:rFonts w:eastAsia="仿宋_GB2312"/>
          <w:bCs/>
          <w:sz w:val="32"/>
          <w:szCs w:val="32"/>
        </w:rPr>
        <w:t>1.因公出国（境）经费支出0万元，</w:t>
      </w:r>
      <w:r>
        <w:rPr>
          <w:rStyle w:val="17"/>
          <w:rFonts w:eastAsia="仿宋_GB2312"/>
          <w:b w:val="0"/>
          <w:bCs/>
          <w:sz w:val="32"/>
          <w:szCs w:val="32"/>
        </w:rPr>
        <w:t>完成预算0%。</w:t>
      </w:r>
      <w:r>
        <w:rPr>
          <w:rFonts w:eastAsia="仿宋_GB2312"/>
          <w:bCs/>
          <w:sz w:val="32"/>
          <w:szCs w:val="32"/>
        </w:rPr>
        <w:t>全年安排因公出国（境）团组0次，出国（境）0人。因公出国（境）支出决算比2022年增加0万元，增长0%。主要原因是无此预算。</w:t>
      </w:r>
    </w:p>
    <w:p w14:paraId="56943B67">
      <w:pPr>
        <w:spacing w:line="353" w:lineRule="auto"/>
        <w:ind w:firstLine="640" w:firstLineChars="200"/>
        <w:rPr>
          <w:rFonts w:eastAsia="仿宋_GB2312"/>
          <w:bCs/>
          <w:sz w:val="32"/>
          <w:szCs w:val="32"/>
        </w:rPr>
      </w:pPr>
      <w:r>
        <w:rPr>
          <w:rFonts w:eastAsia="仿宋_GB2312"/>
          <w:bCs/>
          <w:sz w:val="32"/>
          <w:szCs w:val="32"/>
        </w:rPr>
        <w:t>2.公务用车购置及运行维护费支出0.45万元,</w:t>
      </w:r>
      <w:r>
        <w:rPr>
          <w:rStyle w:val="17"/>
          <w:rFonts w:eastAsia="仿宋_GB2312"/>
          <w:b w:val="0"/>
          <w:bCs/>
          <w:sz w:val="32"/>
          <w:szCs w:val="32"/>
        </w:rPr>
        <w:t>完成预算100%。</w:t>
      </w:r>
      <w:r>
        <w:rPr>
          <w:rFonts w:eastAsia="仿宋_GB2312"/>
          <w:bCs/>
          <w:sz w:val="32"/>
          <w:szCs w:val="32"/>
        </w:rPr>
        <w:t>公务用车购置及运行维护费支出决算比2022年度减少0.18万元，下降28.57%。主要原因是严格管理，</w:t>
      </w:r>
      <w:r>
        <w:rPr>
          <w:rFonts w:hint="eastAsia" w:eastAsia="仿宋_GB2312"/>
          <w:bCs/>
          <w:sz w:val="32"/>
          <w:szCs w:val="32"/>
          <w:lang w:eastAsia="zh-CN"/>
        </w:rPr>
        <w:t>厉</w:t>
      </w:r>
      <w:r>
        <w:rPr>
          <w:rFonts w:eastAsia="仿宋_GB2312"/>
          <w:bCs/>
          <w:sz w:val="32"/>
          <w:szCs w:val="32"/>
        </w:rPr>
        <w:t>行节约。</w:t>
      </w:r>
    </w:p>
    <w:p w14:paraId="54EB954A">
      <w:pPr>
        <w:spacing w:line="353" w:lineRule="auto"/>
        <w:ind w:firstLine="640" w:firstLineChars="200"/>
        <w:rPr>
          <w:rFonts w:eastAsia="仿宋_GB2312"/>
          <w:bCs/>
          <w:sz w:val="32"/>
          <w:szCs w:val="32"/>
        </w:rPr>
      </w:pPr>
      <w:r>
        <w:rPr>
          <w:rFonts w:eastAsia="仿宋_GB2312"/>
          <w:bCs/>
          <w:sz w:val="32"/>
          <w:szCs w:val="32"/>
        </w:rPr>
        <w:t>其中：公务用车购置支出0万元。全年按规定更新购置公务用车0辆，其中：轿车0辆、金额0万元，越野车0辆、金额0万元，载客汽车0辆、金额0万元。截至2023年12月31日，单位共有公务用车2辆，其中：轿车1辆、越野车1辆、载客汽车0辆。</w:t>
      </w:r>
    </w:p>
    <w:p w14:paraId="536BFF5B">
      <w:pPr>
        <w:spacing w:line="353" w:lineRule="auto"/>
        <w:ind w:firstLine="640" w:firstLineChars="200"/>
        <w:rPr>
          <w:rFonts w:eastAsia="仿宋_GB2312"/>
          <w:sz w:val="32"/>
          <w:szCs w:val="32"/>
        </w:rPr>
      </w:pPr>
      <w:r>
        <w:rPr>
          <w:rFonts w:eastAsia="仿宋_GB2312"/>
          <w:bCs/>
          <w:sz w:val="32"/>
          <w:szCs w:val="32"/>
        </w:rPr>
        <w:t>公务用车运行维护费支出0.45万元。</w:t>
      </w:r>
      <w:r>
        <w:rPr>
          <w:rFonts w:eastAsia="仿宋_GB2312"/>
          <w:sz w:val="32"/>
          <w:szCs w:val="32"/>
        </w:rPr>
        <w:t>主要用于动物疫病预防控制工作等所需的公务用车燃料费、维修费、过路过桥费、保险费等支出。</w:t>
      </w:r>
    </w:p>
    <w:p w14:paraId="24594018">
      <w:pPr>
        <w:spacing w:line="353" w:lineRule="auto"/>
        <w:ind w:firstLine="640" w:firstLineChars="200"/>
        <w:rPr>
          <w:rFonts w:eastAsia="仿宋_GB2312"/>
          <w:bCs/>
          <w:sz w:val="32"/>
          <w:szCs w:val="32"/>
        </w:rPr>
      </w:pPr>
      <w:r>
        <w:rPr>
          <w:rFonts w:eastAsia="仿宋_GB2312"/>
          <w:bCs/>
          <w:sz w:val="32"/>
          <w:szCs w:val="32"/>
        </w:rPr>
        <w:t>3.公务接待费支出0.14万元，</w:t>
      </w:r>
      <w:r>
        <w:rPr>
          <w:rStyle w:val="17"/>
          <w:rFonts w:eastAsia="仿宋_GB2312"/>
          <w:b w:val="0"/>
          <w:bCs/>
          <w:sz w:val="32"/>
          <w:szCs w:val="32"/>
        </w:rPr>
        <w:t>完成预算100%。</w:t>
      </w:r>
      <w:r>
        <w:rPr>
          <w:rFonts w:eastAsia="仿宋_GB2312"/>
          <w:bCs/>
          <w:sz w:val="32"/>
          <w:szCs w:val="32"/>
        </w:rPr>
        <w:t>公务接待费支出决算比2022年度增加0.05万元，增长55.56%。主要原因是财政调整公务接待费。其中：</w:t>
      </w:r>
    </w:p>
    <w:p w14:paraId="218911E4">
      <w:pPr>
        <w:spacing w:line="353" w:lineRule="auto"/>
        <w:ind w:firstLine="640" w:firstLineChars="200"/>
        <w:rPr>
          <w:rFonts w:eastAsia="仿宋_GB2312"/>
          <w:bCs/>
          <w:sz w:val="32"/>
          <w:szCs w:val="32"/>
        </w:rPr>
      </w:pPr>
      <w:r>
        <w:rPr>
          <w:rFonts w:eastAsia="仿宋_GB2312"/>
          <w:bCs/>
          <w:sz w:val="32"/>
          <w:szCs w:val="32"/>
        </w:rPr>
        <w:t>国内公务接待支出0.14万元，主要用于动物防疫检查业务工作用餐费。国内公务接待2批次，14人次（不包括陪同人员），共计支出0.14万元，具体内容包括：动物疫病防控调研评估0.1万元及非洲猪瘟检查采样0.04万元。</w:t>
      </w:r>
    </w:p>
    <w:p w14:paraId="708B1505">
      <w:pPr>
        <w:spacing w:line="353" w:lineRule="auto"/>
        <w:ind w:firstLine="640" w:firstLineChars="200"/>
        <w:rPr>
          <w:rFonts w:eastAsia="黑体"/>
          <w:bCs/>
          <w:sz w:val="32"/>
          <w:szCs w:val="32"/>
        </w:rPr>
      </w:pPr>
      <w:r>
        <w:rPr>
          <w:rFonts w:eastAsia="仿宋_GB2312"/>
          <w:bCs/>
          <w:sz w:val="32"/>
          <w:szCs w:val="32"/>
        </w:rPr>
        <w:t>外事接待支出0万元。外事接待0批次，0人次，共计支出0万元。</w:t>
      </w:r>
    </w:p>
    <w:p w14:paraId="32A23032">
      <w:pPr>
        <w:spacing w:line="353" w:lineRule="auto"/>
        <w:ind w:firstLine="640" w:firstLineChars="200"/>
        <w:outlineLvl w:val="1"/>
        <w:rPr>
          <w:rStyle w:val="29"/>
          <w:rFonts w:ascii="Times New Roman" w:hAnsi="Times New Roman" w:eastAsia="黑体" w:cs="Times New Roman"/>
        </w:rPr>
      </w:pPr>
      <w:bookmarkStart w:id="67" w:name="_Toc28154"/>
      <w:r>
        <w:rPr>
          <w:rFonts w:eastAsia="黑体"/>
          <w:sz w:val="32"/>
          <w:szCs w:val="32"/>
        </w:rPr>
        <w:t>八、</w:t>
      </w:r>
      <w:r>
        <w:rPr>
          <w:rStyle w:val="29"/>
          <w:rFonts w:ascii="Times New Roman" w:hAnsi="Times New Roman" w:eastAsia="黑体" w:cs="Times New Roman"/>
          <w:b w:val="0"/>
        </w:rPr>
        <w:t>政府性基金预算支出决算情况说明</w:t>
      </w:r>
      <w:bookmarkEnd w:id="65"/>
      <w:bookmarkEnd w:id="66"/>
      <w:bookmarkEnd w:id="67"/>
    </w:p>
    <w:p w14:paraId="71B3531A">
      <w:pPr>
        <w:spacing w:line="353" w:lineRule="auto"/>
        <w:ind w:firstLine="640" w:firstLineChars="200"/>
        <w:rPr>
          <w:rFonts w:eastAsia="仿宋_GB2312"/>
          <w:sz w:val="32"/>
          <w:szCs w:val="32"/>
        </w:rPr>
      </w:pPr>
      <w:r>
        <w:rPr>
          <w:rFonts w:eastAsia="仿宋_GB2312"/>
          <w:sz w:val="32"/>
          <w:szCs w:val="32"/>
        </w:rPr>
        <w:t>2023年度政府性基金预算财政拨款支出</w:t>
      </w:r>
      <w:r>
        <w:rPr>
          <w:rFonts w:eastAsia="仿宋"/>
          <w:sz w:val="32"/>
          <w:szCs w:val="32"/>
        </w:rPr>
        <w:t>3.6</w:t>
      </w:r>
      <w:r>
        <w:rPr>
          <w:rFonts w:eastAsia="仿宋_GB2312"/>
          <w:sz w:val="32"/>
          <w:szCs w:val="32"/>
        </w:rPr>
        <w:t>万元。</w:t>
      </w:r>
    </w:p>
    <w:p w14:paraId="4ACA0FE0">
      <w:pPr>
        <w:spacing w:line="353" w:lineRule="auto"/>
        <w:ind w:firstLine="640" w:firstLineChars="200"/>
        <w:outlineLvl w:val="1"/>
        <w:rPr>
          <w:rStyle w:val="29"/>
          <w:rFonts w:ascii="Times New Roman" w:hAnsi="Times New Roman" w:eastAsia="黑体" w:cs="Times New Roman"/>
          <w:b w:val="0"/>
        </w:rPr>
      </w:pPr>
      <w:bookmarkStart w:id="68" w:name="_Toc15396611"/>
      <w:bookmarkStart w:id="69" w:name="_Toc2501"/>
      <w:bookmarkStart w:id="70" w:name="_Toc15377219"/>
      <w:r>
        <w:rPr>
          <w:rStyle w:val="29"/>
          <w:rFonts w:ascii="Times New Roman" w:hAnsi="Times New Roman" w:eastAsia="黑体" w:cs="Times New Roman"/>
          <w:b w:val="0"/>
        </w:rPr>
        <w:t>九、国有资本经营预算支出决算情况说明</w:t>
      </w:r>
      <w:bookmarkEnd w:id="68"/>
      <w:bookmarkEnd w:id="69"/>
      <w:bookmarkEnd w:id="70"/>
    </w:p>
    <w:p w14:paraId="325AE76F">
      <w:pPr>
        <w:spacing w:line="353" w:lineRule="auto"/>
        <w:ind w:firstLine="640" w:firstLineChars="200"/>
        <w:rPr>
          <w:rFonts w:eastAsia="仿宋_GB2312"/>
          <w:sz w:val="32"/>
          <w:szCs w:val="32"/>
        </w:rPr>
      </w:pPr>
      <w:r>
        <w:rPr>
          <w:rFonts w:eastAsia="仿宋_GB2312"/>
          <w:sz w:val="32"/>
          <w:szCs w:val="32"/>
        </w:rPr>
        <w:t>2023年度国有资本经营预算财政拨款支出0万元。</w:t>
      </w:r>
    </w:p>
    <w:p w14:paraId="292A455B">
      <w:pPr>
        <w:spacing w:line="353" w:lineRule="auto"/>
        <w:ind w:firstLine="640" w:firstLineChars="200"/>
        <w:outlineLvl w:val="1"/>
        <w:rPr>
          <w:rStyle w:val="29"/>
          <w:rFonts w:ascii="Times New Roman" w:hAnsi="Times New Roman" w:eastAsia="黑体" w:cs="Times New Roman"/>
          <w:b w:val="0"/>
        </w:rPr>
      </w:pPr>
      <w:bookmarkStart w:id="71" w:name="_Toc15377221"/>
      <w:bookmarkStart w:id="72" w:name="_Toc15396612"/>
      <w:bookmarkStart w:id="73" w:name="_Toc25421"/>
      <w:r>
        <w:rPr>
          <w:rStyle w:val="29"/>
          <w:rFonts w:ascii="Times New Roman" w:hAnsi="Times New Roman" w:eastAsia="黑体" w:cs="Times New Roman"/>
          <w:b w:val="0"/>
        </w:rPr>
        <w:t>十、其他重要事项的情况说明</w:t>
      </w:r>
      <w:bookmarkEnd w:id="71"/>
      <w:bookmarkEnd w:id="72"/>
      <w:bookmarkEnd w:id="73"/>
    </w:p>
    <w:p w14:paraId="72D555DE">
      <w:pPr>
        <w:spacing w:line="353" w:lineRule="auto"/>
        <w:ind w:firstLine="640" w:firstLineChars="200"/>
        <w:outlineLvl w:val="2"/>
        <w:rPr>
          <w:rFonts w:eastAsia="楷体_GB2312"/>
          <w:bCs/>
          <w:sz w:val="32"/>
          <w:szCs w:val="32"/>
        </w:rPr>
      </w:pPr>
      <w:bookmarkStart w:id="74" w:name="_Toc15377222"/>
      <w:bookmarkStart w:id="75" w:name="_Toc1904"/>
      <w:r>
        <w:rPr>
          <w:rFonts w:eastAsia="楷体_GB2312"/>
          <w:bCs/>
          <w:sz w:val="32"/>
          <w:szCs w:val="32"/>
        </w:rPr>
        <w:t>（一）机关运行经费支出情况</w:t>
      </w:r>
      <w:bookmarkEnd w:id="74"/>
      <w:r>
        <w:rPr>
          <w:rFonts w:eastAsia="楷体_GB2312"/>
          <w:bCs/>
          <w:sz w:val="32"/>
          <w:szCs w:val="32"/>
        </w:rPr>
        <w:t>。</w:t>
      </w:r>
      <w:bookmarkEnd w:id="75"/>
    </w:p>
    <w:p w14:paraId="4AFD04D8">
      <w:pPr>
        <w:spacing w:line="353" w:lineRule="auto"/>
        <w:ind w:firstLine="640" w:firstLineChars="200"/>
        <w:rPr>
          <w:rFonts w:eastAsia="仿宋_GB2312"/>
          <w:bCs/>
          <w:sz w:val="32"/>
          <w:szCs w:val="32"/>
        </w:rPr>
      </w:pPr>
      <w:r>
        <w:rPr>
          <w:rFonts w:eastAsia="仿宋_GB2312"/>
          <w:bCs/>
          <w:sz w:val="32"/>
          <w:szCs w:val="32"/>
        </w:rPr>
        <w:t>2023年度，攀枝花市西区动物疫病预防控制中心机关运行经费支出0万元，比2022年度增加0万元，增长0%。主要原因是事业单位无机关运行费支出。</w:t>
      </w:r>
    </w:p>
    <w:p w14:paraId="2A11FFE5">
      <w:pPr>
        <w:spacing w:line="353" w:lineRule="auto"/>
        <w:ind w:firstLine="640" w:firstLineChars="200"/>
        <w:outlineLvl w:val="2"/>
        <w:rPr>
          <w:rFonts w:eastAsia="楷体_GB2312"/>
          <w:bCs/>
          <w:sz w:val="32"/>
          <w:szCs w:val="32"/>
        </w:rPr>
      </w:pPr>
      <w:bookmarkStart w:id="76" w:name="_Toc15377223"/>
      <w:bookmarkStart w:id="77" w:name="_Toc8837"/>
      <w:r>
        <w:rPr>
          <w:rFonts w:eastAsia="楷体_GB2312"/>
          <w:bCs/>
          <w:sz w:val="32"/>
          <w:szCs w:val="32"/>
        </w:rPr>
        <w:t>（二）政府采购支出情况</w:t>
      </w:r>
      <w:bookmarkEnd w:id="76"/>
      <w:r>
        <w:rPr>
          <w:rFonts w:eastAsia="楷体_GB2312"/>
          <w:bCs/>
          <w:sz w:val="32"/>
          <w:szCs w:val="32"/>
        </w:rPr>
        <w:t>。</w:t>
      </w:r>
      <w:bookmarkEnd w:id="77"/>
    </w:p>
    <w:p w14:paraId="2269A081">
      <w:pPr>
        <w:spacing w:line="353" w:lineRule="auto"/>
        <w:ind w:firstLine="640" w:firstLineChars="200"/>
        <w:rPr>
          <w:rFonts w:eastAsia="仿宋_GB2312"/>
          <w:bCs/>
          <w:sz w:val="32"/>
          <w:szCs w:val="32"/>
        </w:rPr>
      </w:pPr>
      <w:r>
        <w:rPr>
          <w:rFonts w:eastAsia="仿宋_GB2312"/>
          <w:bCs/>
          <w:sz w:val="32"/>
          <w:szCs w:val="32"/>
        </w:rPr>
        <w:t>2023年度，攀枝花市西区动物疫病预防控制中心政府采购支出总额3万元，其中：政府采购货物支出3万元、政府采购工程支出0万元、政府采购服务支出0万元。主要用于动物检疫检测试验工作。授予中小企业合同金额3万元，占政府采购支出总额的1%，其中：授予小微企业合同金额0万元，占政府采购支出总额的0%。</w:t>
      </w:r>
    </w:p>
    <w:p w14:paraId="2D9C4535">
      <w:pPr>
        <w:spacing w:line="353" w:lineRule="auto"/>
        <w:ind w:firstLine="640" w:firstLineChars="200"/>
        <w:outlineLvl w:val="2"/>
        <w:rPr>
          <w:rFonts w:eastAsia="楷体_GB2312"/>
          <w:bCs/>
          <w:sz w:val="32"/>
          <w:szCs w:val="32"/>
        </w:rPr>
      </w:pPr>
      <w:bookmarkStart w:id="78" w:name="_Toc15377224"/>
      <w:bookmarkStart w:id="79" w:name="_Toc11701"/>
      <w:r>
        <w:rPr>
          <w:rFonts w:eastAsia="楷体_GB2312"/>
          <w:bCs/>
          <w:sz w:val="32"/>
          <w:szCs w:val="32"/>
        </w:rPr>
        <w:t>（三）国有资产占有使用情况</w:t>
      </w:r>
      <w:bookmarkEnd w:id="78"/>
      <w:r>
        <w:rPr>
          <w:rFonts w:eastAsia="楷体_GB2312"/>
          <w:bCs/>
          <w:sz w:val="32"/>
          <w:szCs w:val="32"/>
        </w:rPr>
        <w:t>。</w:t>
      </w:r>
      <w:bookmarkEnd w:id="79"/>
    </w:p>
    <w:p w14:paraId="269C8896">
      <w:pPr>
        <w:spacing w:line="353" w:lineRule="auto"/>
        <w:ind w:firstLine="640" w:firstLineChars="200"/>
        <w:rPr>
          <w:rFonts w:eastAsia="仿宋_GB2312"/>
          <w:bCs/>
          <w:sz w:val="32"/>
          <w:szCs w:val="32"/>
        </w:rPr>
      </w:pPr>
      <w:r>
        <w:rPr>
          <w:rFonts w:eastAsia="仿宋_GB2312"/>
          <w:bCs/>
          <w:sz w:val="32"/>
          <w:szCs w:val="32"/>
        </w:rPr>
        <w:t>截至2023年12月31日，攀枝花市西区动物疫病预防控制中心共有车辆2辆，其中：主要领导干部用车0辆、机要通信用车0辆、应急保障用车0辆、其他用车2辆，其他用车主要是用于动物疫病预防控制疫苗用车。单价100万元以上设备（不含车辆）0台（套）。</w:t>
      </w:r>
    </w:p>
    <w:p w14:paraId="766EAEB0">
      <w:pPr>
        <w:spacing w:line="353" w:lineRule="auto"/>
        <w:ind w:firstLine="640" w:firstLineChars="200"/>
        <w:outlineLvl w:val="2"/>
        <w:rPr>
          <w:rFonts w:eastAsia="楷体_GB2312"/>
          <w:bCs/>
          <w:sz w:val="32"/>
          <w:szCs w:val="32"/>
        </w:rPr>
      </w:pPr>
      <w:bookmarkStart w:id="80" w:name="_Toc24070"/>
      <w:r>
        <w:rPr>
          <w:rFonts w:eastAsia="楷体_GB2312"/>
          <w:bCs/>
          <w:sz w:val="32"/>
          <w:szCs w:val="32"/>
        </w:rPr>
        <w:t>（四）预算绩效管理情况。</w:t>
      </w:r>
      <w:bookmarkEnd w:id="80"/>
    </w:p>
    <w:p w14:paraId="5999DA08">
      <w:pPr>
        <w:spacing w:line="353" w:lineRule="auto"/>
        <w:ind w:firstLine="640" w:firstLineChars="200"/>
        <w:rPr>
          <w:rFonts w:eastAsia="仿宋_GB2312"/>
          <w:bCs/>
          <w:sz w:val="32"/>
          <w:szCs w:val="32"/>
        </w:rPr>
      </w:pPr>
      <w:r>
        <w:rPr>
          <w:rFonts w:eastAsia="仿宋_GB2312"/>
          <w:bCs/>
          <w:sz w:val="32"/>
          <w:szCs w:val="32"/>
        </w:rPr>
        <w:t>根据预算绩效管理要求，本单位在2023年度预算编制阶段，组织对动物防疫等补助经费等</w:t>
      </w:r>
      <w:r>
        <w:rPr>
          <w:rFonts w:hint="eastAsia" w:eastAsia="仿宋_GB2312"/>
          <w:bCs/>
          <w:sz w:val="32"/>
          <w:szCs w:val="32"/>
        </w:rPr>
        <w:t>6</w:t>
      </w:r>
      <w:r>
        <w:rPr>
          <w:rFonts w:eastAsia="仿宋_GB2312"/>
          <w:bCs/>
          <w:sz w:val="32"/>
          <w:szCs w:val="32"/>
        </w:rPr>
        <w:t>个项目开展了预算事前绩效评估，对</w:t>
      </w:r>
      <w:r>
        <w:rPr>
          <w:rFonts w:hint="eastAsia" w:eastAsia="仿宋_GB2312"/>
          <w:bCs/>
          <w:sz w:val="32"/>
          <w:szCs w:val="32"/>
        </w:rPr>
        <w:t>6</w:t>
      </w:r>
      <w:r>
        <w:rPr>
          <w:rFonts w:eastAsia="仿宋_GB2312"/>
          <w:bCs/>
          <w:sz w:val="32"/>
          <w:szCs w:val="32"/>
        </w:rPr>
        <w:t>个项目编制了绩效目标，预算执行过程中，选取</w:t>
      </w:r>
      <w:r>
        <w:rPr>
          <w:rFonts w:hint="eastAsia" w:eastAsia="仿宋_GB2312"/>
          <w:bCs/>
          <w:sz w:val="32"/>
          <w:szCs w:val="32"/>
        </w:rPr>
        <w:t>6</w:t>
      </w:r>
      <w:r>
        <w:rPr>
          <w:rFonts w:eastAsia="仿宋_GB2312"/>
          <w:bCs/>
          <w:sz w:val="32"/>
          <w:szCs w:val="32"/>
        </w:rPr>
        <w:t>个项目开展绩效监控，组织对</w:t>
      </w:r>
      <w:r>
        <w:rPr>
          <w:rFonts w:hint="eastAsia" w:eastAsia="仿宋_GB2312"/>
          <w:bCs/>
          <w:sz w:val="32"/>
          <w:szCs w:val="32"/>
        </w:rPr>
        <w:t>6</w:t>
      </w:r>
      <w:r>
        <w:rPr>
          <w:rFonts w:eastAsia="仿宋_GB2312"/>
          <w:bCs/>
          <w:sz w:val="32"/>
          <w:szCs w:val="32"/>
        </w:rPr>
        <w:t>个项目开展绩效自评，绩效自评表详见第四部分附件。</w:t>
      </w:r>
    </w:p>
    <w:p w14:paraId="623448CF">
      <w:pPr>
        <w:spacing w:line="353" w:lineRule="auto"/>
        <w:ind w:firstLine="640" w:firstLineChars="200"/>
        <w:rPr>
          <w:rFonts w:eastAsia="仿宋_GB2312"/>
          <w:bCs/>
          <w:sz w:val="32"/>
          <w:szCs w:val="32"/>
        </w:rPr>
      </w:pPr>
      <w:r>
        <w:rPr>
          <w:rFonts w:eastAsia="仿宋_GB2312"/>
          <w:bCs/>
          <w:sz w:val="32"/>
          <w:szCs w:val="32"/>
        </w:rPr>
        <w:br w:type="page"/>
      </w:r>
    </w:p>
    <w:p w14:paraId="5521CBF4">
      <w:pPr>
        <w:pStyle w:val="3"/>
        <w:jc w:val="center"/>
        <w:rPr>
          <w:rFonts w:eastAsia="方正小标宋_GBK"/>
          <w:b w:val="0"/>
        </w:rPr>
      </w:pPr>
      <w:bookmarkStart w:id="81" w:name="_Toc15377225"/>
      <w:bookmarkStart w:id="82" w:name="_Toc15396613"/>
      <w:bookmarkStart w:id="83" w:name="_Toc25061"/>
      <w:r>
        <w:rPr>
          <w:rFonts w:eastAsia="方正小标宋_GBK"/>
          <w:b w:val="0"/>
        </w:rPr>
        <w:t>第三部分名词解释</w:t>
      </w:r>
      <w:bookmarkEnd w:id="81"/>
      <w:bookmarkEnd w:id="82"/>
      <w:bookmarkEnd w:id="83"/>
    </w:p>
    <w:p w14:paraId="3C6039B0">
      <w:pPr>
        <w:spacing w:line="600" w:lineRule="exact"/>
        <w:jc w:val="left"/>
        <w:rPr>
          <w:rFonts w:eastAsia="仿宋_GB2312"/>
          <w:b/>
          <w:sz w:val="44"/>
          <w:szCs w:val="44"/>
        </w:rPr>
      </w:pPr>
    </w:p>
    <w:p w14:paraId="26659B58">
      <w:pPr>
        <w:pStyle w:val="26"/>
        <w:spacing w:line="560" w:lineRule="exact"/>
        <w:ind w:firstLine="640" w:firstLineChars="200"/>
        <w:outlineLvl w:val="1"/>
        <w:rPr>
          <w:rFonts w:ascii="Times New Roman" w:hAnsi="Times New Roman" w:eastAsia="仿宋_GB2312" w:cs="Times New Roman"/>
          <w:color w:val="auto"/>
          <w:sz w:val="32"/>
          <w:szCs w:val="32"/>
        </w:rPr>
      </w:pPr>
      <w:bookmarkStart w:id="84" w:name="_Toc774"/>
      <w:bookmarkStart w:id="85" w:name="_Toc14469"/>
      <w:r>
        <w:rPr>
          <w:rFonts w:ascii="Times New Roman" w:hAnsi="Times New Roman" w:eastAsia="仿宋_GB2312" w:cs="Times New Roman"/>
          <w:color w:val="auto"/>
          <w:sz w:val="32"/>
          <w:szCs w:val="32"/>
        </w:rPr>
        <w:t>1.财政拨款收入：指单位从同级财政部门取得的财政预算资金。</w:t>
      </w:r>
      <w:bookmarkEnd w:id="84"/>
      <w:bookmarkEnd w:id="85"/>
    </w:p>
    <w:p w14:paraId="214F5F0D">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2.事业收入：指事业单位开展专业业务活动及辅助活动取得的收入。</w:t>
      </w:r>
    </w:p>
    <w:p w14:paraId="503332A4">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3.经营收入：指事业单位在专业业务活动及其辅助活动之外开展非独立核算经营活动取得的收入。</w:t>
      </w:r>
    </w:p>
    <w:p w14:paraId="66747D9F">
      <w:pPr>
        <w:pStyle w:val="26"/>
        <w:spacing w:line="560" w:lineRule="exact"/>
        <w:ind w:firstLine="640" w:firstLineChars="200"/>
        <w:outlineLvl w:val="1"/>
        <w:rPr>
          <w:rFonts w:ascii="Times New Roman" w:hAnsi="Times New Roman" w:eastAsia="仿宋_GB2312" w:cs="Times New Roman"/>
          <w:color w:val="auto"/>
          <w:sz w:val="32"/>
          <w:szCs w:val="32"/>
        </w:rPr>
      </w:pPr>
      <w:bookmarkStart w:id="86" w:name="_Toc11332"/>
      <w:bookmarkStart w:id="87" w:name="_Toc27610"/>
      <w:r>
        <w:rPr>
          <w:rFonts w:ascii="Times New Roman" w:hAnsi="Times New Roman" w:eastAsia="仿宋_GB2312" w:cs="Times New Roman"/>
          <w:color w:val="auto"/>
          <w:sz w:val="32"/>
          <w:szCs w:val="32"/>
        </w:rPr>
        <w:t>4.其他收入：指单位取得的除上述收入以外的各项收入。</w:t>
      </w:r>
      <w:bookmarkEnd w:id="86"/>
      <w:bookmarkEnd w:id="87"/>
    </w:p>
    <w:p w14:paraId="5444F209">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w:t>
      </w:r>
      <w:r>
        <w:rPr>
          <w:rFonts w:ascii="Times New Roman" w:hAnsi="Times New Roman" w:eastAsia="仿宋_GB2312" w:cs="Times New Roman"/>
          <w:sz w:val="32"/>
          <w:szCs w:val="32"/>
        </w:rPr>
        <w:t>使用非财政拨款结余（含专用结余）</w:t>
      </w:r>
      <w:r>
        <w:rPr>
          <w:rFonts w:ascii="Times New Roman" w:hAnsi="Times New Roman" w:eastAsia="仿宋_GB2312" w:cs="Times New Roman"/>
          <w:color w:val="auto"/>
          <w:sz w:val="32"/>
          <w:szCs w:val="32"/>
        </w:rPr>
        <w:t>：指事业单位使用以前年度积累的非财政拨款结余弥补当年收支差额的金额。</w:t>
      </w:r>
    </w:p>
    <w:p w14:paraId="51554D4E">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6.年初结转和结余：指以前年度尚未完成、结转到本年按有关规定继续使用的资金。</w:t>
      </w:r>
    </w:p>
    <w:p w14:paraId="347681CB">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14:paraId="3B7437D6">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8.年末结转和结余：指单位按有关规定结转到下年或以后年度继续使用的资金。</w:t>
      </w:r>
    </w:p>
    <w:p w14:paraId="509466BA">
      <w:pPr>
        <w:spacing w:line="600" w:lineRule="exact"/>
        <w:ind w:firstLine="640" w:firstLineChars="200"/>
        <w:rPr>
          <w:rStyle w:val="17"/>
          <w:rFonts w:eastAsia="仿宋_GB2312"/>
          <w:b w:val="0"/>
          <w:sz w:val="32"/>
          <w:szCs w:val="32"/>
        </w:rPr>
      </w:pPr>
      <w:r>
        <w:rPr>
          <w:rStyle w:val="17"/>
          <w:rFonts w:eastAsia="仿宋_GB2312"/>
          <w:b w:val="0"/>
          <w:sz w:val="32"/>
          <w:szCs w:val="32"/>
        </w:rPr>
        <w:t>9.社会保障和就业（类）行政事业单位养老支出（款）事业单位离退休（项）:指退休人员生活补助。</w:t>
      </w:r>
    </w:p>
    <w:p w14:paraId="608E53AA">
      <w:pPr>
        <w:spacing w:line="600" w:lineRule="exact"/>
        <w:ind w:firstLine="640" w:firstLineChars="200"/>
        <w:rPr>
          <w:rFonts w:eastAsia="仿宋_GB2312"/>
        </w:rPr>
      </w:pPr>
      <w:r>
        <w:rPr>
          <w:rStyle w:val="17"/>
          <w:rFonts w:hint="eastAsia" w:eastAsia="仿宋_GB2312"/>
          <w:b w:val="0"/>
          <w:sz w:val="32"/>
          <w:szCs w:val="32"/>
        </w:rPr>
        <w:t>10.</w:t>
      </w:r>
      <w:r>
        <w:rPr>
          <w:rStyle w:val="17"/>
          <w:rFonts w:eastAsia="仿宋_GB2312"/>
          <w:b w:val="0"/>
          <w:sz w:val="32"/>
          <w:szCs w:val="32"/>
        </w:rPr>
        <w:t>社会保障和就业（类）行政事业单位养老支出（款）机关事业单位基本养老保险缴费支出（项）:指在职人员养老保险单位部分。</w:t>
      </w:r>
    </w:p>
    <w:p w14:paraId="743E9ED5">
      <w:pPr>
        <w:spacing w:line="600" w:lineRule="exact"/>
        <w:ind w:firstLine="640" w:firstLineChars="200"/>
        <w:rPr>
          <w:rStyle w:val="17"/>
          <w:rFonts w:eastAsia="仿宋_GB2312"/>
          <w:b w:val="0"/>
          <w:sz w:val="32"/>
          <w:szCs w:val="32"/>
        </w:rPr>
      </w:pPr>
      <w:r>
        <w:rPr>
          <w:rFonts w:eastAsia="仿宋_GB2312"/>
          <w:sz w:val="32"/>
          <w:szCs w:val="32"/>
        </w:rPr>
        <w:t>1</w:t>
      </w:r>
      <w:r>
        <w:rPr>
          <w:rFonts w:hint="eastAsia" w:eastAsia="仿宋_GB2312"/>
          <w:sz w:val="32"/>
          <w:szCs w:val="32"/>
        </w:rPr>
        <w:t>1</w:t>
      </w:r>
      <w:r>
        <w:rPr>
          <w:rFonts w:eastAsia="仿宋_GB2312"/>
          <w:sz w:val="32"/>
          <w:szCs w:val="32"/>
        </w:rPr>
        <w:t>.卫生健康</w:t>
      </w:r>
      <w:r>
        <w:rPr>
          <w:rStyle w:val="17"/>
          <w:rFonts w:eastAsia="仿宋_GB2312"/>
          <w:b w:val="0"/>
          <w:sz w:val="32"/>
          <w:szCs w:val="32"/>
        </w:rPr>
        <w:t>（类）行政事业单位医疗（款）事业单位医疗（项）:指在职人员基本医疗保险单位部分。</w:t>
      </w:r>
    </w:p>
    <w:p w14:paraId="3EA13181">
      <w:pPr>
        <w:spacing w:line="600" w:lineRule="exact"/>
        <w:ind w:firstLine="640" w:firstLineChars="200"/>
        <w:rPr>
          <w:rFonts w:eastAsia="仿宋_GB2312"/>
          <w:sz w:val="32"/>
          <w:szCs w:val="32"/>
        </w:rPr>
      </w:pPr>
      <w:r>
        <w:rPr>
          <w:rFonts w:hint="eastAsia" w:eastAsia="仿宋_GB2312"/>
          <w:sz w:val="32"/>
          <w:szCs w:val="32"/>
        </w:rPr>
        <w:t>12.</w:t>
      </w:r>
      <w:r>
        <w:rPr>
          <w:rFonts w:eastAsia="仿宋_GB2312"/>
          <w:sz w:val="32"/>
          <w:szCs w:val="32"/>
        </w:rPr>
        <w:t>卫生健康</w:t>
      </w:r>
      <w:r>
        <w:rPr>
          <w:rStyle w:val="17"/>
          <w:rFonts w:eastAsia="仿宋_GB2312"/>
          <w:b w:val="0"/>
          <w:sz w:val="32"/>
          <w:szCs w:val="32"/>
        </w:rPr>
        <w:t>（类）行政事业单位医疗（款）</w:t>
      </w:r>
      <w:r>
        <w:rPr>
          <w:rFonts w:eastAsia="仿宋_GB2312"/>
          <w:sz w:val="32"/>
          <w:szCs w:val="32"/>
        </w:rPr>
        <w:t>其他行政事业单位医疗支出</w:t>
      </w:r>
      <w:r>
        <w:rPr>
          <w:rStyle w:val="17"/>
          <w:rFonts w:eastAsia="仿宋_GB2312"/>
          <w:b w:val="0"/>
          <w:sz w:val="32"/>
          <w:szCs w:val="32"/>
        </w:rPr>
        <w:t>（项）:指医疗补助部分。</w:t>
      </w:r>
    </w:p>
    <w:p w14:paraId="14C2D6F6">
      <w:pPr>
        <w:ind w:firstLine="640" w:firstLineChars="200"/>
        <w:rPr>
          <w:rFonts w:eastAsia="仿宋_GB2312"/>
          <w:sz w:val="32"/>
          <w:szCs w:val="32"/>
        </w:rPr>
      </w:pPr>
      <w:r>
        <w:rPr>
          <w:rFonts w:eastAsia="仿宋_GB2312"/>
          <w:sz w:val="32"/>
          <w:szCs w:val="32"/>
        </w:rPr>
        <w:t>1</w:t>
      </w:r>
      <w:r>
        <w:rPr>
          <w:rFonts w:hint="eastAsia" w:eastAsia="仿宋_GB2312"/>
          <w:sz w:val="32"/>
          <w:szCs w:val="32"/>
        </w:rPr>
        <w:t>3</w:t>
      </w:r>
      <w:r>
        <w:rPr>
          <w:rFonts w:eastAsia="仿宋_GB2312"/>
          <w:sz w:val="32"/>
          <w:szCs w:val="32"/>
        </w:rPr>
        <w:t>.城乡社区支出（类）国有土地使用权出让收入安排的支出（款）土地开发支出（项）：指村防疫员防疫补助。</w:t>
      </w:r>
    </w:p>
    <w:p w14:paraId="1A8B503C">
      <w:pPr>
        <w:spacing w:line="600" w:lineRule="exact"/>
        <w:ind w:firstLine="640" w:firstLineChars="200"/>
        <w:rPr>
          <w:rStyle w:val="17"/>
          <w:rFonts w:eastAsia="仿宋_GB2312"/>
          <w:b w:val="0"/>
          <w:sz w:val="32"/>
          <w:szCs w:val="32"/>
        </w:rPr>
      </w:pPr>
      <w:r>
        <w:rPr>
          <w:rFonts w:eastAsia="仿宋_GB2312"/>
          <w:sz w:val="32"/>
          <w:szCs w:val="32"/>
        </w:rPr>
        <w:t>1</w:t>
      </w:r>
      <w:r>
        <w:rPr>
          <w:rFonts w:hint="eastAsia" w:eastAsia="仿宋_GB2312"/>
          <w:sz w:val="32"/>
          <w:szCs w:val="32"/>
        </w:rPr>
        <w:t>4</w:t>
      </w:r>
      <w:r>
        <w:rPr>
          <w:rFonts w:eastAsia="仿宋_GB2312"/>
          <w:sz w:val="32"/>
          <w:szCs w:val="32"/>
        </w:rPr>
        <w:t>.农林水支出</w:t>
      </w:r>
      <w:r>
        <w:rPr>
          <w:rStyle w:val="17"/>
          <w:rFonts w:eastAsia="仿宋_GB2312"/>
          <w:b w:val="0"/>
          <w:sz w:val="32"/>
          <w:szCs w:val="32"/>
        </w:rPr>
        <w:t>（类）农业农村（款）事业运行（项）:指单位人员及公用经费。</w:t>
      </w:r>
    </w:p>
    <w:p w14:paraId="0E363494">
      <w:pPr>
        <w:pStyle w:val="19"/>
        <w:ind w:firstLine="640" w:firstLineChars="200"/>
        <w:outlineLvl w:val="1"/>
        <w:rPr>
          <w:rStyle w:val="17"/>
          <w:rFonts w:ascii="Times New Roman" w:hAnsi="Times New Roman" w:eastAsia="仿宋_GB2312"/>
          <w:b w:val="0"/>
          <w:sz w:val="32"/>
          <w:szCs w:val="32"/>
        </w:rPr>
      </w:pPr>
      <w:bookmarkStart w:id="88" w:name="_Toc244"/>
      <w:bookmarkStart w:id="89" w:name="_Toc21105"/>
      <w:r>
        <w:rPr>
          <w:rFonts w:hint="eastAsia" w:ascii="Times New Roman" w:hAnsi="Times New Roman" w:eastAsia="仿宋_GB2312"/>
          <w:b w:val="0"/>
          <w:sz w:val="32"/>
          <w:szCs w:val="32"/>
        </w:rPr>
        <w:t>15.</w:t>
      </w:r>
      <w:r>
        <w:rPr>
          <w:rFonts w:ascii="Times New Roman" w:hAnsi="Times New Roman" w:eastAsia="仿宋_GB2312"/>
          <w:b w:val="0"/>
          <w:sz w:val="32"/>
          <w:szCs w:val="32"/>
        </w:rPr>
        <w:t>农林水支出</w:t>
      </w:r>
      <w:r>
        <w:rPr>
          <w:rStyle w:val="17"/>
          <w:rFonts w:ascii="Times New Roman" w:hAnsi="Times New Roman" w:eastAsia="仿宋_GB2312"/>
          <w:b w:val="0"/>
          <w:sz w:val="32"/>
          <w:szCs w:val="32"/>
        </w:rPr>
        <w:t>（类）农业农村（款）病虫害控制（项）:指动物防疫区级经费。</w:t>
      </w:r>
      <w:bookmarkEnd w:id="88"/>
      <w:bookmarkEnd w:id="89"/>
    </w:p>
    <w:p w14:paraId="1A368587">
      <w:pPr>
        <w:ind w:firstLine="627" w:firstLineChars="196"/>
        <w:rPr>
          <w:rStyle w:val="17"/>
          <w:rFonts w:eastAsia="仿宋_GB2312"/>
          <w:b w:val="0"/>
          <w:sz w:val="32"/>
          <w:szCs w:val="32"/>
        </w:rPr>
      </w:pPr>
      <w:r>
        <w:rPr>
          <w:rFonts w:hint="eastAsia" w:eastAsia="仿宋_GB2312"/>
          <w:sz w:val="32"/>
          <w:szCs w:val="32"/>
        </w:rPr>
        <w:t>16.</w:t>
      </w:r>
      <w:r>
        <w:rPr>
          <w:rFonts w:eastAsia="仿宋_GB2312"/>
          <w:sz w:val="32"/>
          <w:szCs w:val="32"/>
        </w:rPr>
        <w:t>农林水支出</w:t>
      </w:r>
      <w:r>
        <w:rPr>
          <w:rStyle w:val="17"/>
          <w:rFonts w:eastAsia="仿宋_GB2312"/>
          <w:b w:val="0"/>
          <w:sz w:val="32"/>
          <w:szCs w:val="32"/>
        </w:rPr>
        <w:t>（类）农业农村（款）其他农业农村支出（项）:指动物防疫上级专项资金。</w:t>
      </w:r>
    </w:p>
    <w:p w14:paraId="63B6E39F">
      <w:pPr>
        <w:ind w:firstLine="640" w:firstLineChars="200"/>
        <w:rPr>
          <w:rFonts w:eastAsia="仿宋_GB2312"/>
          <w:sz w:val="32"/>
          <w:szCs w:val="32"/>
        </w:rPr>
      </w:pPr>
      <w:r>
        <w:rPr>
          <w:rFonts w:eastAsia="仿宋_GB2312"/>
          <w:sz w:val="32"/>
          <w:szCs w:val="32"/>
        </w:rPr>
        <w:t>1</w:t>
      </w:r>
      <w:r>
        <w:rPr>
          <w:rFonts w:hint="eastAsia" w:eastAsia="仿宋_GB2312"/>
          <w:sz w:val="32"/>
          <w:szCs w:val="32"/>
        </w:rPr>
        <w:t>7</w:t>
      </w:r>
      <w:r>
        <w:rPr>
          <w:rFonts w:eastAsia="仿宋_GB2312"/>
          <w:sz w:val="32"/>
          <w:szCs w:val="32"/>
        </w:rPr>
        <w:t>.住房保障支出</w:t>
      </w:r>
      <w:r>
        <w:rPr>
          <w:rStyle w:val="17"/>
          <w:rFonts w:eastAsia="仿宋_GB2312"/>
          <w:b w:val="0"/>
          <w:sz w:val="32"/>
          <w:szCs w:val="32"/>
        </w:rPr>
        <w:t>（类）住房改革支出（款）住房公积金（项）:指在职人员住房公积金单位部分。</w:t>
      </w:r>
    </w:p>
    <w:p w14:paraId="5C7E5E4A">
      <w:pPr>
        <w:ind w:firstLine="640" w:firstLineChars="200"/>
        <w:rPr>
          <w:rFonts w:eastAsia="仿宋_GB2312"/>
          <w:sz w:val="32"/>
          <w:szCs w:val="32"/>
        </w:rPr>
      </w:pPr>
      <w:r>
        <w:rPr>
          <w:rFonts w:eastAsia="仿宋_GB2312"/>
          <w:sz w:val="32"/>
          <w:szCs w:val="32"/>
        </w:rPr>
        <w:t>1</w:t>
      </w:r>
      <w:r>
        <w:rPr>
          <w:rFonts w:hint="eastAsia" w:eastAsia="仿宋_GB2312"/>
          <w:sz w:val="32"/>
          <w:szCs w:val="32"/>
        </w:rPr>
        <w:t>8</w:t>
      </w:r>
      <w:r>
        <w:rPr>
          <w:rFonts w:eastAsia="仿宋_GB2312"/>
          <w:sz w:val="32"/>
          <w:szCs w:val="32"/>
        </w:rPr>
        <w:t>.基本支出：指为保障机构正常运转、完成日常工作任务而发生的人员支出和公用支出。</w:t>
      </w:r>
    </w:p>
    <w:p w14:paraId="2E0297C0">
      <w:pPr>
        <w:ind w:firstLine="640" w:firstLineChars="200"/>
        <w:rPr>
          <w:rFonts w:eastAsia="仿宋_GB2312"/>
          <w:sz w:val="32"/>
          <w:szCs w:val="32"/>
        </w:rPr>
      </w:pPr>
      <w:r>
        <w:rPr>
          <w:rFonts w:eastAsia="仿宋_GB2312"/>
          <w:sz w:val="32"/>
          <w:szCs w:val="32"/>
        </w:rPr>
        <w:t>1</w:t>
      </w:r>
      <w:r>
        <w:rPr>
          <w:rFonts w:hint="eastAsia" w:eastAsia="仿宋_GB2312"/>
          <w:sz w:val="32"/>
          <w:szCs w:val="32"/>
        </w:rPr>
        <w:t>9</w:t>
      </w:r>
      <w:r>
        <w:rPr>
          <w:rFonts w:eastAsia="仿宋_GB2312"/>
          <w:sz w:val="32"/>
          <w:szCs w:val="32"/>
        </w:rPr>
        <w:t>.项目支出：指在基本支出之外为完成特定行政任务和事业发展目标所发生的支出。</w:t>
      </w:r>
    </w:p>
    <w:p w14:paraId="6848CBF5">
      <w:pPr>
        <w:ind w:firstLine="640" w:firstLineChars="200"/>
        <w:rPr>
          <w:rFonts w:eastAsia="仿宋_GB2312"/>
          <w:sz w:val="32"/>
          <w:szCs w:val="32"/>
        </w:rPr>
      </w:pPr>
      <w:r>
        <w:rPr>
          <w:rFonts w:hint="eastAsia" w:eastAsia="仿宋_GB2312"/>
          <w:sz w:val="32"/>
          <w:szCs w:val="32"/>
        </w:rPr>
        <w:t>20</w:t>
      </w:r>
      <w:r>
        <w:rPr>
          <w:rFonts w:eastAsia="仿宋_GB2312"/>
          <w:sz w:val="32"/>
          <w:szCs w:val="32"/>
        </w:rPr>
        <w:t>.经营支出：指事业单位在专业业务活动及其辅助活动之外开展非独立核算经营活动发生的支出。</w:t>
      </w:r>
    </w:p>
    <w:p w14:paraId="6FE55AC6">
      <w:pPr>
        <w:pStyle w:val="26"/>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21</w:t>
      </w:r>
      <w:r>
        <w:rPr>
          <w:rFonts w:ascii="Times New Roman" w:hAnsi="Times New Roman" w:eastAsia="仿宋_GB2312" w:cs="Times New Roman"/>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382C871">
      <w:pPr>
        <w:pStyle w:val="26"/>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22</w:t>
      </w:r>
      <w:r>
        <w:rPr>
          <w:rFonts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A120629">
      <w:pPr>
        <w:pStyle w:val="26"/>
        <w:spacing w:line="560" w:lineRule="exact"/>
        <w:ind w:firstLine="640" w:firstLineChars="200"/>
        <w:rPr>
          <w:rFonts w:ascii="Times New Roman" w:hAnsi="Times New Roman" w:eastAsia="仿宋_GB2312" w:cs="Times New Roman"/>
          <w:color w:val="auto"/>
          <w:sz w:val="32"/>
          <w:szCs w:val="32"/>
        </w:rPr>
      </w:pPr>
    </w:p>
    <w:p w14:paraId="524E71EF">
      <w:pPr>
        <w:spacing w:line="600" w:lineRule="exact"/>
        <w:jc w:val="center"/>
        <w:outlineLvl w:val="0"/>
        <w:rPr>
          <w:rStyle w:val="28"/>
          <w:rFonts w:eastAsia="黑体"/>
          <w:b w:val="0"/>
        </w:rPr>
      </w:pPr>
      <w:bookmarkStart w:id="90" w:name="_Toc15377226"/>
      <w:r>
        <w:rPr>
          <w:sz w:val="44"/>
          <w:szCs w:val="44"/>
        </w:rPr>
        <w:br w:type="page"/>
      </w:r>
      <w:bookmarkStart w:id="91" w:name="_Toc24791"/>
      <w:bookmarkStart w:id="92" w:name="_Toc15396614"/>
      <w:bookmarkStart w:id="93" w:name="_Toc27230"/>
      <w:r>
        <w:rPr>
          <w:rFonts w:eastAsia="黑体"/>
          <w:sz w:val="44"/>
          <w:szCs w:val="44"/>
        </w:rPr>
        <w:t>第</w:t>
      </w:r>
      <w:r>
        <w:rPr>
          <w:rStyle w:val="28"/>
          <w:rFonts w:eastAsia="黑体"/>
          <w:b w:val="0"/>
        </w:rPr>
        <w:t>四部分 附件</w:t>
      </w:r>
      <w:bookmarkEnd w:id="91"/>
      <w:bookmarkEnd w:id="92"/>
      <w:bookmarkEnd w:id="93"/>
    </w:p>
    <w:p w14:paraId="667D1A89">
      <w:pPr>
        <w:spacing w:line="572" w:lineRule="exact"/>
        <w:jc w:val="left"/>
        <w:rPr>
          <w:rFonts w:eastAsia="仿宋_GB2312"/>
          <w:sz w:val="32"/>
          <w:szCs w:val="32"/>
        </w:rPr>
      </w:pPr>
    </w:p>
    <w:p w14:paraId="0C6D7DD7">
      <w:pPr>
        <w:spacing w:line="600" w:lineRule="exact"/>
        <w:jc w:val="center"/>
        <w:outlineLvl w:val="1"/>
        <w:rPr>
          <w:rFonts w:eastAsia="仿宋_GB2312"/>
          <w:color w:val="FF0000"/>
          <w:sz w:val="32"/>
          <w:szCs w:val="32"/>
        </w:rPr>
      </w:pPr>
      <w:bookmarkStart w:id="94" w:name="_Toc31177"/>
      <w:bookmarkStart w:id="95" w:name="_Toc5936"/>
      <w:bookmarkStart w:id="96" w:name="_Toc15396618"/>
      <w:r>
        <w:rPr>
          <w:rFonts w:eastAsia="仿宋_GB2312"/>
          <w:sz w:val="32"/>
          <w:szCs w:val="32"/>
        </w:rPr>
        <w:t>部门预算项目支出绩效自评表（2023年度）</w:t>
      </w:r>
      <w:bookmarkEnd w:id="94"/>
      <w:bookmarkEnd w:id="95"/>
    </w:p>
    <w:p w14:paraId="5FFF6B2F">
      <w:pPr>
        <w:pStyle w:val="14"/>
        <w:spacing w:line="560" w:lineRule="exact"/>
        <w:ind w:left="0" w:leftChars="0" w:firstLine="640"/>
        <w:rPr>
          <w:rFonts w:ascii="Times New Roman" w:eastAsia="仿宋_GB2312"/>
          <w:sz w:val="32"/>
        </w:rPr>
      </w:pPr>
    </w:p>
    <w:p w14:paraId="2C2171D1">
      <w:pPr>
        <w:pStyle w:val="2"/>
        <w:spacing w:before="93"/>
        <w:rPr>
          <w:rFonts w:ascii="Times New Roman"/>
          <w:sz w:val="32"/>
          <w:szCs w:val="32"/>
        </w:rPr>
      </w:pPr>
    </w:p>
    <w:p w14:paraId="72200BFC">
      <w:pPr>
        <w:pStyle w:val="2"/>
        <w:spacing w:before="93"/>
        <w:rPr>
          <w:rFonts w:ascii="Times New Roman"/>
          <w:sz w:val="32"/>
          <w:szCs w:val="32"/>
        </w:rPr>
      </w:pPr>
    </w:p>
    <w:p w14:paraId="41A1C8A6">
      <w:pPr>
        <w:pStyle w:val="2"/>
        <w:spacing w:before="93"/>
        <w:rPr>
          <w:rFonts w:ascii="Times New Roman"/>
          <w:sz w:val="32"/>
          <w:szCs w:val="32"/>
        </w:rPr>
      </w:pPr>
    </w:p>
    <w:p w14:paraId="47DB20C2">
      <w:pPr>
        <w:pStyle w:val="2"/>
        <w:spacing w:before="93"/>
        <w:rPr>
          <w:rFonts w:ascii="Times New Roman"/>
          <w:sz w:val="32"/>
          <w:szCs w:val="32"/>
        </w:rPr>
      </w:pPr>
    </w:p>
    <w:p w14:paraId="74B4C538">
      <w:pPr>
        <w:pStyle w:val="2"/>
        <w:spacing w:before="93"/>
        <w:rPr>
          <w:rFonts w:ascii="Times New Roman"/>
          <w:sz w:val="32"/>
          <w:szCs w:val="32"/>
        </w:rPr>
      </w:pPr>
    </w:p>
    <w:p w14:paraId="20984EC9">
      <w:pPr>
        <w:pStyle w:val="2"/>
        <w:spacing w:before="93"/>
        <w:rPr>
          <w:rFonts w:ascii="Times New Roman"/>
          <w:sz w:val="32"/>
          <w:szCs w:val="32"/>
        </w:rPr>
      </w:pPr>
    </w:p>
    <w:p w14:paraId="7503519E">
      <w:pPr>
        <w:pStyle w:val="2"/>
        <w:spacing w:before="93"/>
        <w:rPr>
          <w:rFonts w:ascii="Times New Roman"/>
          <w:sz w:val="32"/>
          <w:szCs w:val="32"/>
        </w:rPr>
      </w:pPr>
    </w:p>
    <w:p w14:paraId="3ED75537">
      <w:pPr>
        <w:pStyle w:val="2"/>
        <w:spacing w:before="93"/>
        <w:rPr>
          <w:rFonts w:ascii="Times New Roman"/>
          <w:sz w:val="32"/>
          <w:szCs w:val="32"/>
        </w:rPr>
      </w:pPr>
    </w:p>
    <w:p w14:paraId="2B655B2E">
      <w:pPr>
        <w:pStyle w:val="2"/>
        <w:spacing w:before="93"/>
        <w:rPr>
          <w:rFonts w:ascii="Times New Roman"/>
          <w:sz w:val="32"/>
          <w:szCs w:val="32"/>
        </w:rPr>
      </w:pPr>
    </w:p>
    <w:p w14:paraId="0212DBE8">
      <w:pPr>
        <w:pStyle w:val="2"/>
        <w:spacing w:before="93"/>
        <w:rPr>
          <w:rFonts w:ascii="Times New Roman"/>
          <w:sz w:val="32"/>
          <w:szCs w:val="32"/>
        </w:rPr>
      </w:pPr>
    </w:p>
    <w:p w14:paraId="7CF33CF5">
      <w:pPr>
        <w:pStyle w:val="2"/>
        <w:spacing w:before="93"/>
        <w:rPr>
          <w:rFonts w:hint="eastAsia" w:ascii="Times New Roman"/>
          <w:sz w:val="32"/>
          <w:szCs w:val="32"/>
        </w:rPr>
      </w:pPr>
    </w:p>
    <w:p w14:paraId="4F9595DE">
      <w:pPr>
        <w:pStyle w:val="2"/>
        <w:spacing w:before="93"/>
        <w:rPr>
          <w:rFonts w:hint="eastAsia" w:ascii="Times New Roman"/>
          <w:sz w:val="32"/>
          <w:szCs w:val="32"/>
        </w:rPr>
      </w:pPr>
    </w:p>
    <w:p w14:paraId="32AEE2CE">
      <w:pPr>
        <w:pStyle w:val="2"/>
        <w:spacing w:before="93"/>
        <w:rPr>
          <w:rFonts w:hint="eastAsia" w:ascii="Times New Roman"/>
          <w:sz w:val="32"/>
          <w:szCs w:val="32"/>
        </w:rPr>
      </w:pPr>
    </w:p>
    <w:p w14:paraId="509A7586">
      <w:pPr>
        <w:pStyle w:val="2"/>
        <w:spacing w:before="93"/>
        <w:rPr>
          <w:rFonts w:ascii="Times New Roman"/>
          <w:sz w:val="32"/>
          <w:szCs w:val="32"/>
        </w:rPr>
      </w:pPr>
    </w:p>
    <w:p w14:paraId="75240E68">
      <w:pPr>
        <w:spacing w:line="600" w:lineRule="exact"/>
        <w:jc w:val="center"/>
        <w:outlineLvl w:val="0"/>
        <w:rPr>
          <w:rFonts w:eastAsia="仿宋"/>
        </w:rPr>
      </w:pPr>
      <w:bookmarkStart w:id="97" w:name="_Toc27612"/>
      <w:r>
        <w:rPr>
          <w:rFonts w:eastAsia="黑体"/>
          <w:sz w:val="44"/>
          <w:szCs w:val="44"/>
        </w:rPr>
        <w:t>第</w:t>
      </w:r>
      <w:r>
        <w:rPr>
          <w:rStyle w:val="28"/>
          <w:rFonts w:eastAsia="黑体"/>
          <w:b w:val="0"/>
        </w:rPr>
        <w:t>五部分 附表</w:t>
      </w:r>
      <w:bookmarkEnd w:id="90"/>
      <w:bookmarkEnd w:id="96"/>
      <w:bookmarkEnd w:id="97"/>
      <w:bookmarkStart w:id="98" w:name="_Toc15396619"/>
    </w:p>
    <w:p w14:paraId="077876AB">
      <w:pPr>
        <w:pStyle w:val="4"/>
        <w:rPr>
          <w:rFonts w:ascii="仿宋_GB2312" w:hAnsi="仿宋_GB2312" w:eastAsia="仿宋_GB2312" w:cs="仿宋_GB2312"/>
        </w:rPr>
      </w:pPr>
      <w:bookmarkStart w:id="99" w:name="_Toc29085"/>
      <w:r>
        <w:rPr>
          <w:rFonts w:hint="eastAsia" w:ascii="仿宋_GB2312" w:hAnsi="仿宋_GB2312" w:eastAsia="仿宋_GB2312" w:cs="仿宋_GB2312"/>
          <w:b w:val="0"/>
        </w:rPr>
        <w:t>一、收</w:t>
      </w:r>
      <w:r>
        <w:rPr>
          <w:rStyle w:val="29"/>
          <w:rFonts w:hint="eastAsia" w:ascii="仿宋_GB2312" w:hAnsi="仿宋_GB2312" w:eastAsia="仿宋_GB2312" w:cs="仿宋_GB2312"/>
          <w:b w:val="0"/>
          <w:bCs w:val="0"/>
        </w:rPr>
        <w:t>入支出决算总表</w:t>
      </w:r>
      <w:bookmarkEnd w:id="98"/>
      <w:bookmarkEnd w:id="99"/>
    </w:p>
    <w:p w14:paraId="317F2995">
      <w:pPr>
        <w:pStyle w:val="4"/>
        <w:rPr>
          <w:rFonts w:ascii="仿宋_GB2312" w:hAnsi="仿宋_GB2312" w:eastAsia="仿宋_GB2312" w:cs="仿宋_GB2312"/>
        </w:rPr>
      </w:pPr>
      <w:bookmarkStart w:id="100" w:name="_Toc15396620"/>
      <w:bookmarkStart w:id="101" w:name="_Toc21882"/>
      <w:r>
        <w:rPr>
          <w:rFonts w:hint="eastAsia" w:ascii="仿宋_GB2312" w:hAnsi="仿宋_GB2312" w:eastAsia="仿宋_GB2312" w:cs="仿宋_GB2312"/>
          <w:b w:val="0"/>
        </w:rPr>
        <w:t>二、收</w:t>
      </w:r>
      <w:r>
        <w:rPr>
          <w:rStyle w:val="29"/>
          <w:rFonts w:hint="eastAsia" w:ascii="仿宋_GB2312" w:hAnsi="仿宋_GB2312" w:eastAsia="仿宋_GB2312" w:cs="仿宋_GB2312"/>
          <w:b w:val="0"/>
          <w:bCs w:val="0"/>
        </w:rPr>
        <w:t>入决算表</w:t>
      </w:r>
      <w:bookmarkEnd w:id="100"/>
      <w:bookmarkEnd w:id="101"/>
    </w:p>
    <w:p w14:paraId="2C729B64">
      <w:pPr>
        <w:pStyle w:val="4"/>
        <w:rPr>
          <w:rFonts w:ascii="仿宋_GB2312" w:hAnsi="仿宋_GB2312" w:eastAsia="仿宋_GB2312" w:cs="仿宋_GB2312"/>
        </w:rPr>
      </w:pPr>
      <w:bookmarkStart w:id="102" w:name="_Toc15396621"/>
      <w:bookmarkStart w:id="103" w:name="_Toc2356"/>
      <w:r>
        <w:rPr>
          <w:rStyle w:val="29"/>
          <w:rFonts w:hint="eastAsia" w:ascii="仿宋_GB2312" w:hAnsi="仿宋_GB2312" w:eastAsia="仿宋_GB2312" w:cs="仿宋_GB2312"/>
          <w:b w:val="0"/>
          <w:bCs w:val="0"/>
        </w:rPr>
        <w:t>三、</w:t>
      </w:r>
      <w:r>
        <w:rPr>
          <w:rFonts w:hint="eastAsia" w:ascii="仿宋_GB2312" w:hAnsi="仿宋_GB2312" w:eastAsia="仿宋_GB2312" w:cs="仿宋_GB2312"/>
          <w:b w:val="0"/>
        </w:rPr>
        <w:t>支</w:t>
      </w:r>
      <w:r>
        <w:rPr>
          <w:rStyle w:val="29"/>
          <w:rFonts w:hint="eastAsia" w:ascii="仿宋_GB2312" w:hAnsi="仿宋_GB2312" w:eastAsia="仿宋_GB2312" w:cs="仿宋_GB2312"/>
          <w:b w:val="0"/>
          <w:bCs w:val="0"/>
        </w:rPr>
        <w:t>出决算表</w:t>
      </w:r>
      <w:bookmarkEnd w:id="102"/>
      <w:bookmarkEnd w:id="103"/>
    </w:p>
    <w:p w14:paraId="5A012D00">
      <w:pPr>
        <w:pStyle w:val="4"/>
        <w:rPr>
          <w:rFonts w:ascii="仿宋_GB2312" w:hAnsi="仿宋_GB2312" w:eastAsia="仿宋_GB2312" w:cs="仿宋_GB2312"/>
          <w:b w:val="0"/>
        </w:rPr>
      </w:pPr>
      <w:bookmarkStart w:id="104" w:name="_Toc15396622"/>
      <w:bookmarkStart w:id="105" w:name="_Toc21509"/>
      <w:r>
        <w:rPr>
          <w:rStyle w:val="29"/>
          <w:rFonts w:hint="eastAsia" w:ascii="仿宋_GB2312" w:hAnsi="仿宋_GB2312" w:eastAsia="仿宋_GB2312" w:cs="仿宋_GB2312"/>
          <w:b w:val="0"/>
          <w:bCs w:val="0"/>
        </w:rPr>
        <w:t>四、</w:t>
      </w:r>
      <w:r>
        <w:rPr>
          <w:rFonts w:hint="eastAsia" w:ascii="仿宋_GB2312" w:hAnsi="仿宋_GB2312" w:eastAsia="仿宋_GB2312" w:cs="仿宋_GB2312"/>
          <w:b w:val="0"/>
        </w:rPr>
        <w:t>财</w:t>
      </w:r>
      <w:r>
        <w:rPr>
          <w:rStyle w:val="29"/>
          <w:rFonts w:hint="eastAsia" w:ascii="仿宋_GB2312" w:hAnsi="仿宋_GB2312" w:eastAsia="仿宋_GB2312" w:cs="仿宋_GB2312"/>
          <w:b w:val="0"/>
          <w:bCs w:val="0"/>
        </w:rPr>
        <w:t>政拨款收入支出决算总表</w:t>
      </w:r>
      <w:bookmarkEnd w:id="104"/>
      <w:bookmarkEnd w:id="105"/>
    </w:p>
    <w:p w14:paraId="14837D6B">
      <w:pPr>
        <w:pStyle w:val="4"/>
        <w:rPr>
          <w:rStyle w:val="29"/>
          <w:rFonts w:ascii="仿宋_GB2312" w:hAnsi="仿宋_GB2312" w:eastAsia="仿宋_GB2312" w:cs="仿宋_GB2312"/>
          <w:b w:val="0"/>
          <w:bCs w:val="0"/>
        </w:rPr>
      </w:pPr>
      <w:bookmarkStart w:id="106" w:name="_Toc15396623"/>
      <w:bookmarkStart w:id="107" w:name="_Toc30147"/>
      <w:r>
        <w:rPr>
          <w:rStyle w:val="29"/>
          <w:rFonts w:hint="eastAsia" w:ascii="仿宋_GB2312" w:hAnsi="仿宋_GB2312" w:eastAsia="仿宋_GB2312" w:cs="仿宋_GB2312"/>
          <w:b w:val="0"/>
          <w:bCs w:val="0"/>
        </w:rPr>
        <w:t>五、</w:t>
      </w:r>
      <w:r>
        <w:rPr>
          <w:rFonts w:hint="eastAsia" w:ascii="仿宋_GB2312" w:hAnsi="仿宋_GB2312" w:eastAsia="仿宋_GB2312" w:cs="仿宋_GB2312"/>
          <w:b w:val="0"/>
        </w:rPr>
        <w:t>财</w:t>
      </w:r>
      <w:r>
        <w:rPr>
          <w:rStyle w:val="29"/>
          <w:rFonts w:hint="eastAsia" w:ascii="仿宋_GB2312" w:hAnsi="仿宋_GB2312" w:eastAsia="仿宋_GB2312" w:cs="仿宋_GB2312"/>
          <w:b w:val="0"/>
          <w:bCs w:val="0"/>
        </w:rPr>
        <w:t>政拨款支出决算明细表</w:t>
      </w:r>
      <w:bookmarkEnd w:id="106"/>
      <w:bookmarkEnd w:id="107"/>
      <w:bookmarkStart w:id="108" w:name="_Toc15396624"/>
    </w:p>
    <w:p w14:paraId="526D1064">
      <w:pPr>
        <w:pStyle w:val="4"/>
        <w:rPr>
          <w:rFonts w:ascii="仿宋_GB2312" w:hAnsi="仿宋_GB2312" w:eastAsia="仿宋_GB2312" w:cs="仿宋_GB2312"/>
        </w:rPr>
      </w:pPr>
      <w:bookmarkStart w:id="109" w:name="_Toc11619"/>
      <w:r>
        <w:rPr>
          <w:rStyle w:val="29"/>
          <w:rFonts w:hint="eastAsia" w:ascii="仿宋_GB2312" w:hAnsi="仿宋_GB2312" w:eastAsia="仿宋_GB2312" w:cs="仿宋_GB2312"/>
          <w:b w:val="0"/>
          <w:bCs w:val="0"/>
        </w:rPr>
        <w:t>六、</w:t>
      </w:r>
      <w:r>
        <w:rPr>
          <w:rFonts w:hint="eastAsia" w:ascii="仿宋_GB2312" w:hAnsi="仿宋_GB2312" w:eastAsia="仿宋_GB2312" w:cs="仿宋_GB2312"/>
          <w:b w:val="0"/>
        </w:rPr>
        <w:t>一</w:t>
      </w:r>
      <w:r>
        <w:rPr>
          <w:rStyle w:val="29"/>
          <w:rFonts w:hint="eastAsia" w:ascii="仿宋_GB2312" w:hAnsi="仿宋_GB2312" w:eastAsia="仿宋_GB2312" w:cs="仿宋_GB2312"/>
          <w:b w:val="0"/>
          <w:bCs w:val="0"/>
        </w:rPr>
        <w:t>般公共预算财政拨款支出决算表</w:t>
      </w:r>
      <w:bookmarkEnd w:id="108"/>
      <w:bookmarkEnd w:id="109"/>
    </w:p>
    <w:p w14:paraId="5537A7E8">
      <w:pPr>
        <w:pStyle w:val="4"/>
        <w:rPr>
          <w:rFonts w:ascii="仿宋_GB2312" w:hAnsi="仿宋_GB2312" w:eastAsia="仿宋_GB2312" w:cs="仿宋_GB2312"/>
        </w:rPr>
      </w:pPr>
      <w:bookmarkStart w:id="110" w:name="_Toc15396625"/>
      <w:bookmarkStart w:id="111" w:name="_Toc1448"/>
      <w:r>
        <w:rPr>
          <w:rStyle w:val="29"/>
          <w:rFonts w:hint="eastAsia" w:ascii="仿宋_GB2312" w:hAnsi="仿宋_GB2312" w:eastAsia="仿宋_GB2312" w:cs="仿宋_GB2312"/>
          <w:b w:val="0"/>
          <w:bCs w:val="0"/>
        </w:rPr>
        <w:t>七、</w:t>
      </w:r>
      <w:r>
        <w:rPr>
          <w:rFonts w:hint="eastAsia" w:ascii="仿宋_GB2312" w:hAnsi="仿宋_GB2312" w:eastAsia="仿宋_GB2312" w:cs="仿宋_GB2312"/>
          <w:b w:val="0"/>
        </w:rPr>
        <w:t>一</w:t>
      </w:r>
      <w:r>
        <w:rPr>
          <w:rStyle w:val="29"/>
          <w:rFonts w:hint="eastAsia" w:ascii="仿宋_GB2312" w:hAnsi="仿宋_GB2312" w:eastAsia="仿宋_GB2312" w:cs="仿宋_GB2312"/>
          <w:b w:val="0"/>
          <w:bCs w:val="0"/>
        </w:rPr>
        <w:t>般公共预算财政拨款支出决算明细表</w:t>
      </w:r>
      <w:bookmarkEnd w:id="110"/>
      <w:bookmarkEnd w:id="111"/>
    </w:p>
    <w:p w14:paraId="5397DC4D">
      <w:pPr>
        <w:pStyle w:val="4"/>
        <w:rPr>
          <w:rFonts w:ascii="仿宋_GB2312" w:hAnsi="仿宋_GB2312" w:eastAsia="仿宋_GB2312" w:cs="仿宋_GB2312"/>
        </w:rPr>
      </w:pPr>
      <w:bookmarkStart w:id="112" w:name="_Toc15396626"/>
      <w:bookmarkStart w:id="113" w:name="_Toc15966"/>
      <w:r>
        <w:rPr>
          <w:rStyle w:val="29"/>
          <w:rFonts w:hint="eastAsia" w:ascii="仿宋_GB2312" w:hAnsi="仿宋_GB2312" w:eastAsia="仿宋_GB2312" w:cs="仿宋_GB2312"/>
          <w:b w:val="0"/>
          <w:bCs w:val="0"/>
        </w:rPr>
        <w:t>八、</w:t>
      </w:r>
      <w:r>
        <w:rPr>
          <w:rFonts w:hint="eastAsia" w:ascii="仿宋_GB2312" w:hAnsi="仿宋_GB2312" w:eastAsia="仿宋_GB2312" w:cs="仿宋_GB2312"/>
          <w:b w:val="0"/>
        </w:rPr>
        <w:t>一</w:t>
      </w:r>
      <w:r>
        <w:rPr>
          <w:rStyle w:val="29"/>
          <w:rFonts w:hint="eastAsia" w:ascii="仿宋_GB2312" w:hAnsi="仿宋_GB2312" w:eastAsia="仿宋_GB2312" w:cs="仿宋_GB2312"/>
          <w:b w:val="0"/>
          <w:bCs w:val="0"/>
        </w:rPr>
        <w:t>般公共预算财政拨款基本支出决算表</w:t>
      </w:r>
      <w:bookmarkEnd w:id="112"/>
      <w:bookmarkEnd w:id="113"/>
    </w:p>
    <w:p w14:paraId="7C0E8705">
      <w:pPr>
        <w:pStyle w:val="4"/>
        <w:rPr>
          <w:rFonts w:ascii="仿宋_GB2312" w:hAnsi="仿宋_GB2312" w:eastAsia="仿宋_GB2312" w:cs="仿宋_GB2312"/>
        </w:rPr>
      </w:pPr>
      <w:bookmarkStart w:id="114" w:name="_Toc15396627"/>
      <w:bookmarkStart w:id="115" w:name="_Toc21208"/>
      <w:r>
        <w:rPr>
          <w:rStyle w:val="29"/>
          <w:rFonts w:hint="eastAsia" w:ascii="仿宋_GB2312" w:hAnsi="仿宋_GB2312" w:eastAsia="仿宋_GB2312" w:cs="仿宋_GB2312"/>
          <w:b w:val="0"/>
          <w:bCs w:val="0"/>
        </w:rPr>
        <w:t>九、</w:t>
      </w:r>
      <w:r>
        <w:rPr>
          <w:rFonts w:hint="eastAsia" w:ascii="仿宋_GB2312" w:hAnsi="仿宋_GB2312" w:eastAsia="仿宋_GB2312" w:cs="仿宋_GB2312"/>
          <w:b w:val="0"/>
        </w:rPr>
        <w:t>一</w:t>
      </w:r>
      <w:r>
        <w:rPr>
          <w:rStyle w:val="29"/>
          <w:rFonts w:hint="eastAsia" w:ascii="仿宋_GB2312" w:hAnsi="仿宋_GB2312" w:eastAsia="仿宋_GB2312" w:cs="仿宋_GB2312"/>
          <w:b w:val="0"/>
          <w:bCs w:val="0"/>
        </w:rPr>
        <w:t>般公共预算财政拨款项目支出决算表</w:t>
      </w:r>
      <w:bookmarkEnd w:id="114"/>
      <w:bookmarkEnd w:id="115"/>
    </w:p>
    <w:p w14:paraId="0514D040">
      <w:pPr>
        <w:pStyle w:val="4"/>
        <w:rPr>
          <w:rFonts w:ascii="仿宋_GB2312" w:hAnsi="仿宋_GB2312" w:eastAsia="仿宋_GB2312" w:cs="仿宋_GB2312"/>
        </w:rPr>
      </w:pPr>
      <w:bookmarkStart w:id="116" w:name="_Toc15396628"/>
      <w:bookmarkStart w:id="117" w:name="_Toc4107"/>
      <w:r>
        <w:rPr>
          <w:rStyle w:val="29"/>
          <w:rFonts w:hint="eastAsia" w:ascii="仿宋_GB2312" w:hAnsi="仿宋_GB2312" w:eastAsia="仿宋_GB2312" w:cs="仿宋_GB2312"/>
          <w:b w:val="0"/>
          <w:bCs w:val="0"/>
        </w:rPr>
        <w:t>十、</w:t>
      </w:r>
      <w:bookmarkEnd w:id="116"/>
      <w:r>
        <w:rPr>
          <w:rFonts w:hint="eastAsia" w:ascii="仿宋_GB2312" w:hAnsi="仿宋_GB2312" w:eastAsia="仿宋_GB2312" w:cs="仿宋_GB2312"/>
          <w:b w:val="0"/>
        </w:rPr>
        <w:t>政</w:t>
      </w:r>
      <w:r>
        <w:rPr>
          <w:rStyle w:val="29"/>
          <w:rFonts w:hint="eastAsia" w:ascii="仿宋_GB2312" w:hAnsi="仿宋_GB2312" w:eastAsia="仿宋_GB2312" w:cs="仿宋_GB2312"/>
          <w:b w:val="0"/>
          <w:bCs w:val="0"/>
        </w:rPr>
        <w:t>府性基金预算财政拨款收入支出决算表</w:t>
      </w:r>
      <w:bookmarkEnd w:id="117"/>
    </w:p>
    <w:p w14:paraId="049B348B">
      <w:pPr>
        <w:pStyle w:val="4"/>
        <w:rPr>
          <w:rFonts w:ascii="仿宋_GB2312" w:hAnsi="仿宋_GB2312" w:eastAsia="仿宋_GB2312" w:cs="仿宋_GB2312"/>
        </w:rPr>
      </w:pPr>
      <w:bookmarkStart w:id="118" w:name="_Toc15396629"/>
      <w:bookmarkStart w:id="119" w:name="_Toc1347"/>
      <w:r>
        <w:rPr>
          <w:rStyle w:val="29"/>
          <w:rFonts w:hint="eastAsia" w:ascii="仿宋_GB2312" w:hAnsi="仿宋_GB2312" w:eastAsia="仿宋_GB2312" w:cs="仿宋_GB2312"/>
          <w:b w:val="0"/>
          <w:bCs w:val="0"/>
        </w:rPr>
        <w:t>十一、</w:t>
      </w:r>
      <w:bookmarkEnd w:id="118"/>
      <w:r>
        <w:rPr>
          <w:rFonts w:hint="eastAsia" w:ascii="仿宋_GB2312" w:hAnsi="仿宋_GB2312" w:eastAsia="仿宋_GB2312" w:cs="仿宋_GB2312"/>
          <w:b w:val="0"/>
        </w:rPr>
        <w:t>国</w:t>
      </w:r>
      <w:r>
        <w:rPr>
          <w:rStyle w:val="29"/>
          <w:rFonts w:hint="eastAsia" w:ascii="仿宋_GB2312" w:hAnsi="仿宋_GB2312" w:eastAsia="仿宋_GB2312" w:cs="仿宋_GB2312"/>
          <w:b w:val="0"/>
          <w:bCs w:val="0"/>
        </w:rPr>
        <w:t>有资本经营预算财政拨款收入支出决算表</w:t>
      </w:r>
      <w:bookmarkEnd w:id="119"/>
    </w:p>
    <w:p w14:paraId="42E99108">
      <w:pPr>
        <w:pStyle w:val="4"/>
        <w:rPr>
          <w:rFonts w:ascii="仿宋_GB2312" w:hAnsi="仿宋_GB2312" w:eastAsia="仿宋_GB2312" w:cs="仿宋_GB2312"/>
        </w:rPr>
      </w:pPr>
      <w:bookmarkStart w:id="120" w:name="_Toc15396630"/>
      <w:bookmarkStart w:id="121" w:name="_Toc2325"/>
      <w:r>
        <w:rPr>
          <w:rStyle w:val="29"/>
          <w:rFonts w:hint="eastAsia" w:ascii="仿宋_GB2312" w:hAnsi="仿宋_GB2312" w:eastAsia="仿宋_GB2312" w:cs="仿宋_GB2312"/>
          <w:b w:val="0"/>
          <w:bCs w:val="0"/>
        </w:rPr>
        <w:t>十二、</w:t>
      </w:r>
      <w:bookmarkEnd w:id="120"/>
      <w:r>
        <w:rPr>
          <w:rStyle w:val="29"/>
          <w:rFonts w:hint="eastAsia" w:ascii="仿宋_GB2312" w:hAnsi="仿宋_GB2312" w:eastAsia="仿宋_GB2312" w:cs="仿宋_GB2312"/>
          <w:b w:val="0"/>
          <w:bCs w:val="0"/>
        </w:rPr>
        <w:t>国有资本经营预算财政拨款支出决算表</w:t>
      </w:r>
      <w:bookmarkEnd w:id="121"/>
    </w:p>
    <w:p w14:paraId="595AF56D">
      <w:pPr>
        <w:pStyle w:val="4"/>
        <w:rPr>
          <w:rFonts w:ascii="仿宋_GB2312" w:hAnsi="仿宋_GB2312" w:eastAsia="仿宋_GB2312" w:cs="仿宋_GB2312"/>
        </w:rPr>
      </w:pPr>
      <w:bookmarkStart w:id="122" w:name="_Toc15396631"/>
      <w:bookmarkStart w:id="123" w:name="_Toc21854"/>
      <w:r>
        <w:rPr>
          <w:rStyle w:val="29"/>
          <w:rFonts w:hint="eastAsia" w:ascii="仿宋_GB2312" w:hAnsi="仿宋_GB2312" w:eastAsia="仿宋_GB2312" w:cs="仿宋_GB2312"/>
          <w:b w:val="0"/>
          <w:bCs w:val="0"/>
        </w:rPr>
        <w:t>十三、</w:t>
      </w:r>
      <w:bookmarkEnd w:id="122"/>
      <w:r>
        <w:rPr>
          <w:rStyle w:val="29"/>
          <w:rFonts w:hint="eastAsia" w:ascii="仿宋_GB2312" w:hAnsi="仿宋_GB2312" w:eastAsia="仿宋_GB2312" w:cs="仿宋_GB2312"/>
          <w:b w:val="0"/>
          <w:bCs w:val="0"/>
        </w:rPr>
        <w:t>财政拨款“三公”经费支出决算表</w:t>
      </w:r>
      <w:bookmarkEnd w:id="123"/>
    </w:p>
    <w:sectPr>
      <w:footerReference r:id="rId6"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D4D4B">
    <w:pPr>
      <w:pStyle w:val="9"/>
      <w:jc w:val="center"/>
    </w:pPr>
  </w:p>
  <w:p w14:paraId="307A621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030D9">
    <w:pPr>
      <w:pStyle w:val="9"/>
      <w:jc w:val="center"/>
    </w:pPr>
  </w:p>
  <w:p w14:paraId="1319A85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5210D">
    <w:pPr>
      <w:pStyle w:val="9"/>
      <w:jc w:val="center"/>
    </w:pPr>
    <w:r>
      <w:pict>
        <v:shape id="_x0000_s2051" o:spid="_x0000_s205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147473895"/>
                </w:sdtPr>
                <w:sdtContent>
                  <w:p w14:paraId="24C49721">
                    <w:pPr>
                      <w:pStyle w:val="9"/>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13 -</w:t>
                    </w:r>
                    <w:r>
                      <w:rPr>
                        <w:rFonts w:hint="eastAsia" w:ascii="宋体" w:hAnsi="宋体" w:cs="宋体"/>
                        <w:sz w:val="28"/>
                        <w:szCs w:val="28"/>
                      </w:rPr>
                      <w:fldChar w:fldCharType="end"/>
                    </w:r>
                  </w:p>
                </w:sdtContent>
              </w:sdt>
              <w:p w14:paraId="746029C1">
                <w:pPr>
                  <w:pStyle w:val="2"/>
                  <w:spacing w:before="72"/>
                </w:pPr>
              </w:p>
            </w:txbxContent>
          </v:textbox>
        </v:shape>
      </w:pict>
    </w:r>
  </w:p>
  <w:p w14:paraId="29289AEA">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19DDF">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5OGU4MTUzNGVkMDhkZjc0ZTczNjRiMjBlMWJhYTgifQ=="/>
  </w:docVars>
  <w:rsids>
    <w:rsidRoot w:val="00F1361C"/>
    <w:rsid w:val="000222C6"/>
    <w:rsid w:val="0002549F"/>
    <w:rsid w:val="00031F44"/>
    <w:rsid w:val="000468DB"/>
    <w:rsid w:val="0006487A"/>
    <w:rsid w:val="00065F8F"/>
    <w:rsid w:val="00070A43"/>
    <w:rsid w:val="000768F2"/>
    <w:rsid w:val="0009184B"/>
    <w:rsid w:val="00094236"/>
    <w:rsid w:val="0009593C"/>
    <w:rsid w:val="00097322"/>
    <w:rsid w:val="00097984"/>
    <w:rsid w:val="000A6A92"/>
    <w:rsid w:val="000B047F"/>
    <w:rsid w:val="000B5923"/>
    <w:rsid w:val="000B5A48"/>
    <w:rsid w:val="000B6FF3"/>
    <w:rsid w:val="000C3467"/>
    <w:rsid w:val="000C3CA6"/>
    <w:rsid w:val="000C585A"/>
    <w:rsid w:val="000D1267"/>
    <w:rsid w:val="000D1BAC"/>
    <w:rsid w:val="000D1D50"/>
    <w:rsid w:val="000D5782"/>
    <w:rsid w:val="000E2682"/>
    <w:rsid w:val="000E6613"/>
    <w:rsid w:val="000E7119"/>
    <w:rsid w:val="00114E9B"/>
    <w:rsid w:val="00125E7F"/>
    <w:rsid w:val="0012637D"/>
    <w:rsid w:val="00142216"/>
    <w:rsid w:val="00144D6A"/>
    <w:rsid w:val="0014729F"/>
    <w:rsid w:val="00157BAB"/>
    <w:rsid w:val="001654D1"/>
    <w:rsid w:val="00174518"/>
    <w:rsid w:val="0018106D"/>
    <w:rsid w:val="001877A7"/>
    <w:rsid w:val="00191536"/>
    <w:rsid w:val="00195A06"/>
    <w:rsid w:val="00196687"/>
    <w:rsid w:val="001A1DAD"/>
    <w:rsid w:val="001C0962"/>
    <w:rsid w:val="001C21DB"/>
    <w:rsid w:val="001D7531"/>
    <w:rsid w:val="001E737D"/>
    <w:rsid w:val="001F0592"/>
    <w:rsid w:val="001F7506"/>
    <w:rsid w:val="002006CD"/>
    <w:rsid w:val="00202B36"/>
    <w:rsid w:val="002031BC"/>
    <w:rsid w:val="00204B7A"/>
    <w:rsid w:val="00204CDE"/>
    <w:rsid w:val="00206907"/>
    <w:rsid w:val="0021101A"/>
    <w:rsid w:val="00212B4A"/>
    <w:rsid w:val="00220536"/>
    <w:rsid w:val="00235629"/>
    <w:rsid w:val="00260C38"/>
    <w:rsid w:val="002616C0"/>
    <w:rsid w:val="00265372"/>
    <w:rsid w:val="002662AA"/>
    <w:rsid w:val="002734C1"/>
    <w:rsid w:val="00280496"/>
    <w:rsid w:val="00294DC9"/>
    <w:rsid w:val="00295495"/>
    <w:rsid w:val="002A31DE"/>
    <w:rsid w:val="002B2613"/>
    <w:rsid w:val="002B55D4"/>
    <w:rsid w:val="002C5004"/>
    <w:rsid w:val="002D6D05"/>
    <w:rsid w:val="002F1818"/>
    <w:rsid w:val="002F567B"/>
    <w:rsid w:val="003216A9"/>
    <w:rsid w:val="00335A74"/>
    <w:rsid w:val="00342043"/>
    <w:rsid w:val="0036561B"/>
    <w:rsid w:val="0037013F"/>
    <w:rsid w:val="00380C92"/>
    <w:rsid w:val="003A484F"/>
    <w:rsid w:val="003A4883"/>
    <w:rsid w:val="003B0BE0"/>
    <w:rsid w:val="003B0C1B"/>
    <w:rsid w:val="003B688C"/>
    <w:rsid w:val="003C0291"/>
    <w:rsid w:val="003C39AE"/>
    <w:rsid w:val="003C77CF"/>
    <w:rsid w:val="003C7B60"/>
    <w:rsid w:val="003D0C0F"/>
    <w:rsid w:val="003D1FB2"/>
    <w:rsid w:val="003D66DA"/>
    <w:rsid w:val="003E1310"/>
    <w:rsid w:val="003E6F55"/>
    <w:rsid w:val="00406254"/>
    <w:rsid w:val="004112DF"/>
    <w:rsid w:val="004223DE"/>
    <w:rsid w:val="00425C50"/>
    <w:rsid w:val="0043177C"/>
    <w:rsid w:val="00434489"/>
    <w:rsid w:val="00437085"/>
    <w:rsid w:val="00443880"/>
    <w:rsid w:val="004464F4"/>
    <w:rsid w:val="0046049C"/>
    <w:rsid w:val="004620CF"/>
    <w:rsid w:val="00466B7E"/>
    <w:rsid w:val="00471401"/>
    <w:rsid w:val="00473F31"/>
    <w:rsid w:val="0048263A"/>
    <w:rsid w:val="00487E5D"/>
    <w:rsid w:val="004A711F"/>
    <w:rsid w:val="004B199D"/>
    <w:rsid w:val="004B4690"/>
    <w:rsid w:val="004E0A2D"/>
    <w:rsid w:val="004E206B"/>
    <w:rsid w:val="004E6DF7"/>
    <w:rsid w:val="004F0FBD"/>
    <w:rsid w:val="004F18B8"/>
    <w:rsid w:val="00505A47"/>
    <w:rsid w:val="00512FDA"/>
    <w:rsid w:val="00516CCD"/>
    <w:rsid w:val="00520DA0"/>
    <w:rsid w:val="00530A85"/>
    <w:rsid w:val="005533CF"/>
    <w:rsid w:val="005664BB"/>
    <w:rsid w:val="00566FFA"/>
    <w:rsid w:val="0057481D"/>
    <w:rsid w:val="0058486E"/>
    <w:rsid w:val="00585B33"/>
    <w:rsid w:val="0059014D"/>
    <w:rsid w:val="005B421B"/>
    <w:rsid w:val="005B5C64"/>
    <w:rsid w:val="005B6E8A"/>
    <w:rsid w:val="005C5337"/>
    <w:rsid w:val="005C6BD0"/>
    <w:rsid w:val="005D1C8B"/>
    <w:rsid w:val="005D468D"/>
    <w:rsid w:val="005D5CED"/>
    <w:rsid w:val="005F10BC"/>
    <w:rsid w:val="005F1A4C"/>
    <w:rsid w:val="00602F07"/>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6F2068"/>
    <w:rsid w:val="006F72CA"/>
    <w:rsid w:val="0071021A"/>
    <w:rsid w:val="007127B7"/>
    <w:rsid w:val="0071798E"/>
    <w:rsid w:val="007416B6"/>
    <w:rsid w:val="00746F48"/>
    <w:rsid w:val="0075404D"/>
    <w:rsid w:val="0076182A"/>
    <w:rsid w:val="00767B7E"/>
    <w:rsid w:val="007770C3"/>
    <w:rsid w:val="00784D24"/>
    <w:rsid w:val="00785FBA"/>
    <w:rsid w:val="00786E4A"/>
    <w:rsid w:val="007875EB"/>
    <w:rsid w:val="00791B35"/>
    <w:rsid w:val="0079426B"/>
    <w:rsid w:val="007C7EF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93CFC"/>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14E7"/>
    <w:rsid w:val="00946945"/>
    <w:rsid w:val="00951248"/>
    <w:rsid w:val="0095152F"/>
    <w:rsid w:val="00954C49"/>
    <w:rsid w:val="00955E37"/>
    <w:rsid w:val="009576F9"/>
    <w:rsid w:val="009602C3"/>
    <w:rsid w:val="0097099F"/>
    <w:rsid w:val="00971997"/>
    <w:rsid w:val="00971FFC"/>
    <w:rsid w:val="0098660A"/>
    <w:rsid w:val="009931C3"/>
    <w:rsid w:val="009B257D"/>
    <w:rsid w:val="009B2C43"/>
    <w:rsid w:val="009B4EAE"/>
    <w:rsid w:val="009B7573"/>
    <w:rsid w:val="009C22F4"/>
    <w:rsid w:val="009C2A4B"/>
    <w:rsid w:val="009C2E98"/>
    <w:rsid w:val="009D3447"/>
    <w:rsid w:val="009D4711"/>
    <w:rsid w:val="009E0835"/>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A1890"/>
    <w:rsid w:val="00AB64C9"/>
    <w:rsid w:val="00AC3C6A"/>
    <w:rsid w:val="00AD5620"/>
    <w:rsid w:val="00AD656B"/>
    <w:rsid w:val="00AD7C1B"/>
    <w:rsid w:val="00AE16BA"/>
    <w:rsid w:val="00AE1EBE"/>
    <w:rsid w:val="00B03C9D"/>
    <w:rsid w:val="00B060AE"/>
    <w:rsid w:val="00B10517"/>
    <w:rsid w:val="00B13F72"/>
    <w:rsid w:val="00B14E76"/>
    <w:rsid w:val="00B161B8"/>
    <w:rsid w:val="00B2048C"/>
    <w:rsid w:val="00B310B9"/>
    <w:rsid w:val="00B31483"/>
    <w:rsid w:val="00B35F3F"/>
    <w:rsid w:val="00B36CBB"/>
    <w:rsid w:val="00B425E0"/>
    <w:rsid w:val="00B440AA"/>
    <w:rsid w:val="00B44B70"/>
    <w:rsid w:val="00B50144"/>
    <w:rsid w:val="00B53C56"/>
    <w:rsid w:val="00B57DAF"/>
    <w:rsid w:val="00B77EA6"/>
    <w:rsid w:val="00B81598"/>
    <w:rsid w:val="00B81B30"/>
    <w:rsid w:val="00B841F1"/>
    <w:rsid w:val="00B944D6"/>
    <w:rsid w:val="00BA0BE5"/>
    <w:rsid w:val="00BB4DF0"/>
    <w:rsid w:val="00BC0A1B"/>
    <w:rsid w:val="00BC289F"/>
    <w:rsid w:val="00BC2D50"/>
    <w:rsid w:val="00BC5361"/>
    <w:rsid w:val="00BC5460"/>
    <w:rsid w:val="00BC6B50"/>
    <w:rsid w:val="00BD0E25"/>
    <w:rsid w:val="00BF5BD6"/>
    <w:rsid w:val="00C03E31"/>
    <w:rsid w:val="00C26FB7"/>
    <w:rsid w:val="00C33E72"/>
    <w:rsid w:val="00C354B2"/>
    <w:rsid w:val="00C35554"/>
    <w:rsid w:val="00C42709"/>
    <w:rsid w:val="00C533CC"/>
    <w:rsid w:val="00C5751C"/>
    <w:rsid w:val="00C61BFC"/>
    <w:rsid w:val="00C62B85"/>
    <w:rsid w:val="00C65438"/>
    <w:rsid w:val="00C66964"/>
    <w:rsid w:val="00C87FD8"/>
    <w:rsid w:val="00C91381"/>
    <w:rsid w:val="00C91CBB"/>
    <w:rsid w:val="00C94A4B"/>
    <w:rsid w:val="00C96512"/>
    <w:rsid w:val="00CA77C4"/>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2419"/>
    <w:rsid w:val="00D34E7C"/>
    <w:rsid w:val="00D35489"/>
    <w:rsid w:val="00D36AFE"/>
    <w:rsid w:val="00D37CAE"/>
    <w:rsid w:val="00D51276"/>
    <w:rsid w:val="00D66F7F"/>
    <w:rsid w:val="00D7035F"/>
    <w:rsid w:val="00D73E00"/>
    <w:rsid w:val="00D82F6A"/>
    <w:rsid w:val="00DA634F"/>
    <w:rsid w:val="00DA65AC"/>
    <w:rsid w:val="00DB1913"/>
    <w:rsid w:val="00DC410D"/>
    <w:rsid w:val="00DC5A81"/>
    <w:rsid w:val="00DC68CA"/>
    <w:rsid w:val="00DC7CBA"/>
    <w:rsid w:val="00DD73B7"/>
    <w:rsid w:val="00DE0C89"/>
    <w:rsid w:val="00DF28BC"/>
    <w:rsid w:val="00DF34B9"/>
    <w:rsid w:val="00E01053"/>
    <w:rsid w:val="00E07ACF"/>
    <w:rsid w:val="00E331A1"/>
    <w:rsid w:val="00E33202"/>
    <w:rsid w:val="00E336A9"/>
    <w:rsid w:val="00E472B1"/>
    <w:rsid w:val="00E50624"/>
    <w:rsid w:val="00E53990"/>
    <w:rsid w:val="00E568DF"/>
    <w:rsid w:val="00E64269"/>
    <w:rsid w:val="00E82267"/>
    <w:rsid w:val="00E853CE"/>
    <w:rsid w:val="00E867B6"/>
    <w:rsid w:val="00EA010F"/>
    <w:rsid w:val="00ED1B63"/>
    <w:rsid w:val="00ED3C1F"/>
    <w:rsid w:val="00ED4085"/>
    <w:rsid w:val="00ED420E"/>
    <w:rsid w:val="00ED6FBE"/>
    <w:rsid w:val="00EE2F57"/>
    <w:rsid w:val="00EE4084"/>
    <w:rsid w:val="00EF387B"/>
    <w:rsid w:val="00EF4C34"/>
    <w:rsid w:val="00EF77C6"/>
    <w:rsid w:val="00F05438"/>
    <w:rsid w:val="00F1361C"/>
    <w:rsid w:val="00F156F0"/>
    <w:rsid w:val="00F160C7"/>
    <w:rsid w:val="00F2408F"/>
    <w:rsid w:val="00F240E9"/>
    <w:rsid w:val="00F36D8F"/>
    <w:rsid w:val="00F417B1"/>
    <w:rsid w:val="00F43E63"/>
    <w:rsid w:val="00F45853"/>
    <w:rsid w:val="00F602DF"/>
    <w:rsid w:val="00F754A1"/>
    <w:rsid w:val="00F81FD9"/>
    <w:rsid w:val="00F841AA"/>
    <w:rsid w:val="00F84A94"/>
    <w:rsid w:val="00F87E96"/>
    <w:rsid w:val="00FA23E8"/>
    <w:rsid w:val="00FD3CC1"/>
    <w:rsid w:val="00FF1E02"/>
    <w:rsid w:val="00FF28D0"/>
    <w:rsid w:val="00FF30B4"/>
    <w:rsid w:val="00FF34F0"/>
    <w:rsid w:val="03DC2831"/>
    <w:rsid w:val="081B5E94"/>
    <w:rsid w:val="0A2032A3"/>
    <w:rsid w:val="0B8A37D8"/>
    <w:rsid w:val="0F5FFB2F"/>
    <w:rsid w:val="0F824732"/>
    <w:rsid w:val="0FFFCF60"/>
    <w:rsid w:val="10C055FF"/>
    <w:rsid w:val="118107EC"/>
    <w:rsid w:val="11DD6519"/>
    <w:rsid w:val="16BB723D"/>
    <w:rsid w:val="18015F3F"/>
    <w:rsid w:val="193139EC"/>
    <w:rsid w:val="1BE8440E"/>
    <w:rsid w:val="1D0E7796"/>
    <w:rsid w:val="1D155CEE"/>
    <w:rsid w:val="1DDA1796"/>
    <w:rsid w:val="1FDBBF84"/>
    <w:rsid w:val="20F57F95"/>
    <w:rsid w:val="23EE04A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5293A8A"/>
    <w:rsid w:val="48BF60AB"/>
    <w:rsid w:val="493C27E9"/>
    <w:rsid w:val="496F39ED"/>
    <w:rsid w:val="49FF41D3"/>
    <w:rsid w:val="4BE068DB"/>
    <w:rsid w:val="4BF6002B"/>
    <w:rsid w:val="4BFFC6BE"/>
    <w:rsid w:val="4ECE2238"/>
    <w:rsid w:val="51151F25"/>
    <w:rsid w:val="51DB4B86"/>
    <w:rsid w:val="51F64DB0"/>
    <w:rsid w:val="55333C3E"/>
    <w:rsid w:val="554D4EE1"/>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621730"/>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w:basedOn w:val="2"/>
    <w:next w:val="14"/>
    <w:qFormat/>
    <w:uiPriority w:val="0"/>
    <w:pPr>
      <w:ind w:firstLine="420" w:firstLineChars="100"/>
    </w:pPr>
  </w:style>
  <w:style w:type="paragraph" w:styleId="14">
    <w:name w:val="Body Text First Indent 2"/>
    <w:basedOn w:val="6"/>
    <w:next w:val="13"/>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WPSOffice手动目录 1"/>
    <w:uiPriority w:val="0"/>
    <w:rPr>
      <w:rFonts w:asciiTheme="minorHAnsi" w:hAnsiTheme="minorHAnsi" w:eastAsiaTheme="minorEastAsia" w:cstheme="minorBidi"/>
      <w:lang w:val="en-US" w:eastAsia="zh-CN" w:bidi="ar-SA"/>
    </w:rPr>
  </w:style>
  <w:style w:type="paragraph" w:customStyle="1" w:styleId="35">
    <w:name w:val="WPSOffice手动目录 2"/>
    <w:uiPriority w:val="0"/>
    <w:pPr>
      <w:ind w:left="200" w:leftChars="200"/>
    </w:pPr>
    <w:rPr>
      <w:rFonts w:asciiTheme="minorHAnsi" w:hAnsiTheme="minorHAnsi" w:eastAsiaTheme="minorEastAsia" w:cstheme="minorBidi"/>
      <w:lang w:val="en-US" w:eastAsia="zh-CN" w:bidi="ar-SA"/>
    </w:rPr>
  </w:style>
  <w:style w:type="paragraph" w:customStyle="1" w:styleId="36">
    <w:name w:val="WPSOffice手动目录 3"/>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20892;&#20132;10.3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Desktop\&#20892;&#20132;10.3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[农交10.30.xlsx]Sheet4!$B$17:$B$18</c:f>
              <c:strCache>
                <c:ptCount val="2"/>
                <c:pt idx="0">
                  <c:v>2022年收入支出（万元）</c:v>
                </c:pt>
                <c:pt idx="1">
                  <c:v>2023年收入支出（万元）</c:v>
                </c:pt>
              </c:strCache>
            </c:strRef>
          </c:cat>
          <c:val>
            <c:numRef>
              <c:f>[农交10.30.xlsx]Sheet4!$C$17:$C$18</c:f>
              <c:numCache>
                <c:formatCode>General</c:formatCode>
                <c:ptCount val="2"/>
                <c:pt idx="0">
                  <c:v>163.43</c:v>
                </c:pt>
                <c:pt idx="1">
                  <c:v>214.29</c:v>
                </c:pt>
              </c:numCache>
            </c:numRef>
          </c:val>
        </c:ser>
        <c:dLbls>
          <c:showLegendKey val="0"/>
          <c:showVal val="1"/>
          <c:showCatName val="0"/>
          <c:showSerName val="0"/>
          <c:showPercent val="0"/>
          <c:showBubbleSize val="0"/>
        </c:dLbls>
        <c:gapWidth val="219"/>
        <c:overlap val="-27"/>
        <c:axId val="49003904"/>
        <c:axId val="131078016"/>
      </c:barChart>
      <c:catAx>
        <c:axId val="49003904"/>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31078016"/>
        <c:crosses val="autoZero"/>
        <c:auto val="1"/>
        <c:lblAlgn val="ctr"/>
        <c:lblOffset val="100"/>
        <c:noMultiLvlLbl val="0"/>
      </c:catAx>
      <c:valAx>
        <c:axId val="131078016"/>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9003904"/>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Sheet1!$D$9:$E$11</c:f>
              <c:multiLvlStrCache>
                <c:ptCount val="3"/>
                <c:lvl>
                  <c:pt idx="0">
                    <c:v>214.14万元</c:v>
                  </c:pt>
                  <c:pt idx="1">
                    <c:v>210.54万元</c:v>
                  </c:pt>
                  <c:pt idx="2">
                    <c:v>3.6万元</c:v>
                  </c:pt>
                </c:lvl>
                <c:lvl>
                  <c:pt idx="0">
                    <c:v>2023年度本年收入</c:v>
                  </c:pt>
                  <c:pt idx="1">
                    <c:v>其中：一般公共预算财政拨款收入</c:v>
                  </c:pt>
                  <c:pt idx="2">
                    <c:v>政府性基金预算财政拨款收入</c:v>
                  </c:pt>
                </c:lvl>
              </c:multiLvlStrCache>
            </c:multiLvlStrRef>
          </c:cat>
          <c:val>
            <c:numRef>
              <c:f>Sheet1!$F$9:$F$11</c:f>
              <c:numCache>
                <c:formatCode>General</c:formatCode>
                <c:ptCount val="3"/>
                <c:pt idx="1" c:formatCode="0.00%">
                  <c:v>0.9831</c:v>
                </c:pt>
                <c:pt idx="2" c:formatCode="0.00%">
                  <c:v>0.0168</c:v>
                </c:pt>
              </c:numCache>
            </c:numRef>
          </c:val>
        </c:ser>
        <c:dLbls>
          <c:showLegendKey val="0"/>
          <c:showVal val="1"/>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Sheet1!$D$15:$E$17</c:f>
              <c:multiLvlStrCache>
                <c:ptCount val="3"/>
                <c:lvl>
                  <c:pt idx="0">
                    <c:v>214.14万元</c:v>
                  </c:pt>
                  <c:pt idx="1">
                    <c:v>194.34万元</c:v>
                  </c:pt>
                  <c:pt idx="2">
                    <c:v>19.8万元</c:v>
                  </c:pt>
                </c:lvl>
                <c:lvl>
                  <c:pt idx="0">
                    <c:v>2023年度本年支出</c:v>
                  </c:pt>
                  <c:pt idx="1">
                    <c:v>其中：基本支出</c:v>
                  </c:pt>
                  <c:pt idx="2">
                    <c:v>      项目支出</c:v>
                  </c:pt>
                </c:lvl>
              </c:multiLvlStrCache>
            </c:multiLvlStrRef>
          </c:cat>
          <c:val>
            <c:numRef>
              <c:f>Sheet1!$F$15:$F$17</c:f>
              <c:numCache>
                <c:formatCode>General</c:formatCode>
                <c:ptCount val="3"/>
                <c:pt idx="1" c:formatCode="0.00%">
                  <c:v>0.9075</c:v>
                </c:pt>
                <c:pt idx="2" c:formatCode="0.00%">
                  <c:v>0.0924</c:v>
                </c:pt>
              </c:numCache>
            </c:numRef>
          </c:val>
        </c:ser>
        <c:dLbls>
          <c:showLegendKey val="0"/>
          <c:showVal val="1"/>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[农交10.30.xlsx]Sheet4!$B$17:$B$18</c:f>
              <c:strCache>
                <c:ptCount val="2"/>
                <c:pt idx="0">
                  <c:v>2022年收入支出（万元）</c:v>
                </c:pt>
                <c:pt idx="1">
                  <c:v>2023年收入支出（万元）</c:v>
                </c:pt>
              </c:strCache>
            </c:strRef>
          </c:cat>
          <c:val>
            <c:numRef>
              <c:f>[农交10.30.xlsx]Sheet4!$C$17:$C$18</c:f>
              <c:numCache>
                <c:formatCode>General</c:formatCode>
                <c:ptCount val="2"/>
                <c:pt idx="0">
                  <c:v>163.43</c:v>
                </c:pt>
                <c:pt idx="1">
                  <c:v>214.29</c:v>
                </c:pt>
              </c:numCache>
            </c:numRef>
          </c:val>
        </c:ser>
        <c:dLbls>
          <c:showLegendKey val="0"/>
          <c:showVal val="1"/>
          <c:showCatName val="0"/>
          <c:showSerName val="0"/>
          <c:showPercent val="0"/>
          <c:showBubbleSize val="0"/>
        </c:dLbls>
        <c:gapWidth val="219"/>
        <c:overlap val="-27"/>
        <c:axId val="175208704"/>
        <c:axId val="179353472"/>
      </c:barChart>
      <c:catAx>
        <c:axId val="175208704"/>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79353472"/>
        <c:crosses val="autoZero"/>
        <c:auto val="1"/>
        <c:lblAlgn val="ctr"/>
        <c:lblOffset val="100"/>
        <c:noMultiLvlLbl val="0"/>
      </c:catAx>
      <c:valAx>
        <c:axId val="179353472"/>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75208704"/>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Sheet1!$D$4</c:f>
              <c:strCache>
                <c:ptCount val="1"/>
                <c:pt idx="0">
                  <c:v>单位：万元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Sheet1!$C$5:$C$6</c:f>
              <c:strCache>
                <c:ptCount val="2"/>
                <c:pt idx="0">
                  <c:v>2022年度一般公共预算财政拨款支出</c:v>
                </c:pt>
                <c:pt idx="1">
                  <c:v>2023年度一般公共预算财政拨款支出</c:v>
                </c:pt>
              </c:strCache>
            </c:strRef>
          </c:cat>
          <c:val>
            <c:numRef>
              <c:f>Sheet1!$D$5:$D$6</c:f>
              <c:numCache>
                <c:formatCode>General</c:formatCode>
                <c:ptCount val="2"/>
                <c:pt idx="0">
                  <c:v>163.43</c:v>
                </c:pt>
                <c:pt idx="1">
                  <c:v>210.54</c:v>
                </c:pt>
              </c:numCache>
            </c:numRef>
          </c:val>
        </c:ser>
        <c:dLbls>
          <c:showLegendKey val="0"/>
          <c:showVal val="1"/>
          <c:showCatName val="0"/>
          <c:showSerName val="0"/>
          <c:showPercent val="0"/>
          <c:showBubbleSize val="0"/>
        </c:dLbls>
        <c:gapWidth val="150"/>
        <c:axId val="231080704"/>
        <c:axId val="231125760"/>
      </c:barChart>
      <c:catAx>
        <c:axId val="2310807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1125760"/>
        <c:crosses val="autoZero"/>
        <c:auto val="1"/>
        <c:lblAlgn val="ctr"/>
        <c:lblOffset val="100"/>
        <c:noMultiLvlLbl val="0"/>
      </c:catAx>
      <c:valAx>
        <c:axId val="2311257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108070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'[新建 XLS 工作表.xls]Sheet1'!$D$26:$F$30</c:f>
              <c:multiLvlStrCache>
                <c:ptCount val="5"/>
                <c:lvl>
                  <c:pt idx="0">
                    <c:v>210.54万元</c:v>
                  </c:pt>
                  <c:pt idx="1">
                    <c:v>21.37万元</c:v>
                  </c:pt>
                  <c:pt idx="2">
                    <c:v>13.37万元</c:v>
                  </c:pt>
                  <c:pt idx="3">
                    <c:v>14.06万元</c:v>
                  </c:pt>
                  <c:pt idx="4">
                    <c:v>161.75万元</c:v>
                  </c:pt>
                </c:lvl>
                <c:lvl/>
                <c:lvl>
                  <c:pt idx="0">
                    <c:v>2023年一般公共预算财政拨款支出</c:v>
                  </c:pt>
                  <c:pt idx="1">
                    <c:v>其中：社会保障和就业支出</c:v>
                  </c:pt>
                  <c:pt idx="2">
                    <c:v>卫生健康支出</c:v>
                  </c:pt>
                  <c:pt idx="3">
                    <c:v>住房保障支出</c:v>
                  </c:pt>
                  <c:pt idx="4">
                    <c:v>农林水支出</c:v>
                  </c:pt>
                </c:lvl>
              </c:multiLvlStrCache>
            </c:multiLvlStrRef>
          </c:cat>
          <c:val>
            <c:numRef>
              <c:f>'[新建 XLS 工作表.xls]Sheet1'!$G$26:$G$30</c:f>
              <c:numCache>
                <c:formatCode>General</c:formatCode>
                <c:ptCount val="5"/>
                <c:pt idx="1" c:formatCode="0.00%">
                  <c:v>0.1015</c:v>
                </c:pt>
                <c:pt idx="2" c:formatCode="0.00%">
                  <c:v>0.0635</c:v>
                </c:pt>
                <c:pt idx="3" c:formatCode="0.00%">
                  <c:v>0.0668</c:v>
                </c:pt>
                <c:pt idx="4" c:formatCode="0.00%">
                  <c:v>0.7683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Sheet1!$C$8:$D$10</c:f>
              <c:multiLvlStrCache>
                <c:ptCount val="3"/>
                <c:lvl>
                  <c:pt idx="1">
                    <c:v>0.45万元</c:v>
                  </c:pt>
                  <c:pt idx="2">
                    <c:v>0.14万元</c:v>
                  </c:pt>
                </c:lvl>
                <c:lvl>
                  <c:pt idx="0">
                    <c:v>2023年度“三公”经费财政拨款支出</c:v>
                  </c:pt>
                  <c:pt idx="1">
                    <c:v>      其中：公务用车购置及运行维护费支出</c:v>
                  </c:pt>
                  <c:pt idx="2">
                    <c:v>           公务接待费支出</c:v>
                  </c:pt>
                </c:lvl>
              </c:multiLvlStrCache>
            </c:multiLvlStrRef>
          </c:cat>
          <c:val>
            <c:numRef>
              <c:f>Sheet1!$E$8:$E$10</c:f>
              <c:numCache>
                <c:formatCode>General</c:formatCode>
                <c:ptCount val="3"/>
                <c:pt idx="1" c:formatCode="0.00%">
                  <c:v>0.766300000000001</c:v>
                </c:pt>
                <c:pt idx="2" c:formatCode="0.00%">
                  <c:v>0.2336</c:v>
                </c:pt>
              </c:numCache>
            </c:numRef>
          </c:val>
        </c:ser>
        <c:dLbls>
          <c:showLegendKey val="0"/>
          <c:showVal val="1"/>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638422-A462-491C-BB68-50DA11930A77}">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19</Pages>
  <Words>5151</Words>
  <Characters>5602</Characters>
  <Lines>56</Lines>
  <Paragraphs>15</Paragraphs>
  <TotalTime>40</TotalTime>
  <ScaleCrop>false</ScaleCrop>
  <LinksUpToDate>false</LinksUpToDate>
  <CharactersWithSpaces>5811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2024-09-24T03:10:00Z</dcterms:created>
  <dc:creator>曹颖</dc:creator>
  <cp:lastModifiedBy>项敏</cp:lastModifiedBy>
  <cp:lastPrinted>2023-08-03T02:35:00Z</cp:lastPrinted>
  <dcterms:modified xsi:type="dcterms:W3CDTF">2024-10-25T07:41:10Z</dcterms:modified>
  <dc:title>四川省***</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2A68C13A915949D994B74E1522B28773_12</vt:lpwstr>
  </property>
</Properties>
</file>