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C6BF">
      <w:pPr>
        <w:spacing w:line="600" w:lineRule="exact"/>
        <w:jc w:val="left"/>
        <w:outlineLvl w:val="0"/>
        <w:rPr>
          <w:rFonts w:ascii="方正小标宋简体" w:hAnsi="宋体" w:eastAsia="方正小标宋简体"/>
          <w:szCs w:val="21"/>
        </w:rPr>
      </w:pPr>
      <w:bookmarkStart w:id="0" w:name="_Toc15306267"/>
    </w:p>
    <w:p w14:paraId="495FF1E5">
      <w:pPr>
        <w:pStyle w:val="2"/>
        <w:spacing w:before="93"/>
      </w:pPr>
    </w:p>
    <w:p w14:paraId="3BAEA1F8">
      <w:pPr>
        <w:spacing w:line="600" w:lineRule="exact"/>
        <w:jc w:val="center"/>
        <w:outlineLvl w:val="0"/>
        <w:rPr>
          <w:rFonts w:ascii="方正小标宋简体" w:hAnsi="宋体" w:eastAsia="方正小标宋简体"/>
          <w:sz w:val="72"/>
          <w:szCs w:val="72"/>
        </w:rPr>
      </w:pPr>
    </w:p>
    <w:p w14:paraId="2570D587">
      <w:pPr>
        <w:spacing w:line="600" w:lineRule="exact"/>
        <w:jc w:val="center"/>
        <w:outlineLvl w:val="0"/>
        <w:rPr>
          <w:rFonts w:ascii="方正小标宋简体" w:hAnsi="宋体" w:eastAsia="方正小标宋简体"/>
          <w:sz w:val="72"/>
          <w:szCs w:val="72"/>
        </w:rPr>
      </w:pPr>
    </w:p>
    <w:p w14:paraId="4A74B3BE">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193"/>
      <w:bookmarkStart w:id="3" w:name="_Toc1537742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431233B7">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96598"/>
      <w:bookmarkStart w:id="7" w:name="_Toc15377426"/>
      <w:bookmarkStart w:id="8" w:name="_Toc15396476"/>
      <w:bookmarkStart w:id="9" w:name="_Toc15377194"/>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攀枝花市西区人民代表大会常务委员会</w:t>
      </w:r>
    </w:p>
    <w:p w14:paraId="4C886A5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办公室</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16EC8BA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BF4DA6A">
      <w:pPr>
        <w:widowControl/>
        <w:jc w:val="center"/>
        <w:rPr>
          <w:rFonts w:ascii="黑体" w:hAnsi="黑体" w:eastAsia="黑体" w:cstheme="minorBidi"/>
          <w:sz w:val="28"/>
          <w:szCs w:val="28"/>
        </w:rPr>
      </w:pPr>
    </w:p>
    <w:p w14:paraId="424BA929">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14:paraId="3C80F188"/>
    <w:p w14:paraId="5ECE5B64">
      <w:pPr>
        <w:pStyle w:val="11"/>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14:paraId="42D07385">
      <w:pPr>
        <w:pStyle w:val="12"/>
        <w:adjustRightInd w:val="0"/>
        <w:snapToGrid w:val="0"/>
        <w:spacing w:line="440" w:lineRule="exact"/>
        <w:jc w:val="left"/>
        <w:rPr>
          <w:rFonts w:hint="eastAsia" w:ascii="仿宋" w:hAnsi="仿宋" w:eastAsia="仿宋" w:cstheme="minorBidi"/>
          <w:kern w:val="2"/>
          <w:sz w:val="24"/>
          <w:szCs w:val="24"/>
          <w:lang w:val="en-US" w:eastAsia="zh-CN" w:bidi="ar-SA"/>
        </w:rPr>
      </w:pPr>
      <w:r>
        <w:rPr>
          <w:rFonts w:hint="eastAsia"/>
          <w:sz w:val="24"/>
        </w:rPr>
        <w:t>一、主要职责</w:t>
      </w:r>
      <w:r>
        <w:rPr>
          <w:rFonts w:cstheme="minorBidi"/>
          <w:sz w:val="24"/>
          <w:szCs w:val="24"/>
        </w:rPr>
        <w:tab/>
      </w:r>
      <w:r>
        <w:rPr>
          <w:rFonts w:hint="eastAsia" w:ascii="仿宋" w:hAnsi="仿宋" w:eastAsia="仿宋" w:cstheme="minorBidi"/>
          <w:kern w:val="2"/>
          <w:sz w:val="24"/>
          <w:szCs w:val="24"/>
          <w:lang w:val="en-US" w:eastAsia="zh-CN" w:bidi="ar-SA"/>
        </w:rPr>
        <w:t>4</w:t>
      </w:r>
    </w:p>
    <w:p w14:paraId="1A81A096">
      <w:pPr>
        <w:pStyle w:val="12"/>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szCs w:val="24"/>
        </w:rPr>
        <w:tab/>
      </w:r>
      <w:r>
        <w:rPr>
          <w:rFonts w:hint="eastAsia" w:ascii="仿宋" w:hAnsi="仿宋" w:eastAsia="仿宋" w:cstheme="minorBidi"/>
          <w:kern w:val="2"/>
          <w:sz w:val="24"/>
          <w:szCs w:val="24"/>
          <w:lang w:val="en-US" w:eastAsia="zh-CN" w:bidi="ar-SA"/>
        </w:rPr>
        <w:t>5</w:t>
      </w:r>
    </w:p>
    <w:p w14:paraId="28813DF8">
      <w:pPr>
        <w:pStyle w:val="11"/>
        <w:adjustRightInd w:val="0"/>
        <w:snapToGrid w:val="0"/>
        <w:spacing w:before="0" w:line="440" w:lineRule="exact"/>
        <w:jc w:val="left"/>
        <w:rPr>
          <w:rFonts w:hint="eastAsia" w:eastAsia="仿宋"/>
          <w:sz w:val="24"/>
          <w:szCs w:val="24"/>
          <w:lang w:val="en-US" w:eastAsia="zh-CN"/>
        </w:rPr>
      </w:pPr>
      <w:r>
        <w:rPr>
          <w:rFonts w:hint="eastAsia"/>
          <w:sz w:val="24"/>
        </w:rPr>
        <w:t>第二部分 2023年度单位决算情况说明</w:t>
      </w:r>
      <w:r>
        <w:rPr>
          <w:rFonts w:cstheme="minorBidi"/>
          <w:sz w:val="24"/>
          <w:szCs w:val="24"/>
        </w:rPr>
        <w:tab/>
      </w:r>
      <w:r>
        <w:rPr>
          <w:rFonts w:hint="eastAsia" w:ascii="仿宋" w:hAnsi="仿宋" w:eastAsia="仿宋" w:cstheme="minorBidi"/>
          <w:kern w:val="2"/>
          <w:sz w:val="24"/>
          <w:szCs w:val="24"/>
          <w:lang w:val="en-US" w:eastAsia="zh-CN" w:bidi="ar-SA"/>
        </w:rPr>
        <w:t>6</w:t>
      </w:r>
    </w:p>
    <w:p w14:paraId="13C08E05">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6</w:t>
      </w:r>
    </w:p>
    <w:p w14:paraId="653F9BCA">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二、收入决算情况说明</w:t>
      </w:r>
      <w:r>
        <w:rPr>
          <w:rFonts w:cstheme="minorBidi"/>
          <w:sz w:val="24"/>
          <w:szCs w:val="24"/>
        </w:rPr>
        <w:tab/>
      </w:r>
      <w:r>
        <w:rPr>
          <w:rFonts w:hint="eastAsia" w:ascii="仿宋" w:hAnsi="仿宋" w:eastAsia="仿宋" w:cstheme="minorBidi"/>
          <w:kern w:val="2"/>
          <w:sz w:val="24"/>
          <w:szCs w:val="24"/>
          <w:lang w:val="en-US" w:eastAsia="zh-CN" w:bidi="ar-SA"/>
        </w:rPr>
        <w:t>6</w:t>
      </w:r>
    </w:p>
    <w:p w14:paraId="0238F036">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rPr>
          <w:rFonts w:cstheme="minorBidi"/>
          <w:sz w:val="24"/>
          <w:szCs w:val="24"/>
        </w:rPr>
        <w:tab/>
      </w:r>
      <w:r>
        <w:rPr>
          <w:rFonts w:hint="eastAsia" w:ascii="仿宋" w:hAnsi="仿宋" w:eastAsia="仿宋" w:cstheme="minorBidi"/>
          <w:kern w:val="2"/>
          <w:sz w:val="24"/>
          <w:szCs w:val="24"/>
          <w:lang w:val="en-US" w:eastAsia="zh-CN" w:bidi="ar-SA"/>
        </w:rPr>
        <w:t>7</w:t>
      </w:r>
    </w:p>
    <w:p w14:paraId="54C327DB">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szCs w:val="24"/>
        </w:rPr>
        <w:tab/>
      </w:r>
      <w:r>
        <w:rPr>
          <w:rFonts w:hint="eastAsia" w:ascii="仿宋" w:hAnsi="仿宋" w:eastAsia="仿宋" w:cstheme="minorBidi"/>
          <w:kern w:val="2"/>
          <w:sz w:val="24"/>
          <w:szCs w:val="24"/>
          <w:lang w:val="en-US" w:eastAsia="zh-CN" w:bidi="ar-SA"/>
        </w:rPr>
        <w:t>7</w:t>
      </w:r>
    </w:p>
    <w:p w14:paraId="63964E2E">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五、一般公共预算财政拨款支出决算情况说明</w:t>
      </w:r>
      <w:r>
        <w:rPr>
          <w:rFonts w:cstheme="minorBidi"/>
          <w:sz w:val="24"/>
          <w:szCs w:val="24"/>
        </w:rPr>
        <w:tab/>
      </w:r>
      <w:r>
        <w:rPr>
          <w:rFonts w:hint="eastAsia" w:ascii="仿宋" w:hAnsi="仿宋" w:eastAsia="仿宋" w:cstheme="minorBidi"/>
          <w:kern w:val="2"/>
          <w:sz w:val="24"/>
          <w:szCs w:val="24"/>
          <w:lang w:val="en-US" w:eastAsia="zh-CN" w:bidi="ar-SA"/>
        </w:rPr>
        <w:t>8</w:t>
      </w:r>
    </w:p>
    <w:p w14:paraId="14AD76C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szCs w:val="24"/>
        </w:rPr>
        <w:tab/>
      </w:r>
      <w:r>
        <w:rPr>
          <w:rFonts w:hint="eastAsia" w:ascii="仿宋" w:hAnsi="仿宋" w:eastAsia="仿宋" w:cstheme="minorBidi"/>
          <w:kern w:val="2"/>
          <w:sz w:val="24"/>
          <w:szCs w:val="24"/>
          <w:lang w:val="en-US" w:eastAsia="zh-CN" w:bidi="ar-SA"/>
        </w:rPr>
        <w:t>10</w:t>
      </w:r>
    </w:p>
    <w:p w14:paraId="4A343B0E">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szCs w:val="24"/>
        </w:rPr>
        <w:tab/>
      </w:r>
      <w:r>
        <w:rPr>
          <w:rFonts w:hint="eastAsia" w:ascii="仿宋" w:hAnsi="仿宋" w:eastAsia="仿宋" w:cstheme="minorBidi"/>
          <w:kern w:val="2"/>
          <w:sz w:val="24"/>
          <w:szCs w:val="24"/>
          <w:lang w:val="en-US" w:eastAsia="zh-CN" w:bidi="ar-SA"/>
        </w:rPr>
        <w:t>10</w:t>
      </w:r>
    </w:p>
    <w:p w14:paraId="7B7C17C2">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12</w:t>
      </w:r>
    </w:p>
    <w:p w14:paraId="2D0AF98E">
      <w:pPr>
        <w:pStyle w:val="12"/>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szCs w:val="24"/>
        </w:rPr>
        <w:tab/>
      </w:r>
      <w:r>
        <w:rPr>
          <w:rFonts w:hint="eastAsia" w:ascii="仿宋" w:hAnsi="仿宋" w:eastAsia="仿宋" w:cstheme="minorBidi"/>
          <w:kern w:val="2"/>
          <w:sz w:val="24"/>
          <w:szCs w:val="24"/>
          <w:lang w:val="en-US" w:eastAsia="zh-CN" w:bidi="ar-SA"/>
        </w:rPr>
        <w:t>12</w:t>
      </w:r>
    </w:p>
    <w:p w14:paraId="6AB5F7BA">
      <w:pPr>
        <w:pStyle w:val="12"/>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ascii="仿宋" w:hAnsi="仿宋" w:eastAsia="仿宋" w:cstheme="minorBidi"/>
          <w:kern w:val="2"/>
          <w:sz w:val="24"/>
          <w:szCs w:val="24"/>
          <w:lang w:val="en-US" w:eastAsia="zh-CN" w:bidi="ar-SA"/>
        </w:rPr>
        <w:t>12</w:t>
      </w:r>
    </w:p>
    <w:p w14:paraId="37A8862A">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14</w:t>
      </w:r>
    </w:p>
    <w:p w14:paraId="3C1D1C79">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cstheme="minorBidi"/>
          <w:sz w:val="24"/>
          <w:szCs w:val="24"/>
        </w:rPr>
        <w:tab/>
      </w:r>
      <w:r>
        <w:rPr>
          <w:rFonts w:hint="eastAsia" w:cstheme="minorBidi"/>
          <w:sz w:val="24"/>
          <w:szCs w:val="24"/>
          <w:lang w:val="en-US" w:eastAsia="zh-CN"/>
        </w:rPr>
        <w:t>17</w:t>
      </w:r>
    </w:p>
    <w:p w14:paraId="50D9E72F">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18</w:t>
      </w:r>
    </w:p>
    <w:p w14:paraId="6DA31FD5">
      <w:pPr>
        <w:pStyle w:val="12"/>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szCs w:val="24"/>
        </w:rPr>
        <w:tab/>
      </w:r>
      <w:r>
        <w:rPr>
          <w:rFonts w:hint="eastAsia" w:cstheme="minorBidi"/>
          <w:sz w:val="24"/>
          <w:szCs w:val="24"/>
          <w:lang w:val="en-US" w:eastAsia="zh-CN"/>
        </w:rPr>
        <w:t>18</w:t>
      </w:r>
    </w:p>
    <w:p w14:paraId="3AF05B34">
      <w:pPr>
        <w:pStyle w:val="12"/>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szCs w:val="24"/>
        </w:rPr>
        <w:tab/>
      </w:r>
      <w:r>
        <w:rPr>
          <w:rFonts w:hint="eastAsia" w:cstheme="minorBidi"/>
          <w:sz w:val="24"/>
          <w:szCs w:val="24"/>
          <w:lang w:val="en-US" w:eastAsia="zh-CN"/>
        </w:rPr>
        <w:t>18</w:t>
      </w:r>
    </w:p>
    <w:p w14:paraId="234B1F4A">
      <w:pPr>
        <w:pStyle w:val="12"/>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szCs w:val="24"/>
        </w:rPr>
        <w:tab/>
      </w:r>
      <w:r>
        <w:rPr>
          <w:rFonts w:hint="eastAsia" w:cstheme="minorBidi"/>
          <w:sz w:val="24"/>
          <w:szCs w:val="24"/>
          <w:lang w:val="en-US" w:eastAsia="zh-CN"/>
        </w:rPr>
        <w:t>18</w:t>
      </w:r>
    </w:p>
    <w:p w14:paraId="1A13EFE8">
      <w:pPr>
        <w:pStyle w:val="12"/>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18</w:t>
      </w:r>
    </w:p>
    <w:p w14:paraId="6895B88C">
      <w:pPr>
        <w:pStyle w:val="12"/>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18</w:t>
      </w:r>
    </w:p>
    <w:p w14:paraId="6AD8D8E5">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18</w:t>
      </w:r>
    </w:p>
    <w:p w14:paraId="7AD79CBB">
      <w:pPr>
        <w:pStyle w:val="12"/>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18</w:t>
      </w:r>
    </w:p>
    <w:p w14:paraId="4B621134">
      <w:pPr>
        <w:pStyle w:val="12"/>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18</w:t>
      </w:r>
    </w:p>
    <w:p w14:paraId="0C012BB8">
      <w:pPr>
        <w:pStyle w:val="12"/>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18</w:t>
      </w:r>
    </w:p>
    <w:p w14:paraId="1983D11D">
      <w:pPr>
        <w:pStyle w:val="12"/>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18</w:t>
      </w:r>
    </w:p>
    <w:p w14:paraId="0146B7A7">
      <w:pPr>
        <w:pStyle w:val="12"/>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cstheme="minorBidi"/>
          <w:sz w:val="24"/>
          <w:szCs w:val="24"/>
        </w:rPr>
        <w:tab/>
      </w:r>
      <w:r>
        <w:rPr>
          <w:rFonts w:hint="eastAsia" w:cstheme="minorBidi"/>
          <w:sz w:val="24"/>
          <w:szCs w:val="24"/>
          <w:lang w:val="en-US" w:eastAsia="zh-CN"/>
        </w:rPr>
        <w:t>18</w:t>
      </w:r>
    </w:p>
    <w:p w14:paraId="14AEFC6B">
      <w:pPr>
        <w:pStyle w:val="12"/>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cstheme="minorBidi"/>
          <w:sz w:val="24"/>
          <w:szCs w:val="24"/>
        </w:rPr>
        <w:tab/>
      </w:r>
      <w:r>
        <w:rPr>
          <w:rFonts w:hint="eastAsia" w:cstheme="minorBidi"/>
          <w:sz w:val="24"/>
          <w:szCs w:val="24"/>
          <w:lang w:val="en-US" w:eastAsia="zh-CN"/>
        </w:rPr>
        <w:t>18</w:t>
      </w:r>
    </w:p>
    <w:p w14:paraId="5E38660B">
      <w:pPr>
        <w:pStyle w:val="12"/>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cstheme="minorBidi"/>
          <w:sz w:val="24"/>
          <w:szCs w:val="24"/>
        </w:rPr>
        <w:tab/>
      </w:r>
      <w:r>
        <w:rPr>
          <w:rFonts w:hint="eastAsia" w:cstheme="minorBidi"/>
          <w:sz w:val="24"/>
          <w:szCs w:val="24"/>
          <w:lang w:val="en-US" w:eastAsia="zh-CN"/>
        </w:rPr>
        <w:t>18</w:t>
      </w:r>
      <w:bookmarkStart w:id="67" w:name="_GoBack"/>
      <w:bookmarkEnd w:id="67"/>
    </w:p>
    <w:p w14:paraId="61FA9A6F">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2E768734">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1575EFF4">
      <w:pPr>
        <w:widowControl/>
        <w:jc w:val="left"/>
        <w:rPr>
          <w:rFonts w:ascii="黑体" w:eastAsia="黑体"/>
          <w:sz w:val="32"/>
          <w:szCs w:val="32"/>
        </w:rPr>
      </w:pPr>
    </w:p>
    <w:p w14:paraId="1C33CDEA">
      <w:pPr>
        <w:pStyle w:val="4"/>
        <w:numPr>
          <w:ilvl w:val="0"/>
          <w:numId w:val="0"/>
        </w:numPr>
        <w:ind w:firstLine="640" w:firstLineChars="200"/>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lang w:eastAsia="zh-CN"/>
        </w:rPr>
        <w:t>一、</w:t>
      </w:r>
      <w:r>
        <w:rPr>
          <w:rStyle w:val="29"/>
          <w:rFonts w:hint="eastAsia" w:ascii="黑体" w:hAnsi="黑体" w:eastAsia="黑体"/>
          <w:b w:val="0"/>
          <w:bCs w:val="0"/>
        </w:rPr>
        <w:t>主要职责</w:t>
      </w:r>
    </w:p>
    <w:p w14:paraId="7D1AA1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1.在本行政区域内，保证宪法、法律、行政法规和上级人民代表大会及其常务委员会决议的遵守和执行，保证国家计划和国家预算的执行；</w:t>
      </w:r>
    </w:p>
    <w:p w14:paraId="19D7A8B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2.审查和批准本行政区域内的</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"http://baike.baidu.com/view/863067.htm"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国民经济和社会发展计划</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、预算以及执行情况的报告；</w:t>
      </w:r>
    </w:p>
    <w:p w14:paraId="105D8E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3.讨论、决定本行政区域内的政治、经济、教育、科学、文化、卫生、环境和资源保护、民政、民族等工作的重大事项；</w:t>
      </w:r>
    </w:p>
    <w:p w14:paraId="4DBA719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4.选举本级人民代表大会常务委员会的组成人员；</w:t>
      </w:r>
    </w:p>
    <w:p w14:paraId="4C1DDF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5.选举区长、副区长；</w:t>
      </w:r>
    </w:p>
    <w:p w14:paraId="5E860A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6.选举本级人民法院院长和人民检察院检察长；选出的人民检察院检察长，须报经上一级人民检察院检察长提请该级人民代表大会常务委员会批准；</w:t>
      </w:r>
    </w:p>
    <w:p w14:paraId="4E9C7C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7.选举上一级人民代表大会代表；</w:t>
      </w:r>
    </w:p>
    <w:p w14:paraId="090B6A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8.听取和审查本级人民代表大会常务委员会的工作报告；</w:t>
      </w:r>
    </w:p>
    <w:p w14:paraId="189F1276">
      <w:pPr>
        <w:numPr>
          <w:ilvl w:val="0"/>
          <w:numId w:val="0"/>
        </w:numPr>
        <w:ind w:firstLine="640" w:firstLineChars="200"/>
      </w:pPr>
      <w:r>
        <w:rPr>
          <w:rFonts w:hint="eastAsia" w:ascii="仿宋_GB2312" w:hAnsi="仿宋_GB2312" w:eastAsia="仿宋_GB2312" w:cs="仿宋_GB2312"/>
          <w:sz w:val="32"/>
          <w:szCs w:val="32"/>
        </w:rPr>
        <w:t>9.听取和审查本级人民政府和人民法院、人民检察院的工作报告。</w:t>
      </w:r>
    </w:p>
    <w:p w14:paraId="191FD05B">
      <w:pPr>
        <w:pStyle w:val="4"/>
        <w:ind w:firstLine="640" w:firstLineChars="200"/>
        <w:rPr>
          <w:rFonts w:ascii="黑体" w:hAnsi="黑体" w:eastAsia="黑体"/>
          <w:b w:val="0"/>
        </w:rPr>
      </w:pPr>
      <w:r>
        <w:rPr>
          <w:rFonts w:hint="eastAsia" w:ascii="黑体" w:hAnsi="黑体" w:eastAsia="黑体"/>
          <w:b w:val="0"/>
        </w:rPr>
        <w:t>二、机构设置</w:t>
      </w:r>
    </w:p>
    <w:bookmarkEnd w:id="14"/>
    <w:bookmarkEnd w:id="15"/>
    <w:p w14:paraId="32580C0B">
      <w:pPr>
        <w:pStyle w:val="2"/>
        <w:adjustRightInd w:val="0"/>
        <w:snapToGrid w:val="0"/>
        <w:spacing w:before="93" w:line="600" w:lineRule="exact"/>
        <w:ind w:firstLine="672" w:firstLineChars="21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rPr>
        <w:t>攀枝花市西区</w:t>
      </w:r>
      <w:r>
        <w:rPr>
          <w:rFonts w:hint="eastAsia" w:ascii="仿宋_GB2312" w:hAnsi="仿宋" w:eastAsia="仿宋_GB2312" w:cs="Times New Roman"/>
          <w:sz w:val="32"/>
          <w:szCs w:val="32"/>
          <w:lang w:eastAsia="zh-CN"/>
        </w:rPr>
        <w:t>人民代表大会常务委员会</w:t>
      </w:r>
      <w:r>
        <w:rPr>
          <w:rFonts w:hint="eastAsia" w:ascii="仿宋_GB2312" w:hAnsi="仿宋" w:eastAsia="仿宋_GB2312" w:cs="Times New Roman"/>
          <w:sz w:val="32"/>
          <w:szCs w:val="32"/>
        </w:rPr>
        <w:t>工作机构为“二室五委”，即办公室、研究室、法制工作委员会、财政经济工作委员会、教育科学文化卫生工作委员会、人事代表工作委员会、农业林业环境保护工作委员会。</w:t>
      </w:r>
    </w:p>
    <w:p w14:paraId="13C20CA0">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攀枝花市西区人民代表大会常务委员会</w:t>
      </w:r>
      <w:r>
        <w:rPr>
          <w:rFonts w:hint="eastAsia" w:ascii="仿宋_GB2312" w:hAnsi="仿宋_GB2312" w:eastAsia="仿宋_GB2312" w:cs="仿宋_GB2312"/>
          <w:color w:val="000000" w:themeColor="text1"/>
          <w:sz w:val="32"/>
          <w:szCs w:val="32"/>
          <w14:textFill>
            <w14:solidFill>
              <w14:schemeClr w14:val="tx1"/>
            </w14:solidFill>
          </w14:textFill>
        </w:rPr>
        <w:t>下属二级</w:t>
      </w:r>
      <w:r>
        <w:rPr>
          <w:rFonts w:hint="eastAsia" w:ascii="仿宋_GB2312" w:hAnsi="仿宋_GB2312" w:eastAsia="仿宋_GB2312" w:cs="仿宋_GB2312"/>
          <w:color w:val="000000" w:themeColor="text1"/>
          <w:sz w:val="32"/>
          <w:szCs w:val="32"/>
          <w:lang w:eastAsia="zh-CN"/>
          <w14:textFill>
            <w14:solidFill>
              <w14:schemeClr w14:val="tx1"/>
            </w14:solidFill>
          </w14:textFill>
        </w:rPr>
        <w:t>未独立核算</w:t>
      </w:r>
      <w:r>
        <w:rPr>
          <w:rFonts w:hint="eastAsia" w:ascii="仿宋_GB2312" w:hAnsi="仿宋_GB2312" w:eastAsia="仿宋_GB2312" w:cs="仿宋_GB2312"/>
          <w:color w:val="000000" w:themeColor="text1"/>
          <w:sz w:val="32"/>
          <w:szCs w:val="32"/>
          <w14:textFill>
            <w14:solidFill>
              <w14:schemeClr w14:val="tx1"/>
            </w14:solidFill>
          </w14:textFill>
        </w:rPr>
        <w:t>单位</w:t>
      </w:r>
      <w:r>
        <w:rPr>
          <w:rFonts w:hint="eastAsia" w:ascii="仿宋_GB2312" w:hAnsi="仿宋_GB2312" w:eastAsia="仿宋_GB2312" w:cs="仿宋_GB2312"/>
          <w:sz w:val="32"/>
          <w:szCs w:val="32"/>
        </w:rPr>
        <w:t>1个，其中行政单位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个，参照公务员法管理的事业单位</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sz w:val="32"/>
          <w:szCs w:val="32"/>
        </w:rPr>
        <w:t>个，其他事业单位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（攀枝花市西区人大代表联络中心）。与2022年度相比无变化。</w:t>
      </w:r>
    </w:p>
    <w:p w14:paraId="1B8B7FF4">
      <w:pPr>
        <w:pStyle w:val="2"/>
        <w:adjustRightInd w:val="0"/>
        <w:snapToGrid w:val="0"/>
        <w:spacing w:before="93" w:line="600" w:lineRule="exact"/>
        <w:ind w:firstLine="672" w:firstLineChars="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kern w:val="2"/>
          <w:sz w:val="32"/>
          <w:szCs w:val="32"/>
          <w:lang w:val="en-US" w:eastAsia="zh-CN" w:bidi="ar-SA"/>
        </w:rPr>
        <w:t>攀枝花市西区人民代表大会常务委员会办公室</w:t>
      </w:r>
      <w:r>
        <w:rPr>
          <w:rFonts w:hint="eastAsia" w:ascii="仿宋_GB2312" w:hAnsi="仿宋_GB2312" w:eastAsia="仿宋_GB2312" w:cs="仿宋_GB2312"/>
          <w:sz w:val="32"/>
          <w:szCs w:val="32"/>
        </w:rPr>
        <w:t>2023年度部门决算编制范围的二级预算单位包括：</w:t>
      </w:r>
    </w:p>
    <w:p w14:paraId="0BA662CC">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br w:type="page"/>
      </w:r>
    </w:p>
    <w:p w14:paraId="491D1398">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lang w:val="en-US" w:eastAsia="zh-CN"/>
        </w:rPr>
        <w:t xml:space="preserve">  </w:t>
      </w:r>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7F206357"/>
    <w:p w14:paraId="61B52DAD">
      <w:pPr>
        <w:pStyle w:val="27"/>
        <w:numPr>
          <w:ilvl w:val="0"/>
          <w:numId w:val="1"/>
        </w:numPr>
        <w:spacing w:line="600" w:lineRule="exact"/>
        <w:ind w:firstLineChars="0"/>
        <w:outlineLvl w:val="1"/>
        <w:rPr>
          <w:rStyle w:val="29"/>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0C00F7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2023年度收、支总计均为</w:t>
      </w:r>
      <w:r>
        <w:rPr>
          <w:rFonts w:hint="eastAsia" w:ascii="仿宋_GB2312" w:hAnsi="仿宋_GB2312" w:eastAsia="仿宋_GB2312" w:cs="仿宋_GB2312"/>
          <w:b/>
          <w:sz w:val="32"/>
          <w:szCs w:val="32"/>
        </w:rPr>
        <w:t>718.4</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万元。与2022年度相比，收、支总计各增加</w:t>
      </w:r>
      <w:r>
        <w:rPr>
          <w:rFonts w:hint="eastAsia" w:ascii="仿宋_GB2312" w:hAnsi="仿宋_GB2312" w:eastAsia="仿宋_GB2312" w:cs="仿宋_GB2312"/>
          <w:b/>
          <w:bCs/>
          <w:sz w:val="32"/>
          <w:szCs w:val="32"/>
          <w:lang w:val="en-US" w:eastAsia="zh-CN"/>
        </w:rPr>
        <w:t>123.19</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sz w:val="32"/>
          <w:szCs w:val="32"/>
          <w:lang w:val="en-US" w:eastAsia="zh-CN"/>
        </w:rPr>
        <w:t>20.70</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人员经费拨款增加较多，公用经费及项目经费拨款略增</w:t>
      </w:r>
      <w:r>
        <w:rPr>
          <w:rFonts w:hint="eastAsia" w:ascii="仿宋_GB2312" w:hAnsi="仿宋_GB2312" w:eastAsia="仿宋_GB2312" w:cs="仿宋_GB2312"/>
          <w:sz w:val="32"/>
          <w:szCs w:val="32"/>
        </w:rPr>
        <w:t>。</w:t>
      </w:r>
    </w:p>
    <w:p w14:paraId="11A7930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w:t>
      </w:r>
    </w:p>
    <w:p w14:paraId="7A541B7A">
      <w:pPr>
        <w:pStyle w:val="13"/>
        <w:rPr>
          <w:rFonts w:ascii="仿宋_GB2312" w:eastAsia="仿宋_GB2312"/>
          <w:sz w:val="32"/>
          <w:szCs w:val="32"/>
        </w:rPr>
      </w:pPr>
      <w:r>
        <w:rPr>
          <w:rFonts w:hint="eastAsia"/>
          <w:lang w:val="en-US" w:eastAsia="zh-CN"/>
        </w:rPr>
        <w:t xml:space="preserve"> </w:t>
      </w:r>
      <w:r>
        <w:drawing>
          <wp:inline distT="0" distB="0" distL="114300" distR="114300">
            <wp:extent cx="4590415" cy="2225040"/>
            <wp:effectExtent l="0" t="0" r="63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90415" cy="2225040"/>
                    </a:xfrm>
                    <a:prstGeom prst="rect">
                      <a:avLst/>
                    </a:prstGeom>
                    <a:noFill/>
                    <a:ln>
                      <a:noFill/>
                    </a:ln>
                  </pic:spPr>
                </pic:pic>
              </a:graphicData>
            </a:graphic>
          </wp:inline>
        </w:drawing>
      </w:r>
    </w:p>
    <w:p w14:paraId="733896BB">
      <w:pPr>
        <w:pStyle w:val="27"/>
        <w:numPr>
          <w:ilvl w:val="0"/>
          <w:numId w:val="1"/>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4264C16B">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2023年度本年收入合计</w:t>
      </w:r>
      <w:r>
        <w:rPr>
          <w:rFonts w:hint="eastAsia" w:ascii="仿宋_GB2312" w:hAnsi="仿宋_GB2312" w:eastAsia="仿宋_GB2312" w:cs="仿宋_GB2312"/>
          <w:b/>
          <w:sz w:val="32"/>
          <w:szCs w:val="32"/>
        </w:rPr>
        <w:t>687.17</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b/>
          <w:sz w:val="32"/>
          <w:szCs w:val="32"/>
        </w:rPr>
        <w:t>669.8</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97.4</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b/>
          <w:sz w:val="32"/>
          <w:szCs w:val="32"/>
        </w:rPr>
        <w:t>17.3</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2.5</w:t>
      </w: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其他收入</w:t>
      </w:r>
      <w:r>
        <w:rPr>
          <w:rFonts w:hint="eastAsia" w:ascii="仿宋_GB2312" w:hAnsi="仿宋_GB2312" w:eastAsia="仿宋_GB2312" w:cs="仿宋_GB2312"/>
          <w:b/>
          <w:sz w:val="32"/>
          <w:szCs w:val="32"/>
        </w:rPr>
        <w:t>0.0</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w:t>
      </w:r>
    </w:p>
    <w:p w14:paraId="0FA6D1A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w:t>
      </w:r>
    </w:p>
    <w:p w14:paraId="073C2E49">
      <w:pPr>
        <w:spacing w:line="600" w:lineRule="exact"/>
        <w:ind w:firstLine="640" w:firstLineChars="200"/>
        <w:rPr>
          <w:rFonts w:hint="eastAsia" w:ascii="仿宋_GB2312" w:hAnsi="仿宋_GB2312" w:eastAsia="仿宋_GB2312" w:cs="仿宋_GB2312"/>
          <w:sz w:val="32"/>
          <w:szCs w:val="32"/>
        </w:rPr>
      </w:pPr>
    </w:p>
    <w:p w14:paraId="21E625FE">
      <w:pPr>
        <w:pStyle w:val="13"/>
        <w:rPr>
          <w:rFonts w:ascii="仿宋_GB2312" w:eastAsia="仿宋_GB2312"/>
          <w:sz w:val="32"/>
          <w:szCs w:val="32"/>
        </w:rPr>
      </w:pPr>
      <w:r>
        <w:rPr>
          <w:rFonts w:hint="eastAsia"/>
          <w:lang w:val="en-US" w:eastAsia="zh-CN"/>
        </w:rPr>
        <w:t xml:space="preserve"> </w:t>
      </w:r>
      <w:r>
        <w:drawing>
          <wp:inline distT="0" distB="0" distL="114300" distR="114300">
            <wp:extent cx="4596130" cy="2237105"/>
            <wp:effectExtent l="0" t="0" r="1397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596130" cy="2237105"/>
                    </a:xfrm>
                    <a:prstGeom prst="rect">
                      <a:avLst/>
                    </a:prstGeom>
                    <a:noFill/>
                    <a:ln>
                      <a:noFill/>
                    </a:ln>
                  </pic:spPr>
                </pic:pic>
              </a:graphicData>
            </a:graphic>
          </wp:inline>
        </w:drawing>
      </w:r>
    </w:p>
    <w:p w14:paraId="44FBD7A9">
      <w:pPr>
        <w:pStyle w:val="27"/>
        <w:numPr>
          <w:ilvl w:val="0"/>
          <w:numId w:val="1"/>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692BDB01">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2023年度本年支出合计</w:t>
      </w:r>
      <w:r>
        <w:rPr>
          <w:rFonts w:hint="eastAsia" w:ascii="仿宋_GB2312" w:hAnsi="仿宋_GB2312" w:eastAsia="仿宋_GB2312" w:cs="仿宋_GB2312"/>
          <w:b/>
          <w:sz w:val="32"/>
          <w:szCs w:val="32"/>
        </w:rPr>
        <w:t>718.37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b/>
          <w:sz w:val="32"/>
          <w:szCs w:val="32"/>
        </w:rPr>
        <w:t>660.84</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91.99</w:t>
      </w:r>
      <w:r>
        <w:rPr>
          <w:rFonts w:hint="eastAsia" w:ascii="仿宋_GB2312" w:hAnsi="仿宋_GB2312" w:eastAsia="仿宋_GB2312" w:cs="仿宋_GB2312"/>
          <w:sz w:val="32"/>
          <w:szCs w:val="32"/>
        </w:rPr>
        <w:t>%；项目支出</w:t>
      </w:r>
      <w:r>
        <w:rPr>
          <w:rFonts w:hint="eastAsia" w:ascii="仿宋_GB2312" w:hAnsi="仿宋_GB2312" w:eastAsia="仿宋_GB2312" w:cs="仿宋_GB2312"/>
          <w:b/>
          <w:sz w:val="32"/>
          <w:szCs w:val="32"/>
        </w:rPr>
        <w:t>57.53</w:t>
      </w:r>
      <w:r>
        <w:rPr>
          <w:rFonts w:hint="eastAsia" w:ascii="仿宋_GB2312" w:hAnsi="仿宋_GB2312" w:eastAsia="仿宋_GB2312" w:cs="仿宋_GB2312"/>
          <w:sz w:val="32"/>
          <w:szCs w:val="32"/>
        </w:rPr>
        <w:t>万元，占</w:t>
      </w:r>
      <w:r>
        <w:rPr>
          <w:rFonts w:hint="eastAsia" w:ascii="仿宋_GB2312" w:hAnsi="仿宋_GB2312" w:eastAsia="仿宋_GB2312" w:cs="仿宋_GB2312"/>
          <w:b/>
          <w:sz w:val="32"/>
          <w:szCs w:val="32"/>
        </w:rPr>
        <w:t>8</w:t>
      </w:r>
      <w:r>
        <w:rPr>
          <w:rFonts w:hint="eastAsia" w:ascii="仿宋_GB2312" w:hAnsi="仿宋_GB2312" w:eastAsia="仿宋_GB2312" w:cs="仿宋_GB2312"/>
          <w:b/>
          <w:sz w:val="32"/>
          <w:szCs w:val="32"/>
          <w:lang w:val="en-US" w:eastAsia="zh-CN"/>
        </w:rPr>
        <w:t>.01</w:t>
      </w:r>
      <w:r>
        <w:rPr>
          <w:rFonts w:hint="eastAsia" w:ascii="仿宋_GB2312" w:hAnsi="仿宋_GB2312" w:eastAsia="仿宋_GB2312" w:cs="仿宋_GB2312"/>
          <w:sz w:val="32"/>
          <w:szCs w:val="32"/>
        </w:rPr>
        <w:t>%。</w:t>
      </w:r>
    </w:p>
    <w:p w14:paraId="273210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w:t>
      </w:r>
    </w:p>
    <w:p w14:paraId="27C3E6E8">
      <w:pPr>
        <w:pStyle w:val="13"/>
      </w:pPr>
      <w:r>
        <w:rPr>
          <w:rFonts w:hint="eastAsia"/>
          <w:lang w:val="en-US" w:eastAsia="zh-CN"/>
        </w:rPr>
        <w:t xml:space="preserve"> </w:t>
      </w:r>
      <w:r>
        <w:drawing>
          <wp:inline distT="0" distB="0" distL="114300" distR="114300">
            <wp:extent cx="4596130" cy="2200910"/>
            <wp:effectExtent l="0" t="0" r="13970"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4596130" cy="2200910"/>
                    </a:xfrm>
                    <a:prstGeom prst="rect">
                      <a:avLst/>
                    </a:prstGeom>
                    <a:noFill/>
                    <a:ln>
                      <a:noFill/>
                    </a:ln>
                  </pic:spPr>
                </pic:pic>
              </a:graphicData>
            </a:graphic>
          </wp:inline>
        </w:drawing>
      </w:r>
    </w:p>
    <w:p w14:paraId="772BAB3A">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47E64786">
      <w:pPr>
        <w:spacing w:line="600" w:lineRule="exact"/>
        <w:ind w:firstLine="64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2023年度财政拨款收、支总计均为</w:t>
      </w:r>
      <w:r>
        <w:rPr>
          <w:rFonts w:hint="eastAsia" w:ascii="仿宋_GB2312" w:hAnsi="仿宋_GB2312" w:eastAsia="仿宋_GB2312" w:cs="仿宋_GB2312"/>
          <w:b/>
          <w:sz w:val="32"/>
          <w:szCs w:val="32"/>
        </w:rPr>
        <w:t>718.36</w:t>
      </w:r>
      <w:r>
        <w:rPr>
          <w:rFonts w:hint="eastAsia" w:ascii="仿宋_GB2312" w:hAnsi="仿宋_GB2312" w:eastAsia="仿宋_GB2312" w:cs="仿宋_GB2312"/>
          <w:sz w:val="32"/>
          <w:szCs w:val="32"/>
        </w:rPr>
        <w:t>万元。与2022年度相比，财政拨款收、支总计各增加</w:t>
      </w:r>
      <w:r>
        <w:rPr>
          <w:rFonts w:hint="eastAsia" w:ascii="仿宋_GB2312" w:hAnsi="仿宋_GB2312" w:eastAsia="仿宋_GB2312" w:cs="仿宋_GB2312"/>
          <w:b/>
          <w:bCs w:val="0"/>
          <w:sz w:val="32"/>
          <w:szCs w:val="32"/>
          <w:lang w:val="en-US" w:eastAsia="zh-CN"/>
        </w:rPr>
        <w:t>123.27</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val="0"/>
          <w:sz w:val="32"/>
          <w:szCs w:val="32"/>
          <w:lang w:val="en-US" w:eastAsia="zh-CN"/>
        </w:rPr>
        <w:t>20.71%</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人员经费拨款增加较多，公用经费及项目经费拨款略增。</w:t>
      </w:r>
    </w:p>
    <w:p w14:paraId="7C8AADC1">
      <w:pPr>
        <w:spacing w:line="600" w:lineRule="exact"/>
        <w:rPr>
          <w:rFonts w:hint="eastAsia" w:ascii="仿宋_GB2312" w:hAnsi="仿宋_GB2312" w:eastAsia="仿宋_GB2312" w:cs="仿宋_GB2312"/>
          <w:sz w:val="32"/>
          <w:szCs w:val="32"/>
        </w:rPr>
      </w:pPr>
    </w:p>
    <w:p w14:paraId="67F7333D">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51E788B7">
      <w:pPr>
        <w:pStyle w:val="13"/>
      </w:pPr>
      <w:r>
        <w:rPr>
          <w:rFonts w:hint="eastAsia"/>
          <w:lang w:val="en-US" w:eastAsia="zh-CN"/>
        </w:rPr>
        <w:t xml:space="preserve"> </w:t>
      </w:r>
      <w:r>
        <w:drawing>
          <wp:inline distT="0" distB="0" distL="114300" distR="114300">
            <wp:extent cx="4590415" cy="2200910"/>
            <wp:effectExtent l="0" t="0" r="63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590415" cy="2200910"/>
                    </a:xfrm>
                    <a:prstGeom prst="rect">
                      <a:avLst/>
                    </a:prstGeom>
                    <a:noFill/>
                    <a:ln>
                      <a:noFill/>
                    </a:ln>
                  </pic:spPr>
                </pic:pic>
              </a:graphicData>
            </a:graphic>
          </wp:inline>
        </w:drawing>
      </w:r>
    </w:p>
    <w:p w14:paraId="39A20578">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1B5CA021">
      <w:pPr>
        <w:spacing w:line="600" w:lineRule="exact"/>
        <w:ind w:firstLine="643" w:firstLineChars="200"/>
        <w:outlineLvl w:val="2"/>
        <w:rPr>
          <w:rFonts w:hint="eastAsia" w:ascii="方正楷体_GB2312" w:hAnsi="方正楷体_GB2312" w:eastAsia="方正楷体_GB2312" w:cs="方正楷体_GB2312"/>
          <w:b/>
          <w:sz w:val="32"/>
          <w:szCs w:val="32"/>
        </w:rPr>
      </w:pPr>
      <w:bookmarkStart w:id="28" w:name="_Toc15377210"/>
      <w:r>
        <w:rPr>
          <w:rFonts w:hint="eastAsia" w:ascii="方正楷体_GB2312" w:hAnsi="方正楷体_GB2312" w:eastAsia="方正楷体_GB2312" w:cs="方正楷体_GB2312"/>
          <w:b/>
          <w:sz w:val="32"/>
          <w:szCs w:val="32"/>
        </w:rPr>
        <w:t>（一）一般公共预算财政拨款支出决算总体情况</w:t>
      </w:r>
      <w:bookmarkEnd w:id="28"/>
    </w:p>
    <w:p w14:paraId="6624211A">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669.8</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b/>
          <w:sz w:val="32"/>
          <w:szCs w:val="32"/>
        </w:rPr>
        <w:t>93.24</w:t>
      </w:r>
      <w:r>
        <w:rPr>
          <w:rFonts w:hint="eastAsia" w:ascii="仿宋_GB2312" w:hAnsi="仿宋_GB2312" w:eastAsia="仿宋_GB2312" w:cs="仿宋_GB2312"/>
          <w:sz w:val="32"/>
          <w:szCs w:val="32"/>
        </w:rPr>
        <w:t>%。与2022年度相比，一般公共预算财政拨款支出增加</w:t>
      </w:r>
      <w:r>
        <w:rPr>
          <w:rFonts w:hint="eastAsia" w:ascii="仿宋_GB2312" w:hAnsi="仿宋_GB2312" w:eastAsia="仿宋_GB2312" w:cs="仿宋_GB2312"/>
          <w:b/>
          <w:bCs w:val="0"/>
          <w:sz w:val="32"/>
          <w:szCs w:val="32"/>
          <w:lang w:val="en-US" w:eastAsia="zh-CN"/>
        </w:rPr>
        <w:t>119.57</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val="0"/>
          <w:sz w:val="32"/>
          <w:szCs w:val="32"/>
          <w:lang w:val="en-US" w:eastAsia="zh-CN"/>
        </w:rPr>
        <w:t>21.73%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人员经费拨款增加较多，公用经费拨款略增。</w:t>
      </w:r>
    </w:p>
    <w:p w14:paraId="410F87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14:paraId="6DF992FF">
      <w:pPr>
        <w:pStyle w:val="13"/>
      </w:pPr>
      <w:r>
        <w:drawing>
          <wp:inline distT="0" distB="0" distL="114300" distR="114300">
            <wp:extent cx="4596130" cy="2231390"/>
            <wp:effectExtent l="0" t="0" r="13970" b="165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4596130" cy="2231390"/>
                    </a:xfrm>
                    <a:prstGeom prst="rect">
                      <a:avLst/>
                    </a:prstGeom>
                    <a:noFill/>
                    <a:ln>
                      <a:noFill/>
                    </a:ln>
                  </pic:spPr>
                </pic:pic>
              </a:graphicData>
            </a:graphic>
          </wp:inline>
        </w:drawing>
      </w:r>
    </w:p>
    <w:p w14:paraId="7DF5D73C">
      <w:pPr>
        <w:spacing w:line="600" w:lineRule="exact"/>
        <w:ind w:firstLine="643" w:firstLineChars="200"/>
        <w:outlineLvl w:val="2"/>
        <w:rPr>
          <w:rFonts w:hint="eastAsia" w:ascii="方正楷体_GB2312" w:hAnsi="方正楷体_GB2312" w:eastAsia="方正楷体_GB2312" w:cs="方正楷体_GB2312"/>
          <w:b/>
          <w:sz w:val="32"/>
          <w:szCs w:val="32"/>
        </w:rPr>
      </w:pPr>
      <w:bookmarkStart w:id="29" w:name="_Toc15377211"/>
      <w:r>
        <w:rPr>
          <w:rFonts w:hint="eastAsia" w:ascii="方正楷体_GB2312" w:hAnsi="方正楷体_GB2312" w:eastAsia="方正楷体_GB2312" w:cs="方正楷体_GB2312"/>
          <w:b/>
          <w:sz w:val="32"/>
          <w:szCs w:val="32"/>
        </w:rPr>
        <w:t>（二）一般公共预算财政拨款支出决算结构情况</w:t>
      </w:r>
      <w:bookmarkEnd w:id="29"/>
    </w:p>
    <w:p w14:paraId="19B155B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w:t>
      </w:r>
      <w:r>
        <w:rPr>
          <w:rFonts w:hint="eastAsia" w:ascii="仿宋_GB2312" w:hAnsi="仿宋_GB2312" w:eastAsia="仿宋_GB2312" w:cs="仿宋_GB2312"/>
          <w:b/>
          <w:sz w:val="32"/>
          <w:szCs w:val="32"/>
        </w:rPr>
        <w:t>669.8</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
          <w:sz w:val="32"/>
          <w:szCs w:val="32"/>
        </w:rPr>
        <w:t>一般公共服务</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446.50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66.66</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社会保障和就业</w:t>
      </w:r>
      <w:r>
        <w:rPr>
          <w:rFonts w:hint="eastAsia" w:ascii="仿宋_GB2312" w:hAnsi="仿宋_GB2312" w:eastAsia="仿宋_GB2312" w:cs="仿宋_GB2312"/>
          <w:b/>
          <w:bCs/>
          <w:sz w:val="32"/>
          <w:szCs w:val="32"/>
        </w:rPr>
        <w:t>支出</w:t>
      </w:r>
      <w:r>
        <w:rPr>
          <w:rFonts w:hint="eastAsia" w:ascii="仿宋_GB2312" w:hAnsi="仿宋_GB2312" w:eastAsia="仿宋_GB2312" w:cs="仿宋_GB2312"/>
          <w:sz w:val="32"/>
          <w:szCs w:val="32"/>
          <w:lang w:val="en-US" w:eastAsia="zh-CN"/>
        </w:rPr>
        <w:t>122.23万元，占18.25%；</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sz w:val="32"/>
          <w:szCs w:val="32"/>
          <w:lang w:val="en-US" w:eastAsia="zh-CN"/>
        </w:rPr>
        <w:t>57.12万元，占8.53%；</w:t>
      </w:r>
      <w:r>
        <w:rPr>
          <w:rFonts w:hint="eastAsia" w:ascii="仿宋_GB2312" w:hAnsi="仿宋_GB2312" w:eastAsia="仿宋_GB2312" w:cs="仿宋_GB2312"/>
          <w:b/>
          <w:bCs/>
          <w:sz w:val="32"/>
          <w:szCs w:val="32"/>
        </w:rPr>
        <w:t>住房保障支出</w:t>
      </w:r>
      <w:r>
        <w:rPr>
          <w:rFonts w:hint="eastAsia" w:ascii="仿宋_GB2312" w:hAnsi="仿宋_GB2312" w:eastAsia="仿宋_GB2312" w:cs="仿宋_GB2312"/>
          <w:sz w:val="32"/>
          <w:szCs w:val="32"/>
          <w:lang w:val="en-US" w:eastAsia="zh-CN"/>
        </w:rPr>
        <w:t>43.98万元，占6.56%。</w:t>
      </w:r>
    </w:p>
    <w:p w14:paraId="2E17908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w:t>
      </w:r>
    </w:p>
    <w:p w14:paraId="025E3DAB">
      <w:pPr>
        <w:pStyle w:val="13"/>
      </w:pPr>
      <w:r>
        <w:rPr>
          <w:rFonts w:hint="eastAsia"/>
          <w:lang w:val="en-US" w:eastAsia="zh-CN"/>
        </w:rPr>
        <w:t xml:space="preserve"> </w:t>
      </w:r>
      <w:r>
        <w:drawing>
          <wp:inline distT="0" distB="0" distL="114300" distR="114300">
            <wp:extent cx="4596130" cy="2237105"/>
            <wp:effectExtent l="0" t="0" r="1397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3"/>
                    <a:stretch>
                      <a:fillRect/>
                    </a:stretch>
                  </pic:blipFill>
                  <pic:spPr>
                    <a:xfrm>
                      <a:off x="0" y="0"/>
                      <a:ext cx="4596130" cy="2237105"/>
                    </a:xfrm>
                    <a:prstGeom prst="rect">
                      <a:avLst/>
                    </a:prstGeom>
                    <a:noFill/>
                    <a:ln>
                      <a:noFill/>
                    </a:ln>
                  </pic:spPr>
                </pic:pic>
              </a:graphicData>
            </a:graphic>
          </wp:inline>
        </w:drawing>
      </w:r>
    </w:p>
    <w:p w14:paraId="1C866AEA">
      <w:pPr>
        <w:spacing w:line="600" w:lineRule="exact"/>
        <w:ind w:firstLine="643" w:firstLineChars="200"/>
        <w:outlineLvl w:val="2"/>
        <w:rPr>
          <w:rFonts w:hint="eastAsia" w:ascii="方正楷体_GB2312" w:hAnsi="方正楷体_GB2312" w:eastAsia="方正楷体_GB2312" w:cs="方正楷体_GB2312"/>
          <w:b/>
          <w:sz w:val="32"/>
          <w:szCs w:val="32"/>
        </w:rPr>
      </w:pPr>
      <w:bookmarkStart w:id="30" w:name="_Toc15377212"/>
      <w:r>
        <w:rPr>
          <w:rFonts w:hint="eastAsia" w:ascii="方正楷体_GB2312" w:hAnsi="方正楷体_GB2312" w:eastAsia="方正楷体_GB2312" w:cs="方正楷体_GB2312"/>
          <w:b/>
          <w:sz w:val="32"/>
          <w:szCs w:val="32"/>
        </w:rPr>
        <w:t>（三）一般公共预算财政拨款支出决算具体情况</w:t>
      </w:r>
      <w:bookmarkEnd w:id="30"/>
    </w:p>
    <w:p w14:paraId="7F0BC0FC">
      <w:pPr>
        <w:spacing w:line="600" w:lineRule="exact"/>
        <w:ind w:firstLine="643" w:firstLineChars="200"/>
        <w:outlineLvl w:val="2"/>
        <w:rPr>
          <w:rFonts w:hint="eastAsia" w:ascii="仿宋_GB2312" w:hAnsi="仿宋_GB2312" w:eastAsia="仿宋_GB2312" w:cs="仿宋_GB2312"/>
          <w:sz w:val="32"/>
          <w:szCs w:val="32"/>
        </w:rPr>
      </w:pPr>
      <w:bookmarkStart w:id="31" w:name="_Toc15377213"/>
      <w:bookmarkStart w:id="32" w:name="_Toc15377444"/>
      <w:bookmarkStart w:id="33" w:name="_Toc15378460"/>
      <w:r>
        <w:rPr>
          <w:rFonts w:hint="eastAsia" w:ascii="仿宋_GB2312" w:hAnsi="仿宋_GB2312" w:eastAsia="仿宋_GB2312" w:cs="仿宋_GB2312"/>
          <w:b/>
          <w:sz w:val="32"/>
          <w:szCs w:val="32"/>
        </w:rPr>
        <w:t>2023年度一般公共预算支出决算数为669.8</w:t>
      </w:r>
      <w:r>
        <w:rPr>
          <w:rFonts w:hint="eastAsia" w:ascii="仿宋_GB2312" w:hAnsi="仿宋_GB2312" w:eastAsia="仿宋_GB2312" w:cs="仿宋_GB2312"/>
          <w:b/>
          <w:sz w:val="32"/>
          <w:szCs w:val="32"/>
          <w:lang w:val="en-US" w:eastAsia="zh-CN"/>
        </w:rPr>
        <w:t>3万元</w:t>
      </w:r>
      <w:r>
        <w:rPr>
          <w:rFonts w:hint="eastAsia" w:ascii="仿宋_GB2312" w:hAnsi="仿宋_GB2312" w:eastAsia="仿宋_GB2312" w:cs="仿宋_GB2312"/>
          <w:sz w:val="32"/>
          <w:szCs w:val="32"/>
        </w:rPr>
        <w:t>，</w:t>
      </w:r>
      <w:r>
        <w:rPr>
          <w:rStyle w:val="17"/>
          <w:rFonts w:hint="eastAsia" w:ascii="仿宋_GB2312" w:hAnsi="仿宋_GB2312" w:eastAsia="仿宋_GB2312" w:cs="仿宋_GB2312"/>
          <w:bCs/>
          <w:sz w:val="32"/>
          <w:szCs w:val="32"/>
        </w:rPr>
        <w:t>完成预算</w:t>
      </w:r>
      <w:r>
        <w:rPr>
          <w:rStyle w:val="17"/>
          <w:rFonts w:hint="eastAsia" w:ascii="仿宋_GB2312" w:hAnsi="仿宋_GB2312" w:eastAsia="仿宋_GB2312" w:cs="仿宋_GB2312"/>
          <w:bCs/>
          <w:sz w:val="32"/>
          <w:szCs w:val="32"/>
          <w:lang w:val="en-US" w:eastAsia="zh-CN"/>
        </w:rPr>
        <w:t>100</w:t>
      </w:r>
      <w:r>
        <w:rPr>
          <w:rStyle w:val="17"/>
          <w:rFonts w:hint="eastAsia" w:ascii="仿宋_GB2312" w:hAnsi="仿宋_GB2312" w:eastAsia="仿宋_GB2312" w:cs="仿宋_GB2312"/>
          <w:bCs/>
          <w:sz w:val="32"/>
          <w:szCs w:val="32"/>
        </w:rPr>
        <w:t>%。其中：</w:t>
      </w:r>
      <w:bookmarkEnd w:id="31"/>
      <w:bookmarkEnd w:id="32"/>
      <w:bookmarkEnd w:id="33"/>
    </w:p>
    <w:p w14:paraId="229CCF79">
      <w:pPr>
        <w:spacing w:line="600" w:lineRule="exact"/>
        <w:ind w:firstLine="643" w:firstLineChars="200"/>
        <w:rPr>
          <w:rFonts w:hint="eastAsia" w:ascii="仿宋_GB2312" w:hAnsi="仿宋_GB2312" w:eastAsia="仿宋_GB2312" w:cs="仿宋_GB2312"/>
          <w:b/>
          <w:sz w:val="32"/>
          <w:szCs w:val="32"/>
        </w:rPr>
      </w:pPr>
      <w:bookmarkStart w:id="34" w:name="_Toc15377214"/>
      <w:bookmarkStart w:id="35" w:name="_Toc15396608"/>
      <w:r>
        <w:rPr>
          <w:rStyle w:val="17"/>
          <w:rFonts w:hint="eastAsia" w:ascii="仿宋_GB2312" w:hAnsi="仿宋_GB2312" w:eastAsia="仿宋_GB2312" w:cs="仿宋_GB2312"/>
          <w:bCs/>
          <w:sz w:val="32"/>
          <w:szCs w:val="32"/>
        </w:rPr>
        <w:t>1.一般公共服务（类）</w:t>
      </w:r>
      <w:r>
        <w:rPr>
          <w:rStyle w:val="17"/>
          <w:rFonts w:hint="eastAsia" w:ascii="仿宋_GB2312" w:hAnsi="仿宋_GB2312" w:eastAsia="仿宋_GB2312" w:cs="仿宋_GB2312"/>
          <w:bCs/>
          <w:color w:val="000000"/>
          <w:sz w:val="32"/>
          <w:szCs w:val="32"/>
        </w:rPr>
        <w:t>人大事务（款）行政运行</w:t>
      </w:r>
      <w:r>
        <w:rPr>
          <w:rStyle w:val="17"/>
          <w:rFonts w:hint="eastAsia" w:ascii="仿宋_GB2312" w:hAnsi="仿宋_GB2312" w:eastAsia="仿宋_GB2312" w:cs="仿宋_GB2312"/>
          <w:bCs/>
          <w:sz w:val="32"/>
          <w:szCs w:val="32"/>
        </w:rPr>
        <w:t>（项）:</w:t>
      </w:r>
      <w:r>
        <w:rPr>
          <w:rStyle w:val="17"/>
          <w:rFonts w:hint="eastAsia" w:ascii="仿宋_GB2312" w:hAnsi="仿宋_GB2312" w:eastAsia="仿宋_GB2312" w:cs="仿宋_GB2312"/>
          <w:b w:val="0"/>
          <w:bCs/>
          <w:sz w:val="32"/>
          <w:szCs w:val="32"/>
        </w:rPr>
        <w:t xml:space="preserve"> 支出决算为</w:t>
      </w:r>
      <w:r>
        <w:rPr>
          <w:rStyle w:val="17"/>
          <w:rFonts w:hint="eastAsia" w:ascii="仿宋_GB2312" w:hAnsi="仿宋_GB2312" w:eastAsia="仿宋_GB2312" w:cs="仿宋_GB2312"/>
          <w:b/>
          <w:bCs w:val="0"/>
          <w:sz w:val="32"/>
          <w:szCs w:val="32"/>
        </w:rPr>
        <w:t>3</w:t>
      </w:r>
      <w:r>
        <w:rPr>
          <w:rStyle w:val="17"/>
          <w:rFonts w:hint="eastAsia" w:ascii="仿宋_GB2312" w:hAnsi="仿宋_GB2312" w:eastAsia="仿宋_GB2312" w:cs="仿宋_GB2312"/>
          <w:b/>
          <w:bCs w:val="0"/>
          <w:sz w:val="32"/>
          <w:szCs w:val="32"/>
          <w:lang w:val="en-US" w:eastAsia="zh-CN"/>
        </w:rPr>
        <w:t>79.20</w:t>
      </w:r>
      <w:r>
        <w:rPr>
          <w:rStyle w:val="17"/>
          <w:rFonts w:hint="eastAsia" w:ascii="仿宋_GB2312" w:hAnsi="仿宋_GB2312" w:eastAsia="仿宋_GB2312" w:cs="仿宋_GB2312"/>
          <w:b w:val="0"/>
          <w:bCs/>
          <w:sz w:val="32"/>
          <w:szCs w:val="32"/>
        </w:rPr>
        <w:t>万元，完成预算</w:t>
      </w:r>
      <w:r>
        <w:rPr>
          <w:rStyle w:val="17"/>
          <w:rFonts w:hint="eastAsia" w:ascii="仿宋_GB2312" w:hAnsi="仿宋_GB2312" w:eastAsia="仿宋_GB2312" w:cs="仿宋_GB2312"/>
          <w:b/>
          <w:bCs w:val="0"/>
          <w:sz w:val="32"/>
          <w:szCs w:val="32"/>
          <w:lang w:val="en-US" w:eastAsia="zh-CN"/>
        </w:rPr>
        <w:t>100</w:t>
      </w:r>
      <w:r>
        <w:rPr>
          <w:rStyle w:val="17"/>
          <w:rFonts w:hint="eastAsia" w:ascii="仿宋_GB2312" w:hAnsi="仿宋_GB2312" w:eastAsia="仿宋_GB2312" w:cs="仿宋_GB2312"/>
          <w:b/>
          <w:bCs w:val="0"/>
          <w:sz w:val="32"/>
          <w:szCs w:val="32"/>
        </w:rPr>
        <w:t>%</w:t>
      </w:r>
      <w:r>
        <w:rPr>
          <w:rStyle w:val="17"/>
          <w:rFonts w:hint="eastAsia" w:ascii="仿宋_GB2312" w:hAnsi="仿宋_GB2312" w:eastAsia="仿宋_GB2312" w:cs="仿宋_GB2312"/>
          <w:b w:val="0"/>
          <w:bCs/>
          <w:sz w:val="32"/>
          <w:szCs w:val="32"/>
          <w:lang w:eastAsia="zh-CN"/>
        </w:rPr>
        <w:t>；</w:t>
      </w:r>
      <w:r>
        <w:rPr>
          <w:rStyle w:val="17"/>
          <w:rFonts w:hint="eastAsia" w:ascii="仿宋_GB2312" w:hAnsi="仿宋_GB2312" w:eastAsia="仿宋_GB2312" w:cs="仿宋_GB2312"/>
          <w:bCs/>
          <w:color w:val="000000"/>
          <w:sz w:val="32"/>
          <w:szCs w:val="32"/>
          <w:lang w:eastAsia="zh-CN"/>
        </w:rPr>
        <w:t>代表工作</w:t>
      </w:r>
      <w:r>
        <w:rPr>
          <w:rStyle w:val="17"/>
          <w:rFonts w:hint="eastAsia" w:ascii="仿宋_GB2312" w:hAnsi="仿宋_GB2312" w:eastAsia="仿宋_GB2312" w:cs="仿宋_GB2312"/>
          <w:bCs/>
          <w:color w:val="000000"/>
          <w:sz w:val="32"/>
          <w:szCs w:val="32"/>
        </w:rPr>
        <w:t xml:space="preserve">（项）: </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9</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w:t>
      </w:r>
      <w:r>
        <w:rPr>
          <w:rStyle w:val="17"/>
          <w:rFonts w:hint="eastAsia" w:ascii="仿宋_GB2312" w:hAnsi="仿宋_GB2312" w:eastAsia="仿宋_GB2312" w:cs="仿宋_GB2312"/>
          <w:b/>
          <w:bCs/>
          <w:color w:val="000000"/>
          <w:sz w:val="32"/>
          <w:szCs w:val="32"/>
          <w:lang w:val="en-US" w:eastAsia="zh-CN"/>
        </w:rPr>
        <w:t>00</w:t>
      </w:r>
      <w:r>
        <w:rPr>
          <w:rStyle w:val="17"/>
          <w:rFonts w:hint="eastAsia" w:ascii="仿宋_GB2312" w:hAnsi="仿宋_GB2312" w:eastAsia="仿宋_GB2312" w:cs="仿宋_GB2312"/>
          <w:b/>
          <w:bCs/>
          <w:color w:val="000000"/>
          <w:sz w:val="32"/>
          <w:szCs w:val="32"/>
        </w:rPr>
        <w:t>%</w:t>
      </w:r>
      <w:r>
        <w:rPr>
          <w:rStyle w:val="17"/>
          <w:rFonts w:hint="eastAsia" w:ascii="仿宋_GB2312" w:hAnsi="仿宋_GB2312" w:eastAsia="仿宋_GB2312" w:cs="仿宋_GB2312"/>
          <w:b w:val="0"/>
          <w:bCs w:val="0"/>
          <w:color w:val="000000"/>
          <w:sz w:val="32"/>
          <w:szCs w:val="32"/>
          <w:lang w:eastAsia="zh-CN"/>
        </w:rPr>
        <w:t>；</w:t>
      </w:r>
      <w:r>
        <w:rPr>
          <w:rStyle w:val="17"/>
          <w:rFonts w:hint="eastAsia" w:ascii="仿宋_GB2312" w:hAnsi="仿宋_GB2312" w:eastAsia="仿宋_GB2312" w:cs="仿宋_GB2312"/>
          <w:bCs/>
          <w:color w:val="000000"/>
          <w:sz w:val="32"/>
          <w:szCs w:val="32"/>
          <w:lang w:eastAsia="zh-CN"/>
        </w:rPr>
        <w:t>事业运行</w:t>
      </w:r>
      <w:r>
        <w:rPr>
          <w:rStyle w:val="17"/>
          <w:rFonts w:hint="eastAsia" w:ascii="仿宋_GB2312" w:hAnsi="仿宋_GB2312" w:eastAsia="仿宋_GB2312" w:cs="仿宋_GB2312"/>
          <w:bCs/>
          <w:color w:val="000000"/>
          <w:sz w:val="32"/>
          <w:szCs w:val="32"/>
        </w:rPr>
        <w:t xml:space="preserve">（项）: </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58.30</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w:t>
      </w:r>
      <w:r>
        <w:rPr>
          <w:rStyle w:val="17"/>
          <w:rFonts w:hint="eastAsia" w:ascii="仿宋_GB2312" w:hAnsi="仿宋_GB2312" w:eastAsia="仿宋_GB2312" w:cs="仿宋_GB2312"/>
          <w:b/>
          <w:bCs/>
          <w:color w:val="000000"/>
          <w:sz w:val="32"/>
          <w:szCs w:val="32"/>
          <w:lang w:val="en-US" w:eastAsia="zh-CN"/>
        </w:rPr>
        <w:t>00</w:t>
      </w:r>
      <w:r>
        <w:rPr>
          <w:rStyle w:val="17"/>
          <w:rFonts w:hint="eastAsia" w:ascii="仿宋_GB2312" w:hAnsi="仿宋_GB2312" w:eastAsia="仿宋_GB2312" w:cs="仿宋_GB2312"/>
          <w:b/>
          <w:bCs/>
          <w:color w:val="000000"/>
          <w:sz w:val="32"/>
          <w:szCs w:val="32"/>
        </w:rPr>
        <w:t>%</w:t>
      </w:r>
      <w:r>
        <w:rPr>
          <w:rStyle w:val="17"/>
          <w:rFonts w:hint="eastAsia" w:ascii="仿宋_GB2312" w:hAnsi="仿宋_GB2312" w:eastAsia="仿宋_GB2312" w:cs="仿宋_GB2312"/>
          <w:b w:val="0"/>
          <w:bCs/>
          <w:sz w:val="32"/>
          <w:szCs w:val="32"/>
        </w:rPr>
        <w:t>。</w:t>
      </w:r>
    </w:p>
    <w:p w14:paraId="7DB739CA">
      <w:pPr>
        <w:spacing w:line="600" w:lineRule="exact"/>
        <w:ind w:firstLine="643" w:firstLineChars="200"/>
        <w:rPr>
          <w:rStyle w:val="17"/>
          <w:rFonts w:hint="eastAsia" w:ascii="仿宋_GB2312" w:hAnsi="仿宋_GB2312" w:eastAsia="仿宋_GB2312" w:cs="仿宋_GB2312"/>
          <w:b w:val="0"/>
          <w:bCs w:val="0"/>
          <w:color w:val="000000"/>
          <w:sz w:val="32"/>
          <w:szCs w:val="32"/>
          <w:lang w:eastAsia="zh-CN"/>
        </w:rPr>
      </w:pPr>
      <w:r>
        <w:rPr>
          <w:rStyle w:val="17"/>
          <w:rFonts w:hint="eastAsia" w:ascii="仿宋_GB2312" w:hAnsi="仿宋_GB2312" w:eastAsia="仿宋_GB2312" w:cs="仿宋_GB2312"/>
          <w:bCs/>
          <w:color w:val="000000"/>
          <w:sz w:val="32"/>
          <w:szCs w:val="32"/>
        </w:rPr>
        <w:t xml:space="preserve">2.社会保障和就业支出（类）行政事业单位养老支出（款）行政单位离退休（项）: </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34.27</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Cs/>
          <w:color w:val="000000"/>
          <w:sz w:val="32"/>
          <w:szCs w:val="32"/>
        </w:rPr>
        <w:t xml:space="preserve">机关事业单位基本养老保险缴费支出（项）: </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62.07</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b/>
          <w:bCs/>
          <w:color w:val="000000"/>
          <w:sz w:val="32"/>
          <w:szCs w:val="32"/>
        </w:rPr>
        <w:t>机关事业单位职业年金缴费支出</w:t>
      </w:r>
      <w:r>
        <w:rPr>
          <w:rStyle w:val="17"/>
          <w:rFonts w:hint="eastAsia" w:ascii="仿宋_GB2312" w:hAnsi="仿宋_GB2312" w:eastAsia="仿宋_GB2312" w:cs="仿宋_GB2312"/>
          <w:bCs/>
          <w:color w:val="000000"/>
          <w:sz w:val="32"/>
          <w:szCs w:val="32"/>
        </w:rPr>
        <w:t xml:space="preserve">（项）: </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25.89</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lang w:eastAsia="zh-CN"/>
        </w:rPr>
        <w:t>。</w:t>
      </w:r>
    </w:p>
    <w:p w14:paraId="14E80A88">
      <w:pPr>
        <w:spacing w:line="600" w:lineRule="exact"/>
        <w:ind w:firstLine="643" w:firstLineChars="200"/>
        <w:rPr>
          <w:rStyle w:val="17"/>
          <w:rFonts w:hint="eastAsia" w:ascii="仿宋_GB2312" w:hAnsi="仿宋_GB2312" w:eastAsia="仿宋_GB2312" w:cs="仿宋_GB2312"/>
          <w:bCs/>
          <w:color w:val="000000"/>
          <w:sz w:val="32"/>
          <w:szCs w:val="32"/>
        </w:rPr>
      </w:pPr>
      <w:r>
        <w:rPr>
          <w:rStyle w:val="17"/>
          <w:rFonts w:hint="eastAsia" w:ascii="仿宋_GB2312" w:hAnsi="仿宋_GB2312" w:eastAsia="仿宋_GB2312" w:cs="仿宋_GB2312"/>
          <w:bCs/>
          <w:color w:val="000000"/>
          <w:sz w:val="32"/>
          <w:szCs w:val="32"/>
        </w:rPr>
        <w:t>3.</w:t>
      </w:r>
      <w:r>
        <w:rPr>
          <w:rFonts w:hint="eastAsia" w:ascii="仿宋_GB2312" w:hAnsi="仿宋_GB2312" w:eastAsia="仿宋_GB2312" w:cs="仿宋_GB2312"/>
          <w:b/>
          <w:bCs/>
          <w:color w:val="000000"/>
          <w:sz w:val="32"/>
          <w:szCs w:val="32"/>
        </w:rPr>
        <w:t>卫生健康支出</w:t>
      </w:r>
      <w:r>
        <w:rPr>
          <w:rStyle w:val="17"/>
          <w:rFonts w:hint="eastAsia" w:ascii="仿宋_GB2312" w:hAnsi="仿宋_GB2312" w:eastAsia="仿宋_GB2312" w:cs="仿宋_GB2312"/>
          <w:bCs/>
          <w:color w:val="000000"/>
          <w:sz w:val="32"/>
          <w:szCs w:val="32"/>
        </w:rPr>
        <w:t>（类）行政事业单位医疗（款）行政单位医疗（项）:</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27.46</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color w:val="000000"/>
          <w:sz w:val="32"/>
          <w:szCs w:val="32"/>
        </w:rPr>
        <w:t>事业单位医疗</w:t>
      </w:r>
      <w:r>
        <w:rPr>
          <w:rStyle w:val="17"/>
          <w:rFonts w:hint="eastAsia" w:ascii="仿宋_GB2312" w:hAnsi="仿宋_GB2312" w:eastAsia="仿宋_GB2312" w:cs="仿宋_GB2312"/>
          <w:bCs/>
          <w:color w:val="000000"/>
          <w:sz w:val="32"/>
          <w:szCs w:val="32"/>
        </w:rPr>
        <w:t>（项）:</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3.13</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r>
        <w:rPr>
          <w:rStyle w:val="17"/>
          <w:rFonts w:hint="eastAsia" w:ascii="仿宋_GB2312" w:hAnsi="仿宋_GB2312" w:eastAsia="仿宋_GB2312" w:cs="仿宋_GB2312"/>
          <w:color w:val="000000"/>
          <w:sz w:val="32"/>
          <w:szCs w:val="32"/>
        </w:rPr>
        <w:t>公务员医疗补助</w:t>
      </w:r>
      <w:r>
        <w:rPr>
          <w:rStyle w:val="17"/>
          <w:rFonts w:hint="eastAsia" w:ascii="仿宋_GB2312" w:hAnsi="仿宋_GB2312" w:eastAsia="仿宋_GB2312" w:cs="仿宋_GB2312"/>
          <w:bCs/>
          <w:color w:val="000000"/>
          <w:sz w:val="32"/>
          <w:szCs w:val="32"/>
        </w:rPr>
        <w:t>（项）:</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rPr>
        <w:t>2</w:t>
      </w:r>
      <w:r>
        <w:rPr>
          <w:rStyle w:val="17"/>
          <w:rFonts w:hint="eastAsia" w:ascii="仿宋_GB2312" w:hAnsi="仿宋_GB2312" w:eastAsia="仿宋_GB2312" w:cs="仿宋_GB2312"/>
          <w:b/>
          <w:bCs/>
          <w:color w:val="000000"/>
          <w:sz w:val="32"/>
          <w:szCs w:val="32"/>
          <w:lang w:val="en-US" w:eastAsia="zh-CN"/>
        </w:rPr>
        <w:t>4.46</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lang w:eastAsia="zh-CN"/>
        </w:rPr>
        <w:t>；</w:t>
      </w:r>
      <w:r>
        <w:rPr>
          <w:rStyle w:val="17"/>
          <w:rFonts w:hint="eastAsia" w:ascii="仿宋_GB2312" w:hAnsi="仿宋_GB2312" w:eastAsia="仿宋_GB2312" w:cs="仿宋_GB2312"/>
          <w:color w:val="000000"/>
          <w:sz w:val="32"/>
          <w:szCs w:val="32"/>
          <w:lang w:eastAsia="zh-CN"/>
        </w:rPr>
        <w:t>其他行政事业单位医疗支出</w:t>
      </w:r>
      <w:r>
        <w:rPr>
          <w:rStyle w:val="17"/>
          <w:rFonts w:hint="eastAsia" w:ascii="仿宋_GB2312" w:hAnsi="仿宋_GB2312" w:eastAsia="仿宋_GB2312" w:cs="仿宋_GB2312"/>
          <w:bCs/>
          <w:color w:val="000000"/>
          <w:sz w:val="32"/>
          <w:szCs w:val="32"/>
        </w:rPr>
        <w:t>（项）:</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lang w:val="en-US" w:eastAsia="zh-CN"/>
        </w:rPr>
        <w:t>2.07</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p>
    <w:p w14:paraId="263B96B1">
      <w:pPr>
        <w:tabs>
          <w:tab w:val="right" w:pos="8306"/>
        </w:tabs>
        <w:spacing w:line="600" w:lineRule="exact"/>
        <w:ind w:firstLine="640"/>
        <w:outlineLvl w:val="1"/>
        <w:rPr>
          <w:rStyle w:val="17"/>
          <w:rFonts w:hint="eastAsia" w:ascii="仿宋_GB2312" w:hAnsi="仿宋_GB2312" w:eastAsia="仿宋_GB2312" w:cs="仿宋_GB2312"/>
          <w:b w:val="0"/>
          <w:bCs w:val="0"/>
          <w:color w:val="000000"/>
          <w:sz w:val="32"/>
          <w:szCs w:val="32"/>
        </w:rPr>
      </w:pPr>
      <w:r>
        <w:rPr>
          <w:rStyle w:val="17"/>
          <w:rFonts w:hint="eastAsia" w:ascii="仿宋_GB2312" w:hAnsi="仿宋_GB2312" w:eastAsia="仿宋_GB2312" w:cs="仿宋_GB2312"/>
          <w:bCs/>
          <w:color w:val="000000"/>
          <w:sz w:val="32"/>
          <w:szCs w:val="32"/>
        </w:rPr>
        <w:t>4.住房保障支出（类）住房改革支出（款）住房公积金（项）:</w:t>
      </w:r>
      <w:r>
        <w:rPr>
          <w:rStyle w:val="17"/>
          <w:rFonts w:hint="eastAsia" w:ascii="仿宋_GB2312" w:hAnsi="仿宋_GB2312" w:eastAsia="仿宋_GB2312" w:cs="仿宋_GB2312"/>
          <w:b w:val="0"/>
          <w:bCs w:val="0"/>
          <w:color w:val="000000"/>
          <w:sz w:val="32"/>
          <w:szCs w:val="32"/>
        </w:rPr>
        <w:t>支出决算为</w:t>
      </w:r>
      <w:r>
        <w:rPr>
          <w:rStyle w:val="17"/>
          <w:rFonts w:hint="eastAsia" w:ascii="仿宋_GB2312" w:hAnsi="仿宋_GB2312" w:eastAsia="仿宋_GB2312" w:cs="仿宋_GB2312"/>
          <w:b/>
          <w:bCs/>
          <w:color w:val="000000"/>
          <w:sz w:val="32"/>
          <w:szCs w:val="32"/>
        </w:rPr>
        <w:t>4</w:t>
      </w:r>
      <w:r>
        <w:rPr>
          <w:rStyle w:val="17"/>
          <w:rFonts w:hint="eastAsia" w:ascii="仿宋_GB2312" w:hAnsi="仿宋_GB2312" w:eastAsia="仿宋_GB2312" w:cs="仿宋_GB2312"/>
          <w:b/>
          <w:bCs/>
          <w:color w:val="000000"/>
          <w:sz w:val="32"/>
          <w:szCs w:val="32"/>
          <w:lang w:val="en-US" w:eastAsia="zh-CN"/>
        </w:rPr>
        <w:t>3.98</w:t>
      </w:r>
      <w:r>
        <w:rPr>
          <w:rStyle w:val="17"/>
          <w:rFonts w:hint="eastAsia" w:ascii="仿宋_GB2312" w:hAnsi="仿宋_GB2312" w:eastAsia="仿宋_GB2312" w:cs="仿宋_GB2312"/>
          <w:b w:val="0"/>
          <w:bCs w:val="0"/>
          <w:color w:val="000000"/>
          <w:sz w:val="32"/>
          <w:szCs w:val="32"/>
        </w:rPr>
        <w:t>万元，完成预算</w:t>
      </w:r>
      <w:r>
        <w:rPr>
          <w:rStyle w:val="17"/>
          <w:rFonts w:hint="eastAsia" w:ascii="仿宋_GB2312" w:hAnsi="仿宋_GB2312" w:eastAsia="仿宋_GB2312" w:cs="仿宋_GB2312"/>
          <w:b/>
          <w:bCs/>
          <w:color w:val="000000"/>
          <w:sz w:val="32"/>
          <w:szCs w:val="32"/>
        </w:rPr>
        <w:t>100%</w:t>
      </w:r>
      <w:r>
        <w:rPr>
          <w:rStyle w:val="17"/>
          <w:rFonts w:hint="eastAsia" w:ascii="仿宋_GB2312" w:hAnsi="仿宋_GB2312" w:eastAsia="仿宋_GB2312" w:cs="仿宋_GB2312"/>
          <w:b w:val="0"/>
          <w:bCs w:val="0"/>
          <w:color w:val="000000"/>
          <w:sz w:val="32"/>
          <w:szCs w:val="32"/>
        </w:rPr>
        <w:t>。</w:t>
      </w:r>
    </w:p>
    <w:p w14:paraId="66D1A71D">
      <w:pPr>
        <w:tabs>
          <w:tab w:val="right" w:pos="8306"/>
        </w:tabs>
        <w:spacing w:line="600" w:lineRule="exact"/>
        <w:ind w:firstLine="640"/>
        <w:outlineLvl w:val="1"/>
        <w:rPr>
          <w:rStyle w:val="29"/>
        </w:rPr>
      </w:pPr>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7A7B4C1F">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w:t>
      </w:r>
      <w:r>
        <w:rPr>
          <w:rFonts w:hint="eastAsia" w:ascii="仿宋_GB2312" w:hAnsi="仿宋_GB2312" w:eastAsia="仿宋_GB2312" w:cs="仿宋_GB2312"/>
          <w:b/>
          <w:sz w:val="32"/>
          <w:szCs w:val="32"/>
        </w:rPr>
        <w:t>660.8</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sz w:val="32"/>
          <w:szCs w:val="32"/>
        </w:rPr>
        <w:t>万元，其中：</w:t>
      </w:r>
    </w:p>
    <w:p w14:paraId="42EFAE26">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b/>
          <w:sz w:val="32"/>
          <w:szCs w:val="32"/>
        </w:rPr>
        <w:t>621.1</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sz w:val="32"/>
          <w:szCs w:val="32"/>
        </w:rPr>
        <w:t>万元，主要包括：基本工资、津贴补贴、奖金、绩效工资、机关事业单位基本养老保险缴费、职业年金缴费、职工基本医疗保险缴费</w:t>
      </w:r>
      <w:r>
        <w:rPr>
          <w:rFonts w:hint="eastAsia" w:ascii="仿宋_GB2312" w:hAnsi="仿宋_GB2312" w:eastAsia="仿宋_GB2312" w:cs="仿宋_GB2312"/>
          <w:sz w:val="32"/>
          <w:szCs w:val="32"/>
          <w:lang w:eastAsia="zh-CN"/>
        </w:rPr>
        <w:t>、公务员医疗补助缴费、</w:t>
      </w:r>
      <w:r>
        <w:rPr>
          <w:rFonts w:hint="eastAsia" w:ascii="仿宋_GB2312" w:hAnsi="仿宋_GB2312" w:eastAsia="仿宋_GB2312" w:cs="仿宋_GB2312"/>
          <w:sz w:val="32"/>
          <w:szCs w:val="32"/>
        </w:rPr>
        <w:t>其他社会保障缴费、其他工资福利支出、生活补助、医疗费补助、住房公积金等。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w:t>
      </w:r>
      <w:r>
        <w:rPr>
          <w:rFonts w:hint="eastAsia" w:ascii="仿宋_GB2312" w:hAnsi="仿宋_GB2312" w:eastAsia="仿宋_GB2312" w:cs="仿宋_GB2312"/>
          <w:b/>
          <w:sz w:val="32"/>
          <w:szCs w:val="32"/>
        </w:rPr>
        <w:t>39.68</w:t>
      </w:r>
      <w:r>
        <w:rPr>
          <w:rFonts w:hint="eastAsia" w:ascii="仿宋_GB2312" w:hAnsi="仿宋_GB2312" w:eastAsia="仿宋_GB2312" w:cs="仿宋_GB2312"/>
          <w:sz w:val="32"/>
          <w:szCs w:val="32"/>
        </w:rPr>
        <w:t>万元，主要包括：办公费、差旅费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公务接待费、劳务费、工会经费、福利费、其他交通费、其他商品和服务支出。</w:t>
      </w:r>
    </w:p>
    <w:p w14:paraId="465FF1F5">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30689890">
      <w:pPr>
        <w:spacing w:line="600" w:lineRule="exact"/>
        <w:ind w:firstLine="640"/>
        <w:outlineLvl w:val="2"/>
        <w:rPr>
          <w:rFonts w:hint="eastAsia" w:ascii="方正楷体_GB2312" w:hAnsi="方正楷体_GB2312" w:eastAsia="方正楷体_GB2312" w:cs="方正楷体_GB2312"/>
          <w:b/>
          <w:sz w:val="32"/>
          <w:szCs w:val="32"/>
        </w:rPr>
      </w:pPr>
      <w:bookmarkStart w:id="38" w:name="_Toc15377216"/>
      <w:r>
        <w:rPr>
          <w:rFonts w:hint="eastAsia" w:ascii="方正楷体_GB2312" w:hAnsi="方正楷体_GB2312" w:eastAsia="方正楷体_GB2312" w:cs="方正楷体_GB2312"/>
          <w:b/>
          <w:sz w:val="32"/>
          <w:szCs w:val="32"/>
        </w:rPr>
        <w:t>（一）“三公”经费财政拨款支出决算总体情况说明</w:t>
      </w:r>
      <w:bookmarkEnd w:id="38"/>
    </w:p>
    <w:p w14:paraId="7DEE9B7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2023年度“三公”经费财政拨款支出决算为</w:t>
      </w:r>
      <w:r>
        <w:rPr>
          <w:rFonts w:hint="eastAsia" w:ascii="仿宋_GB2312" w:hAnsi="仿宋_GB2312" w:eastAsia="仿宋_GB2312" w:cs="仿宋_GB2312"/>
          <w:b/>
          <w:bCs/>
          <w:sz w:val="32"/>
          <w:szCs w:val="32"/>
        </w:rPr>
        <w:t>0.2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万元，完成预算</w:t>
      </w:r>
      <w:r>
        <w:rPr>
          <w:rFonts w:hint="eastAsia" w:ascii="仿宋_GB2312" w:hAnsi="仿宋_GB2312" w:eastAsia="仿宋_GB2312" w:cs="仿宋_GB2312"/>
          <w:b/>
          <w:bCs/>
          <w:sz w:val="32"/>
          <w:szCs w:val="32"/>
        </w:rPr>
        <w:t>100%</w:t>
      </w:r>
      <w:r>
        <w:rPr>
          <w:rFonts w:hint="eastAsia" w:ascii="仿宋_GB2312" w:hAnsi="仿宋_GB2312" w:eastAsia="仿宋_GB2312" w:cs="仿宋_GB2312"/>
          <w:sz w:val="32"/>
          <w:szCs w:val="32"/>
        </w:rPr>
        <w:t>，较上年度增加</w:t>
      </w:r>
      <w:r>
        <w:rPr>
          <w:rFonts w:hint="eastAsia" w:ascii="仿宋_GB2312" w:hAnsi="仿宋_GB2312" w:eastAsia="仿宋_GB2312" w:cs="仿宋_GB2312"/>
          <w:b/>
          <w:bCs/>
          <w:sz w:val="32"/>
          <w:szCs w:val="32"/>
          <w:lang w:val="en-US" w:eastAsia="zh-CN"/>
        </w:rPr>
        <w:t>0.20</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eastAsia="zh-CN"/>
        </w:rPr>
        <w:t>，主要是因上</w:t>
      </w:r>
      <w:r>
        <w:rPr>
          <w:rFonts w:hint="eastAsia" w:ascii="仿宋_GB2312" w:hAnsi="仿宋_GB2312" w:eastAsia="仿宋_GB2312" w:cs="仿宋_GB2312"/>
          <w:sz w:val="32"/>
          <w:szCs w:val="32"/>
        </w:rPr>
        <w:t>年度“三公”经费财政拨款支出决算为</w:t>
      </w:r>
      <w:r>
        <w:rPr>
          <w:rFonts w:hint="eastAsia" w:ascii="仿宋_GB2312" w:hAnsi="仿宋_GB2312" w:eastAsia="仿宋_GB2312" w:cs="仿宋_GB2312"/>
          <w:b/>
          <w:bCs/>
          <w:sz w:val="32"/>
          <w:szCs w:val="32"/>
        </w:rPr>
        <w:t>0</w:t>
      </w:r>
      <w:r>
        <w:rPr>
          <w:rFonts w:hint="eastAsia" w:ascii="仿宋_GB2312" w:hAnsi="仿宋_GB2312" w:eastAsia="仿宋_GB2312" w:cs="仿宋_GB2312"/>
          <w:sz w:val="32"/>
          <w:szCs w:val="32"/>
        </w:rPr>
        <w:t>万元。决算数与预算数持平的主要原因是</w:t>
      </w:r>
      <w:r>
        <w:rPr>
          <w:rFonts w:hint="eastAsia" w:ascii="仿宋_GB2312" w:hAnsi="仿宋_GB2312" w:eastAsia="仿宋_GB2312" w:cs="仿宋_GB2312"/>
          <w:sz w:val="32"/>
          <w:szCs w:val="32"/>
          <w:lang w:eastAsia="zh-CN"/>
        </w:rPr>
        <w:t>严格控制公务接待的范围</w:t>
      </w:r>
      <w:r>
        <w:rPr>
          <w:rFonts w:hint="eastAsia" w:ascii="仿宋_GB2312" w:hAnsi="仿宋_GB2312" w:eastAsia="仿宋_GB2312" w:cs="仿宋_GB2312"/>
          <w:sz w:val="32"/>
          <w:szCs w:val="32"/>
        </w:rPr>
        <w:t>。</w:t>
      </w:r>
    </w:p>
    <w:p w14:paraId="1AE5E665">
      <w:pPr>
        <w:spacing w:line="600" w:lineRule="exact"/>
        <w:ind w:firstLine="640"/>
        <w:outlineLvl w:val="2"/>
        <w:rPr>
          <w:rFonts w:hint="eastAsia" w:ascii="方正楷体_GB2312" w:hAnsi="方正楷体_GB2312" w:eastAsia="方正楷体_GB2312" w:cs="方正楷体_GB2312"/>
          <w:b/>
          <w:sz w:val="32"/>
          <w:szCs w:val="32"/>
        </w:rPr>
      </w:pPr>
      <w:bookmarkStart w:id="39" w:name="_Toc15377217"/>
      <w:r>
        <w:rPr>
          <w:rFonts w:hint="eastAsia" w:ascii="方正楷体_GB2312" w:hAnsi="方正楷体_GB2312" w:eastAsia="方正楷体_GB2312" w:cs="方正楷体_GB2312"/>
          <w:b/>
          <w:sz w:val="32"/>
          <w:szCs w:val="32"/>
        </w:rPr>
        <w:t>（二）“三公”经费财政拨款支出决算具体情况说明</w:t>
      </w:r>
      <w:bookmarkEnd w:id="39"/>
    </w:p>
    <w:p w14:paraId="4238336D">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2023年度“三公”经费财政拨款支出决算中，因公出国（境）费支出决算</w:t>
      </w:r>
      <w:r>
        <w:rPr>
          <w:rFonts w:hint="eastAsia" w:ascii="仿宋_GB2312" w:hAnsi="仿宋_GB2312" w:eastAsia="仿宋_GB2312" w:cs="仿宋_GB2312"/>
          <w:b/>
          <w:bCs/>
          <w:sz w:val="32"/>
          <w:szCs w:val="32"/>
        </w:rPr>
        <w:t>0</w:t>
      </w:r>
      <w:r>
        <w:rPr>
          <w:rFonts w:hint="eastAsia" w:ascii="仿宋_GB2312" w:hAnsi="仿宋_GB2312" w:eastAsia="仿宋_GB2312" w:cs="仿宋_GB2312"/>
          <w:sz w:val="32"/>
          <w:szCs w:val="32"/>
        </w:rPr>
        <w:t>万元，占0%；公务用车购置及运行维护费支出决算</w:t>
      </w:r>
      <w:r>
        <w:rPr>
          <w:rFonts w:hint="eastAsia" w:ascii="仿宋_GB2312" w:hAnsi="仿宋_GB2312" w:eastAsia="仿宋_GB2312" w:cs="仿宋_GB2312"/>
          <w:b/>
          <w:bCs/>
          <w:sz w:val="32"/>
          <w:szCs w:val="32"/>
        </w:rPr>
        <w:t>0</w:t>
      </w:r>
      <w:r>
        <w:rPr>
          <w:rFonts w:hint="eastAsia" w:ascii="仿宋_GB2312" w:hAnsi="仿宋_GB2312" w:eastAsia="仿宋_GB2312" w:cs="仿宋_GB2312"/>
          <w:sz w:val="32"/>
          <w:szCs w:val="32"/>
        </w:rPr>
        <w:t>万元，占0%；公务接待费支出决算</w:t>
      </w:r>
      <w:r>
        <w:rPr>
          <w:rFonts w:hint="eastAsia" w:ascii="仿宋_GB2312" w:hAnsi="仿宋_GB2312" w:eastAsia="仿宋_GB2312" w:cs="仿宋_GB2312"/>
          <w:b/>
          <w:bCs/>
          <w:sz w:val="32"/>
          <w:szCs w:val="32"/>
        </w:rPr>
        <w:t>0.2</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b/>
          <w:bCs/>
          <w:sz w:val="32"/>
          <w:szCs w:val="32"/>
        </w:rPr>
        <w:t>100%</w:t>
      </w:r>
      <w:r>
        <w:rPr>
          <w:rFonts w:hint="eastAsia" w:ascii="仿宋_GB2312" w:hAnsi="仿宋_GB2312" w:eastAsia="仿宋_GB2312" w:cs="仿宋_GB2312"/>
          <w:sz w:val="32"/>
          <w:szCs w:val="32"/>
        </w:rPr>
        <w:t>。具体情况如下：</w:t>
      </w:r>
    </w:p>
    <w:p w14:paraId="38EC1393">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14:paraId="63CCF543">
      <w:pPr>
        <w:pStyle w:val="13"/>
      </w:pPr>
      <w:r>
        <w:rPr>
          <w:rFonts w:hint="eastAsia"/>
          <w:lang w:val="en-US" w:eastAsia="zh-CN"/>
        </w:rPr>
        <w:t xml:space="preserve"> </w:t>
      </w:r>
      <w:r>
        <w:drawing>
          <wp:inline distT="0" distB="0" distL="114300" distR="114300">
            <wp:extent cx="4590415" cy="2188210"/>
            <wp:effectExtent l="0" t="0" r="6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4590415" cy="2188210"/>
                    </a:xfrm>
                    <a:prstGeom prst="rect">
                      <a:avLst/>
                    </a:prstGeom>
                    <a:noFill/>
                    <a:ln>
                      <a:noFill/>
                    </a:ln>
                  </pic:spPr>
                </pic:pic>
              </a:graphicData>
            </a:graphic>
          </wp:inline>
        </w:drawing>
      </w:r>
    </w:p>
    <w:p w14:paraId="1798276A">
      <w:pPr>
        <w:spacing w:line="600" w:lineRule="exact"/>
        <w:ind w:firstLine="640"/>
        <w:rPr>
          <w:rFonts w:hint="eastAsia" w:ascii="仿宋_GB2312" w:hAnsi="仿宋_GB2312" w:eastAsia="仿宋_GB2312" w:cs="仿宋_GB2312"/>
          <w:b/>
          <w:sz w:val="32"/>
          <w:szCs w:val="32"/>
        </w:rPr>
      </w:pPr>
      <w:bookmarkStart w:id="40" w:name="_Toc15377218"/>
      <w:bookmarkStart w:id="41" w:name="_Toc15396610"/>
      <w:r>
        <w:rPr>
          <w:rFonts w:hint="eastAsia" w:ascii="仿宋_GB2312" w:hAnsi="仿宋_GB2312" w:eastAsia="仿宋_GB2312" w:cs="仿宋_GB2312"/>
          <w:b/>
          <w:sz w:val="32"/>
          <w:szCs w:val="32"/>
        </w:rPr>
        <w:t>1.因公出国（境）经费支出0</w:t>
      </w:r>
      <w:r>
        <w:rPr>
          <w:rFonts w:hint="eastAsia" w:ascii="仿宋_GB2312" w:hAnsi="仿宋_GB2312" w:eastAsia="仿宋_GB2312" w:cs="仿宋_GB2312"/>
          <w:sz w:val="32"/>
          <w:szCs w:val="32"/>
        </w:rPr>
        <w:t>万元，</w:t>
      </w:r>
      <w:r>
        <w:rPr>
          <w:rStyle w:val="17"/>
          <w:rFonts w:hint="eastAsia" w:ascii="仿宋_GB2312" w:hAnsi="仿宋_GB2312" w:eastAsia="仿宋_GB2312" w:cs="仿宋_GB2312"/>
          <w:b w:val="0"/>
          <w:bCs/>
          <w:sz w:val="32"/>
          <w:szCs w:val="32"/>
        </w:rPr>
        <w:t>完成预算</w:t>
      </w:r>
      <w:r>
        <w:rPr>
          <w:rStyle w:val="17"/>
          <w:rFonts w:hint="eastAsia" w:ascii="仿宋_GB2312" w:hAnsi="仿宋_GB2312" w:eastAsia="仿宋_GB2312" w:cs="仿宋_GB2312"/>
          <w:bCs/>
          <w:sz w:val="32"/>
          <w:szCs w:val="32"/>
        </w:rPr>
        <w:t>0</w:t>
      </w:r>
      <w:r>
        <w:rPr>
          <w:rStyle w:val="17"/>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全年安排因公出国（境）团组</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次，出国（境）</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人。因公出国（境）支出决算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eastAsia="zh-CN"/>
        </w:rPr>
        <w:t>一样为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p>
    <w:p w14:paraId="7332C0EF">
      <w:pPr>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2.公务用车购置及运行维护费支出0</w:t>
      </w:r>
      <w:r>
        <w:rPr>
          <w:rFonts w:hint="eastAsia" w:ascii="仿宋_GB2312" w:hAnsi="仿宋_GB2312" w:eastAsia="仿宋_GB2312" w:cs="仿宋_GB2312"/>
          <w:sz w:val="32"/>
          <w:szCs w:val="32"/>
        </w:rPr>
        <w:t>万元,</w:t>
      </w:r>
      <w:r>
        <w:rPr>
          <w:rStyle w:val="17"/>
          <w:rFonts w:hint="eastAsia" w:ascii="仿宋_GB2312" w:hAnsi="仿宋_GB2312" w:eastAsia="仿宋_GB2312" w:cs="仿宋_GB2312"/>
          <w:b w:val="0"/>
          <w:bCs/>
          <w:sz w:val="32"/>
          <w:szCs w:val="32"/>
        </w:rPr>
        <w:t>完成预算</w:t>
      </w:r>
      <w:r>
        <w:rPr>
          <w:rStyle w:val="17"/>
          <w:rFonts w:hint="eastAsia" w:ascii="仿宋_GB2312" w:hAnsi="仿宋_GB2312" w:eastAsia="仿宋_GB2312" w:cs="仿宋_GB2312"/>
          <w:bCs/>
          <w:sz w:val="32"/>
          <w:szCs w:val="32"/>
        </w:rPr>
        <w:t>0</w:t>
      </w:r>
      <w:r>
        <w:rPr>
          <w:rStyle w:val="17"/>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rPr>
        <w:t>公务用车购置及运行维护费支出决算</w:t>
      </w:r>
      <w:r>
        <w:rPr>
          <w:rFonts w:hint="eastAsia" w:ascii="仿宋_GB2312" w:hAnsi="仿宋_GB2312" w:eastAsia="仿宋_GB2312" w:cs="仿宋_GB2312"/>
          <w:sz w:val="32"/>
          <w:szCs w:val="32"/>
          <w:lang w:val="en-US" w:eastAsia="zh-CN"/>
        </w:rPr>
        <w:t>与2022年一样为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lang w:val="en-US" w:eastAsia="zh-CN"/>
        </w:rPr>
        <w:t>万元。</w:t>
      </w:r>
    </w:p>
    <w:p w14:paraId="2946B5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公务用车购置支出0</w:t>
      </w:r>
      <w:r>
        <w:rPr>
          <w:rFonts w:hint="eastAsia" w:ascii="仿宋_GB2312" w:hAnsi="仿宋_GB2312" w:eastAsia="仿宋_GB2312" w:cs="仿宋_GB2312"/>
          <w:sz w:val="32"/>
          <w:szCs w:val="32"/>
        </w:rPr>
        <w:t>万元。全年按规定更新购置公务用车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万元，越野车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万元，载客汽车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辆、金额</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万元。截至2023年12月31日，单位共有公务用车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辆，其中：轿车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辆、载客汽车</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辆。</w:t>
      </w:r>
    </w:p>
    <w:p w14:paraId="7D7E8F60">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公务用车运行维护费支出0</w:t>
      </w:r>
      <w:r>
        <w:rPr>
          <w:rFonts w:hint="eastAsia" w:ascii="仿宋_GB2312" w:hAnsi="仿宋_GB2312" w:eastAsia="仿宋_GB2312" w:cs="仿宋_GB2312"/>
          <w:sz w:val="32"/>
          <w:szCs w:val="32"/>
        </w:rPr>
        <w:t>万元。</w:t>
      </w:r>
    </w:p>
    <w:p w14:paraId="49676CDC">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3.公务接待费支出0.2</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万元，</w:t>
      </w:r>
      <w:r>
        <w:rPr>
          <w:rStyle w:val="17"/>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公务接待费支出决算比2022年度增加</w:t>
      </w:r>
      <w:r>
        <w:rPr>
          <w:rFonts w:hint="eastAsia" w:ascii="仿宋_GB2312" w:hAnsi="仿宋_GB2312" w:eastAsia="仿宋_GB2312" w:cs="仿宋_GB2312"/>
          <w:b/>
          <w:bCs/>
          <w:sz w:val="32"/>
          <w:szCs w:val="32"/>
          <w:lang w:val="en-US" w:eastAsia="zh-CN"/>
        </w:rPr>
        <w:t>0.20</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。主要原因是2022年度</w:t>
      </w:r>
      <w:r>
        <w:rPr>
          <w:rFonts w:hint="eastAsia" w:ascii="仿宋_GB2312" w:hAnsi="仿宋_GB2312" w:eastAsia="仿宋_GB2312" w:cs="仿宋_GB2312"/>
          <w:sz w:val="32"/>
          <w:szCs w:val="32"/>
          <w:lang w:eastAsia="zh-CN"/>
        </w:rPr>
        <w:t>公务接待费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b/>
          <w:bCs/>
          <w:sz w:val="32"/>
          <w:szCs w:val="32"/>
        </w:rPr>
        <w:t>0</w:t>
      </w:r>
      <w:r>
        <w:rPr>
          <w:rFonts w:hint="eastAsia" w:ascii="仿宋_GB2312" w:hAnsi="仿宋_GB2312" w:eastAsia="仿宋_GB2312" w:cs="仿宋_GB2312"/>
          <w:sz w:val="32"/>
          <w:szCs w:val="32"/>
        </w:rPr>
        <w:t>万元。其中：</w:t>
      </w:r>
    </w:p>
    <w:p w14:paraId="5502680C">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国内公务接待支出0.2</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sz w:val="32"/>
          <w:szCs w:val="32"/>
        </w:rPr>
        <w:t>万元，主要用于执行公务、开展业务活动开支的用餐费。国内公务接待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人次，共计支出</w:t>
      </w:r>
      <w:r>
        <w:rPr>
          <w:rFonts w:hint="eastAsia" w:ascii="仿宋_GB2312" w:hAnsi="仿宋_GB2312" w:eastAsia="仿宋_GB2312" w:cs="仿宋_GB2312"/>
          <w:b/>
          <w:bCs/>
          <w:sz w:val="32"/>
          <w:szCs w:val="32"/>
          <w:lang w:val="en-US" w:eastAsia="zh-CN"/>
        </w:rPr>
        <w:t>0.20</w:t>
      </w:r>
      <w:r>
        <w:rPr>
          <w:rFonts w:hint="eastAsia" w:ascii="仿宋_GB2312" w:hAnsi="仿宋_GB2312" w:eastAsia="仿宋_GB2312" w:cs="仿宋_GB2312"/>
          <w:sz w:val="32"/>
          <w:szCs w:val="32"/>
        </w:rPr>
        <w:t>万元，具体内容包括：</w:t>
      </w:r>
      <w:r>
        <w:rPr>
          <w:rFonts w:hint="eastAsia" w:ascii="仿宋_GB2312" w:hAnsi="仿宋_GB2312" w:eastAsia="仿宋_GB2312" w:cs="仿宋_GB2312"/>
          <w:sz w:val="32"/>
          <w:szCs w:val="32"/>
          <w:lang w:eastAsia="zh-CN"/>
        </w:rPr>
        <w:t>代表之家调研视察工作支出</w:t>
      </w:r>
      <w:r>
        <w:rPr>
          <w:rFonts w:hint="eastAsia" w:ascii="仿宋_GB2312" w:hAnsi="仿宋_GB2312" w:eastAsia="仿宋_GB2312" w:cs="仿宋_GB2312"/>
          <w:b/>
          <w:bCs/>
          <w:sz w:val="32"/>
          <w:szCs w:val="32"/>
          <w:lang w:val="en-US" w:eastAsia="zh-CN"/>
        </w:rPr>
        <w:t>0.14</w:t>
      </w:r>
      <w:r>
        <w:rPr>
          <w:rFonts w:hint="eastAsia" w:ascii="仿宋_GB2312" w:hAnsi="仿宋_GB2312" w:eastAsia="仿宋_GB2312" w:cs="仿宋_GB2312"/>
          <w:sz w:val="32"/>
          <w:szCs w:val="32"/>
          <w:lang w:val="en-US" w:eastAsia="zh-CN"/>
        </w:rPr>
        <w:t>万元，学习考察预算联网监督工作支出</w:t>
      </w:r>
      <w:r>
        <w:rPr>
          <w:rFonts w:hint="eastAsia" w:ascii="仿宋_GB2312" w:hAnsi="仿宋_GB2312" w:eastAsia="仿宋_GB2312" w:cs="仿宋_GB2312"/>
          <w:b/>
          <w:bCs/>
          <w:sz w:val="32"/>
          <w:szCs w:val="32"/>
          <w:lang w:val="en-US" w:eastAsia="zh-CN"/>
        </w:rPr>
        <w:t>0.06</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w:t>
      </w:r>
    </w:p>
    <w:p w14:paraId="6F15802F">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外事接待支出0</w:t>
      </w:r>
      <w:r>
        <w:rPr>
          <w:rFonts w:hint="eastAsia" w:ascii="仿宋_GB2312" w:hAnsi="仿宋_GB2312" w:eastAsia="仿宋_GB2312" w:cs="仿宋_GB2312"/>
          <w:sz w:val="32"/>
          <w:szCs w:val="32"/>
        </w:rPr>
        <w:t>万元。外事接待</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人次，共计支</w:t>
      </w:r>
      <w:r>
        <w:rPr>
          <w:rFonts w:hint="eastAsia" w:ascii="仿宋_GB2312" w:hAnsi="仿宋_GB2312" w:eastAsia="仿宋_GB2312" w:cs="仿宋_GB2312"/>
          <w:b/>
          <w:bCs/>
          <w:sz w:val="32"/>
          <w:szCs w:val="32"/>
        </w:rPr>
        <w:t>出</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sz w:val="32"/>
          <w:szCs w:val="32"/>
        </w:rPr>
        <w:t>万元。</w:t>
      </w:r>
    </w:p>
    <w:p w14:paraId="638B626E">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14837272">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2023年度政府性基金预算财政拨款支出</w:t>
      </w:r>
      <w:r>
        <w:rPr>
          <w:rFonts w:hint="eastAsia" w:ascii="仿宋_GB2312" w:hAnsi="仿宋_GB2312" w:eastAsia="仿宋_GB2312" w:cs="仿宋_GB2312"/>
          <w:b/>
          <w:sz w:val="32"/>
          <w:szCs w:val="32"/>
        </w:rPr>
        <w:t>48.53</w:t>
      </w:r>
      <w:r>
        <w:rPr>
          <w:rFonts w:hint="eastAsia" w:ascii="仿宋_GB2312" w:hAnsi="仿宋_GB2312" w:eastAsia="仿宋_GB2312" w:cs="仿宋_GB2312"/>
          <w:sz w:val="32"/>
          <w:szCs w:val="32"/>
        </w:rPr>
        <w:t>万元。</w:t>
      </w:r>
    </w:p>
    <w:p w14:paraId="4A1D7DDF">
      <w:pPr>
        <w:numPr>
          <w:ilvl w:val="0"/>
          <w:numId w:val="2"/>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347440EA">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2023年度国有资本经营预算财政拨款支出0万元。</w:t>
      </w:r>
    </w:p>
    <w:p w14:paraId="1E708017">
      <w:pPr>
        <w:numPr>
          <w:ilvl w:val="0"/>
          <w:numId w:val="2"/>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14:paraId="55D2415B">
      <w:pPr>
        <w:spacing w:line="600" w:lineRule="exact"/>
        <w:ind w:firstLine="643" w:firstLineChars="200"/>
        <w:outlineLvl w:val="2"/>
        <w:rPr>
          <w:rFonts w:hint="eastAsia" w:ascii="方正楷体_GB2312" w:hAnsi="方正楷体_GB2312" w:eastAsia="方正楷体_GB2312" w:cs="方正楷体_GB2312"/>
          <w:sz w:val="32"/>
          <w:szCs w:val="32"/>
        </w:rPr>
      </w:pPr>
      <w:bookmarkStart w:id="46" w:name="_Toc15377222"/>
      <w:r>
        <w:rPr>
          <w:rFonts w:hint="eastAsia" w:ascii="方正楷体_GB2312" w:hAnsi="方正楷体_GB2312" w:eastAsia="方正楷体_GB2312" w:cs="方正楷体_GB2312"/>
          <w:b/>
          <w:sz w:val="32"/>
          <w:szCs w:val="32"/>
        </w:rPr>
        <w:t>（一）机关运行经费支出情况</w:t>
      </w:r>
      <w:bookmarkEnd w:id="46"/>
    </w:p>
    <w:p w14:paraId="0E6D95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b/>
          <w:sz w:val="32"/>
          <w:szCs w:val="32"/>
        </w:rPr>
        <w:t>攀枝花市西区人民代表大会常务委员会办公室</w:t>
      </w:r>
      <w:r>
        <w:rPr>
          <w:rFonts w:hint="eastAsia" w:ascii="仿宋_GB2312" w:hAnsi="仿宋_GB2312" w:eastAsia="仿宋_GB2312" w:cs="仿宋_GB2312"/>
          <w:sz w:val="32"/>
          <w:szCs w:val="32"/>
        </w:rPr>
        <w:t>机关运行经费支出</w:t>
      </w:r>
      <w:r>
        <w:rPr>
          <w:rFonts w:hint="eastAsia" w:ascii="仿宋_GB2312" w:hAnsi="仿宋_GB2312" w:eastAsia="仿宋_GB2312" w:cs="仿宋_GB2312"/>
          <w:b/>
          <w:sz w:val="32"/>
          <w:szCs w:val="32"/>
        </w:rPr>
        <w:t>39.68</w:t>
      </w:r>
      <w:r>
        <w:rPr>
          <w:rFonts w:hint="eastAsia" w:ascii="仿宋_GB2312" w:hAnsi="仿宋_GB2312" w:eastAsia="仿宋_GB2312" w:cs="仿宋_GB2312"/>
          <w:sz w:val="32"/>
          <w:szCs w:val="32"/>
        </w:rPr>
        <w:t>万元，比2022年度增加</w:t>
      </w:r>
      <w:r>
        <w:rPr>
          <w:rFonts w:hint="eastAsia" w:ascii="仿宋_GB2312" w:hAnsi="仿宋_GB2312" w:eastAsia="仿宋_GB2312" w:cs="仿宋_GB2312"/>
          <w:b/>
          <w:bCs/>
          <w:sz w:val="32"/>
          <w:szCs w:val="32"/>
          <w:lang w:val="en-US" w:eastAsia="zh-CN"/>
        </w:rPr>
        <w:t>7.86</w:t>
      </w:r>
      <w:r>
        <w:rPr>
          <w:rFonts w:hint="eastAsia" w:ascii="仿宋_GB2312" w:hAnsi="仿宋_GB2312" w:eastAsia="仿宋_GB2312" w:cs="仿宋_GB2312"/>
          <w:sz w:val="32"/>
          <w:szCs w:val="32"/>
        </w:rPr>
        <w:t>万元，增长</w:t>
      </w:r>
      <w:r>
        <w:rPr>
          <w:rFonts w:hint="eastAsia" w:ascii="仿宋_GB2312" w:hAnsi="仿宋_GB2312" w:eastAsia="仿宋_GB2312" w:cs="仿宋_GB2312"/>
          <w:b/>
          <w:bCs/>
          <w:sz w:val="32"/>
          <w:szCs w:val="32"/>
          <w:lang w:val="en-US" w:eastAsia="zh-CN"/>
        </w:rPr>
        <w:t>24.70</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办公费、差旅费等支出增加</w:t>
      </w:r>
      <w:r>
        <w:rPr>
          <w:rFonts w:hint="eastAsia" w:ascii="仿宋_GB2312" w:hAnsi="仿宋_GB2312" w:eastAsia="仿宋_GB2312" w:cs="仿宋_GB2312"/>
          <w:sz w:val="32"/>
          <w:szCs w:val="32"/>
        </w:rPr>
        <w:t>。</w:t>
      </w:r>
    </w:p>
    <w:p w14:paraId="21DE158C">
      <w:pPr>
        <w:spacing w:line="600" w:lineRule="exact"/>
        <w:ind w:firstLine="643" w:firstLineChars="200"/>
        <w:outlineLvl w:val="2"/>
        <w:rPr>
          <w:rFonts w:hint="eastAsia" w:ascii="方正楷体_GB2312" w:hAnsi="方正楷体_GB2312" w:eastAsia="方正楷体_GB2312" w:cs="方正楷体_GB2312"/>
          <w:b/>
          <w:sz w:val="32"/>
          <w:szCs w:val="32"/>
        </w:rPr>
      </w:pPr>
      <w:bookmarkStart w:id="47" w:name="_Toc15377223"/>
      <w:r>
        <w:rPr>
          <w:rFonts w:hint="eastAsia" w:ascii="方正楷体_GB2312" w:hAnsi="方正楷体_GB2312" w:eastAsia="方正楷体_GB2312" w:cs="方正楷体_GB2312"/>
          <w:b/>
          <w:sz w:val="32"/>
          <w:szCs w:val="32"/>
        </w:rPr>
        <w:t>（二）政府采购支出情况</w:t>
      </w:r>
      <w:bookmarkEnd w:id="47"/>
    </w:p>
    <w:p w14:paraId="68AF81D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b/>
          <w:sz w:val="32"/>
          <w:szCs w:val="32"/>
        </w:rPr>
        <w:t>攀枝花市西区人民代表大会常务委员会办公室</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万元，占政府采购支出总额的0%，其中：授予小微企业合同金额</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w:t>
      </w:r>
    </w:p>
    <w:p w14:paraId="76AD1DC2">
      <w:pPr>
        <w:spacing w:line="600" w:lineRule="exact"/>
        <w:ind w:firstLine="643" w:firstLineChars="200"/>
        <w:outlineLvl w:val="2"/>
        <w:rPr>
          <w:rFonts w:hint="eastAsia" w:ascii="方正楷体_GB2312" w:hAnsi="方正楷体_GB2312" w:eastAsia="方正楷体_GB2312" w:cs="方正楷体_GB2312"/>
          <w:b/>
          <w:sz w:val="32"/>
          <w:szCs w:val="32"/>
        </w:rPr>
      </w:pPr>
      <w:bookmarkStart w:id="48" w:name="_Toc15377224"/>
      <w:r>
        <w:rPr>
          <w:rFonts w:hint="eastAsia" w:ascii="方正楷体_GB2312" w:hAnsi="方正楷体_GB2312" w:eastAsia="方正楷体_GB2312" w:cs="方正楷体_GB2312"/>
          <w:b/>
          <w:sz w:val="32"/>
          <w:szCs w:val="32"/>
        </w:rPr>
        <w:t>（三）国有资产占有使用情况</w:t>
      </w:r>
      <w:bookmarkEnd w:id="48"/>
    </w:p>
    <w:p w14:paraId="65E18B90">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w:t>
      </w:r>
      <w:r>
        <w:rPr>
          <w:rFonts w:hint="eastAsia" w:ascii="仿宋_GB2312" w:hAnsi="仿宋_GB2312" w:eastAsia="仿宋_GB2312" w:cs="仿宋_GB2312"/>
          <w:b/>
          <w:sz w:val="32"/>
          <w:szCs w:val="32"/>
        </w:rPr>
        <w:t>攀枝花市西区人民代表大会常务委员会办公室</w:t>
      </w:r>
      <w:r>
        <w:rPr>
          <w:rFonts w:hint="eastAsia" w:ascii="仿宋_GB2312" w:hAnsi="仿宋_GB2312" w:eastAsia="仿宋_GB2312" w:cs="仿宋_GB2312"/>
          <w:sz w:val="32"/>
          <w:szCs w:val="32"/>
        </w:rPr>
        <w:t>共有车辆</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辆。单价100万元以上设备（不含车辆）</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台（套）。</w:t>
      </w:r>
    </w:p>
    <w:p w14:paraId="434F401B">
      <w:pPr>
        <w:spacing w:line="600" w:lineRule="exact"/>
        <w:ind w:firstLine="643" w:firstLineChars="200"/>
        <w:outlineLvl w:val="2"/>
        <w:rPr>
          <w:rFonts w:hint="eastAsia" w:ascii="方正楷体_GB2312" w:hAnsi="方正楷体_GB2312" w:eastAsia="方正楷体_GB2312" w:cs="方正楷体_GB2312"/>
          <w:b/>
          <w:sz w:val="32"/>
          <w:szCs w:val="32"/>
        </w:rPr>
      </w:pPr>
      <w:r>
        <w:rPr>
          <w:rFonts w:hint="eastAsia" w:ascii="方正楷体_GB2312" w:hAnsi="方正楷体_GB2312" w:eastAsia="方正楷体_GB2312" w:cs="方正楷体_GB2312"/>
          <w:b/>
          <w:sz w:val="32"/>
          <w:szCs w:val="32"/>
        </w:rPr>
        <w:t>（四）预算绩效管理情况</w:t>
      </w:r>
    </w:p>
    <w:p w14:paraId="38017147">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49" w:name="_Toc15396613"/>
      <w:bookmarkStart w:id="50" w:name="_Toc15377225"/>
      <w:r>
        <w:rPr>
          <w:rFonts w:hint="eastAsia" w:ascii="仿宋_GB2312" w:hAnsi="仿宋_GB2312" w:eastAsia="仿宋_GB2312" w:cs="仿宋_GB2312"/>
          <w:sz w:val="32"/>
          <w:szCs w:val="32"/>
        </w:rPr>
        <w:t>根据预算绩效管理要求，本部门在2023年度预算编制阶段</w:t>
      </w:r>
      <w:r>
        <w:rPr>
          <w:rFonts w:hint="eastAsia" w:ascii="仿宋_GB2312" w:hAnsi="仿宋_GB2312" w:eastAsia="仿宋_GB2312" w:cs="仿宋_GB2312"/>
          <w:color w:val="000000" w:themeColor="text1"/>
          <w:sz w:val="32"/>
          <w:szCs w:val="32"/>
          <w14:textFill>
            <w14:solidFill>
              <w14:schemeClr w14:val="tx1"/>
            </w14:solidFill>
          </w14:textFill>
        </w:rPr>
        <w:t>，组织对人大业务经费</w:t>
      </w:r>
      <w:r>
        <w:rPr>
          <w:rFonts w:hint="eastAsia" w:ascii="仿宋_GB2312" w:hAnsi="仿宋_GB2312" w:eastAsia="仿宋_GB2312" w:cs="仿宋_GB2312"/>
          <w:color w:val="000000" w:themeColor="text1"/>
          <w:sz w:val="32"/>
          <w:szCs w:val="32"/>
          <w:lang w:eastAsia="zh-CN"/>
          <w14:textFill>
            <w14:solidFill>
              <w14:schemeClr w14:val="tx1"/>
            </w14:solidFill>
          </w14:textFill>
        </w:rPr>
        <w:t>、人代会会议经费、市人大代表履职活动经费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个项目开展了预算事前绩效评估，对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个项目编制了绩效目标，预算执行过程中，选取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个项目开展绩效监控。绩效自评表详见第四部分附件。</w:t>
      </w:r>
    </w:p>
    <w:p w14:paraId="2C08998F">
      <w:pPr>
        <w:pStyle w:val="2"/>
        <w:rPr>
          <w:rFonts w:hint="eastAsia" w:ascii="仿宋_GB2312" w:hAnsi="Times New Roman" w:eastAsia="仿宋_GB2312"/>
          <w:color w:val="000000" w:themeColor="text1"/>
          <w:sz w:val="32"/>
          <w:szCs w:val="32"/>
          <w14:textFill>
            <w14:solidFill>
              <w14:schemeClr w14:val="tx1"/>
            </w14:solidFill>
          </w14:textFill>
        </w:rPr>
      </w:pPr>
    </w:p>
    <w:p w14:paraId="097F7F43">
      <w:pPr>
        <w:pStyle w:val="2"/>
        <w:rPr>
          <w:rFonts w:hint="eastAsia" w:ascii="仿宋_GB2312" w:hAnsi="Times New Roman" w:eastAsia="仿宋_GB2312"/>
          <w:color w:val="000000" w:themeColor="text1"/>
          <w:sz w:val="32"/>
          <w:szCs w:val="32"/>
          <w14:textFill>
            <w14:solidFill>
              <w14:schemeClr w14:val="tx1"/>
            </w14:solidFill>
          </w14:textFill>
        </w:rPr>
      </w:pPr>
    </w:p>
    <w:p w14:paraId="3B271939">
      <w:pPr>
        <w:pStyle w:val="2"/>
        <w:rPr>
          <w:rFonts w:hint="eastAsia" w:ascii="仿宋_GB2312" w:hAnsi="Times New Roman" w:eastAsia="仿宋_GB2312"/>
          <w:color w:val="000000" w:themeColor="text1"/>
          <w:sz w:val="32"/>
          <w:szCs w:val="32"/>
          <w14:textFill>
            <w14:solidFill>
              <w14:schemeClr w14:val="tx1"/>
            </w14:solidFill>
          </w14:textFill>
        </w:rPr>
      </w:pPr>
    </w:p>
    <w:p w14:paraId="430C5ACF">
      <w:pPr>
        <w:numPr>
          <w:ilvl w:val="0"/>
          <w:numId w:val="3"/>
        </w:numPr>
        <w:spacing w:line="600" w:lineRule="exact"/>
        <w:ind w:firstLine="660" w:firstLineChars="150"/>
        <w:jc w:val="center"/>
        <w:outlineLvl w:val="0"/>
        <w:rPr>
          <w:rStyle w:val="28"/>
          <w:rFonts w:ascii="黑体" w:hAnsi="黑体" w:eastAsia="黑体"/>
          <w:b w:val="0"/>
        </w:rPr>
      </w:pPr>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416AE6DF">
      <w:pPr>
        <w:spacing w:line="600" w:lineRule="exact"/>
        <w:jc w:val="left"/>
        <w:rPr>
          <w:rFonts w:ascii="宋体"/>
          <w:b/>
          <w:sz w:val="44"/>
          <w:szCs w:val="44"/>
        </w:rPr>
      </w:pPr>
    </w:p>
    <w:p w14:paraId="6181C513">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14:paraId="5B15502A">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2.事业收入：指事业单位开展专业业务活动及辅助活动取得的收入。</w:t>
      </w:r>
    </w:p>
    <w:p w14:paraId="5BE1C2E6">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.其他收入：指单位取得的除上述收入以外的各项收入。主要是</w:t>
      </w:r>
      <w:r>
        <w:rPr>
          <w:rFonts w:hint="eastAsia" w:ascii="仿宋_GB2312" w:hAnsi="仿宋_GB2312" w:eastAsia="仿宋_GB2312" w:cs="仿宋_GB2312"/>
          <w:color w:val="auto"/>
          <w:sz w:val="32"/>
          <w:szCs w:val="32"/>
          <w:lang w:eastAsia="zh-CN"/>
        </w:rPr>
        <w:t>银行存款利息</w:t>
      </w:r>
      <w:r>
        <w:rPr>
          <w:rFonts w:hint="eastAsia" w:ascii="仿宋_GB2312" w:hAnsi="仿宋_GB2312" w:eastAsia="仿宋_GB2312" w:cs="仿宋_GB2312"/>
          <w:color w:val="auto"/>
          <w:sz w:val="32"/>
          <w:szCs w:val="32"/>
        </w:rPr>
        <w:t xml:space="preserve">。 </w:t>
      </w:r>
    </w:p>
    <w:p w14:paraId="7C4766F2">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使用非财政拨款结余（含专用结余）</w:t>
      </w:r>
      <w:r>
        <w:rPr>
          <w:rFonts w:hint="eastAsia" w:ascii="仿宋_GB2312" w:hAnsi="仿宋_GB2312" w:eastAsia="仿宋_GB2312" w:cs="仿宋_GB2312"/>
          <w:color w:val="auto"/>
          <w:sz w:val="32"/>
          <w:szCs w:val="32"/>
        </w:rPr>
        <w:t xml:space="preserve">：指事业单位使用以前年度积累的非财政拨款结余弥补当年收支差额的金额。 </w:t>
      </w:r>
    </w:p>
    <w:p w14:paraId="1DA2331F">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.年初结转和结余：指以前年度尚未完成、结转到本年按有关规定继续使用的资金。 </w:t>
      </w:r>
    </w:p>
    <w:p w14:paraId="16ABB615">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.结余分配：指事业单位按照会计制度规定缴纳的所得税、提取的专用结余以及转入非财政拨款结余的金额等。</w:t>
      </w:r>
    </w:p>
    <w:p w14:paraId="3E7EA405">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.年末结转和结余：指单位按有关规定结转到下年或以后年度继续使用的资金。</w:t>
      </w:r>
    </w:p>
    <w:p w14:paraId="27E03642">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一般公共服务支出（类）人大事务（款）行政运行（项）：反映行政单位（包括实行公务员管理的事业单位）的基本支出；代表工作（项）：反映人大代表开展各类视察等方面的支出；事业运行（项）：反映事业单位的基本支出，不包括行政单位（包括实行公务员管理的事业单位）后勤服务中心、医务室等附属事业单位。</w:t>
      </w:r>
    </w:p>
    <w:p w14:paraId="724F600D">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14:paraId="45224397">
      <w:pPr>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r>
        <w:rPr>
          <w:rFonts w:hint="eastAsia" w:ascii="仿宋_GB2312" w:hAnsi="仿宋_GB2312" w:eastAsia="仿宋_GB2312" w:cs="仿宋_GB2312"/>
          <w:color w:val="000000"/>
          <w:sz w:val="32"/>
          <w:szCs w:val="32"/>
          <w:lang w:eastAsia="zh-CN"/>
        </w:rPr>
        <w:t>；其他行政事业单位医疗支出</w:t>
      </w:r>
      <w:r>
        <w:rPr>
          <w:rFonts w:hint="eastAsia" w:ascii="仿宋_GB2312" w:hAnsi="仿宋_GB2312" w:eastAsia="仿宋_GB2312" w:cs="仿宋_GB2312"/>
          <w:color w:val="000000"/>
          <w:sz w:val="32"/>
          <w:szCs w:val="32"/>
        </w:rPr>
        <w:t>（项）：反映</w:t>
      </w:r>
      <w:r>
        <w:rPr>
          <w:rFonts w:hint="eastAsia" w:ascii="仿宋_GB2312" w:hAnsi="仿宋_GB2312" w:eastAsia="仿宋_GB2312" w:cs="仿宋_GB2312"/>
          <w:color w:val="000000"/>
          <w:sz w:val="32"/>
          <w:szCs w:val="32"/>
          <w:lang w:eastAsia="zh-CN"/>
        </w:rPr>
        <w:t>除上述项目以外其他用于行政事业单位医疗方面的支出。</w:t>
      </w:r>
    </w:p>
    <w:p w14:paraId="4E9197C4">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.城乡社区支出（类）国有土地使用权出让收入及对应专项债务收入安排的支出（款）土地开发支出（项）：反映新疆生产建设兵团和地方政府用于前期土地开发性支出以及与前期土地开发相关的费用等支出。</w:t>
      </w:r>
    </w:p>
    <w:p w14:paraId="232A39DB">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5EBD60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.基本支出：指为保障机构正常运转、完成日常工作任务而发生的人员支出和公用支出。</w:t>
      </w:r>
    </w:p>
    <w:p w14:paraId="1944E9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14:paraId="32F72301">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95DD536">
      <w:pPr>
        <w:pStyle w:val="2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0AF368">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101CEA8E">
      <w:pPr>
        <w:spacing w:line="572" w:lineRule="exact"/>
        <w:jc w:val="left"/>
        <w:outlineLvl w:val="0"/>
        <w:rPr>
          <w:rFonts w:ascii="仿宋_GB2312" w:hAnsi="仿宋_GB2312" w:eastAsia="仿宋_GB2312" w:cs="仿宋_GB2312"/>
          <w:sz w:val="32"/>
          <w:szCs w:val="32"/>
        </w:rPr>
      </w:pPr>
    </w:p>
    <w:p w14:paraId="5BF8E1EC">
      <w:pPr>
        <w:jc w:val="center"/>
        <w:rPr>
          <w:rFonts w:hint="eastAsia" w:ascii="方正仿宋_GBK" w:hAnsi="方正仿宋_GBK" w:eastAsia="方正仿宋_GBK" w:cs="方正仿宋_GBK"/>
          <w:sz w:val="32"/>
          <w:szCs w:val="32"/>
        </w:rPr>
      </w:pPr>
      <w:bookmarkStart w:id="53" w:name="_Toc15396618"/>
      <w:r>
        <w:rPr>
          <w:rFonts w:hint="eastAsia" w:ascii="方正仿宋_GBK" w:hAnsi="方正仿宋_GBK" w:eastAsia="方正仿宋_GBK" w:cs="方正仿宋_GBK"/>
          <w:sz w:val="32"/>
          <w:szCs w:val="32"/>
        </w:rPr>
        <w:t>部门预算项目支出绩效自评表（2023年度）（见附件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p>
    <w:p w14:paraId="40C22414">
      <w:pPr>
        <w:pStyle w:val="2"/>
        <w:spacing w:before="93"/>
        <w:rPr>
          <w:rFonts w:hAnsi="Calibri" w:cs="仿宋"/>
          <w:sz w:val="32"/>
          <w:szCs w:val="32"/>
        </w:rPr>
      </w:pPr>
    </w:p>
    <w:p w14:paraId="32B3A930">
      <w:pPr>
        <w:pStyle w:val="2"/>
        <w:spacing w:before="93"/>
        <w:rPr>
          <w:rFonts w:hAnsi="Calibri" w:cs="仿宋"/>
          <w:sz w:val="32"/>
          <w:szCs w:val="32"/>
        </w:rPr>
      </w:pPr>
    </w:p>
    <w:p w14:paraId="567EE4E6">
      <w:pPr>
        <w:pStyle w:val="2"/>
        <w:spacing w:before="93"/>
        <w:rPr>
          <w:rFonts w:hAnsi="Calibri" w:cs="仿宋"/>
          <w:sz w:val="32"/>
          <w:szCs w:val="32"/>
        </w:rPr>
      </w:pPr>
    </w:p>
    <w:p w14:paraId="7B26D7AF">
      <w:pPr>
        <w:pStyle w:val="2"/>
        <w:spacing w:before="93"/>
        <w:rPr>
          <w:rFonts w:hAnsi="Calibri" w:cs="仿宋"/>
          <w:sz w:val="32"/>
          <w:szCs w:val="32"/>
        </w:rPr>
      </w:pPr>
    </w:p>
    <w:p w14:paraId="4B641C08">
      <w:pPr>
        <w:pStyle w:val="2"/>
        <w:spacing w:before="93"/>
        <w:rPr>
          <w:rFonts w:hAnsi="Calibri" w:cs="仿宋"/>
          <w:sz w:val="32"/>
          <w:szCs w:val="32"/>
        </w:rPr>
      </w:pPr>
    </w:p>
    <w:p w14:paraId="1533F143">
      <w:pPr>
        <w:pStyle w:val="2"/>
        <w:spacing w:before="93"/>
        <w:rPr>
          <w:rFonts w:hAnsi="Calibri" w:cs="仿宋"/>
          <w:sz w:val="32"/>
          <w:szCs w:val="32"/>
        </w:rPr>
      </w:pPr>
    </w:p>
    <w:p w14:paraId="5A83C1E5">
      <w:pPr>
        <w:pStyle w:val="2"/>
        <w:spacing w:before="93"/>
        <w:rPr>
          <w:rFonts w:hAnsi="Calibri" w:cs="仿宋"/>
          <w:sz w:val="32"/>
          <w:szCs w:val="32"/>
        </w:rPr>
      </w:pPr>
    </w:p>
    <w:p w14:paraId="2073F79F">
      <w:pPr>
        <w:pStyle w:val="2"/>
        <w:spacing w:before="93"/>
        <w:rPr>
          <w:rFonts w:hAnsi="Calibri" w:cs="仿宋"/>
          <w:sz w:val="32"/>
          <w:szCs w:val="32"/>
        </w:rPr>
      </w:pPr>
    </w:p>
    <w:p w14:paraId="54183B03">
      <w:pPr>
        <w:pStyle w:val="2"/>
        <w:spacing w:before="93"/>
        <w:rPr>
          <w:rFonts w:hAnsi="Calibri" w:cs="仿宋"/>
          <w:sz w:val="32"/>
          <w:szCs w:val="32"/>
        </w:rPr>
      </w:pPr>
    </w:p>
    <w:p w14:paraId="552A621A">
      <w:pPr>
        <w:pStyle w:val="2"/>
        <w:spacing w:before="93"/>
        <w:rPr>
          <w:rFonts w:hAnsi="Calibri" w:cs="仿宋"/>
          <w:sz w:val="32"/>
          <w:szCs w:val="32"/>
        </w:rPr>
      </w:pPr>
    </w:p>
    <w:p w14:paraId="7071495C">
      <w:pPr>
        <w:pStyle w:val="2"/>
        <w:spacing w:before="93"/>
        <w:rPr>
          <w:rFonts w:hAnsi="Calibri" w:cs="仿宋"/>
          <w:sz w:val="32"/>
          <w:szCs w:val="32"/>
        </w:rPr>
      </w:pPr>
    </w:p>
    <w:p w14:paraId="2BE094F3">
      <w:pPr>
        <w:pStyle w:val="2"/>
        <w:spacing w:before="93"/>
        <w:rPr>
          <w:rFonts w:hAnsi="Calibri" w:cs="仿宋"/>
          <w:sz w:val="32"/>
          <w:szCs w:val="32"/>
        </w:rPr>
      </w:pPr>
    </w:p>
    <w:p w14:paraId="478F4506">
      <w:pPr>
        <w:pStyle w:val="2"/>
        <w:spacing w:before="93"/>
        <w:rPr>
          <w:rFonts w:hAnsi="Calibri" w:cs="仿宋"/>
          <w:sz w:val="32"/>
          <w:szCs w:val="32"/>
        </w:rPr>
      </w:pPr>
    </w:p>
    <w:p w14:paraId="5487130D">
      <w:pPr>
        <w:pStyle w:val="2"/>
        <w:spacing w:before="93"/>
        <w:rPr>
          <w:rFonts w:hAnsi="Calibri" w:cs="仿宋"/>
          <w:sz w:val="32"/>
          <w:szCs w:val="32"/>
        </w:rPr>
      </w:pPr>
    </w:p>
    <w:p w14:paraId="40E8E628">
      <w:pPr>
        <w:pStyle w:val="2"/>
        <w:spacing w:before="93"/>
        <w:rPr>
          <w:rFonts w:hAnsi="Calibri" w:cs="仿宋"/>
          <w:sz w:val="32"/>
          <w:szCs w:val="32"/>
        </w:rPr>
      </w:pPr>
    </w:p>
    <w:p w14:paraId="70525421">
      <w:pPr>
        <w:pStyle w:val="2"/>
        <w:spacing w:before="93"/>
        <w:rPr>
          <w:rFonts w:hAnsi="Calibri" w:cs="仿宋"/>
          <w:sz w:val="32"/>
          <w:szCs w:val="32"/>
        </w:rPr>
      </w:pPr>
    </w:p>
    <w:p w14:paraId="0E66203C">
      <w:pPr>
        <w:pStyle w:val="2"/>
        <w:spacing w:before="93"/>
        <w:rPr>
          <w:rFonts w:hAnsi="Calibri" w:cs="仿宋"/>
          <w:sz w:val="32"/>
          <w:szCs w:val="32"/>
        </w:rPr>
      </w:pPr>
    </w:p>
    <w:p w14:paraId="246750B5">
      <w:pPr>
        <w:spacing w:line="600" w:lineRule="exact"/>
        <w:jc w:val="center"/>
        <w:outlineLvl w:val="0"/>
        <w:rPr>
          <w:rFonts w:ascii="仿宋" w:hAnsi="仿宋" w:eastAsia="仿宋"/>
          <w:sz w:val="44"/>
          <w:szCs w:val="44"/>
        </w:rPr>
      </w:pPr>
      <w:r>
        <w:rPr>
          <w:rFonts w:hint="eastAsia" w:ascii="黑体" w:hAnsi="黑体" w:eastAsia="黑体"/>
          <w:sz w:val="44"/>
          <w:szCs w:val="44"/>
        </w:rPr>
        <w:t>第</w:t>
      </w:r>
      <w:r>
        <w:rPr>
          <w:rStyle w:val="28"/>
          <w:rFonts w:hint="eastAsia" w:ascii="黑体" w:hAnsi="黑体" w:eastAsia="黑体"/>
          <w:b w:val="0"/>
          <w:sz w:val="44"/>
          <w:szCs w:val="44"/>
        </w:rPr>
        <w:t>五部分 附表</w:t>
      </w:r>
      <w:bookmarkEnd w:id="51"/>
      <w:bookmarkEnd w:id="53"/>
      <w:bookmarkStart w:id="54" w:name="_Toc15396619"/>
    </w:p>
    <w:p w14:paraId="66CB83FB">
      <w:pPr>
        <w:pStyle w:val="4"/>
        <w:rPr>
          <w:rFonts w:hint="eastAsia" w:ascii="仿宋_GB2312" w:hAnsi="仿宋_GB2312" w:eastAsia="仿宋_GB2312" w:cs="仿宋_GB2312"/>
        </w:rPr>
      </w:pPr>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54"/>
    </w:p>
    <w:p w14:paraId="1B3A9585">
      <w:pPr>
        <w:pStyle w:val="4"/>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55"/>
    </w:p>
    <w:p w14:paraId="686DD8B6">
      <w:pPr>
        <w:pStyle w:val="4"/>
        <w:rPr>
          <w:rFonts w:hint="eastAsia" w:ascii="仿宋_GB2312" w:hAnsi="仿宋_GB2312" w:eastAsia="仿宋_GB2312" w:cs="仿宋_GB2312"/>
        </w:rPr>
      </w:pPr>
      <w:bookmarkStart w:id="56" w:name="_Toc15396621"/>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56"/>
    </w:p>
    <w:p w14:paraId="3F3FE000">
      <w:pPr>
        <w:pStyle w:val="4"/>
        <w:rPr>
          <w:rFonts w:hint="eastAsia" w:ascii="仿宋_GB2312" w:hAnsi="仿宋_GB2312" w:eastAsia="仿宋_GB2312" w:cs="仿宋_GB2312"/>
          <w:b w:val="0"/>
        </w:rPr>
      </w:pPr>
      <w:bookmarkStart w:id="57" w:name="_Toc15396622"/>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57"/>
    </w:p>
    <w:p w14:paraId="256F702E">
      <w:pPr>
        <w:pStyle w:val="4"/>
        <w:rPr>
          <w:rStyle w:val="29"/>
          <w:rFonts w:hint="eastAsia" w:ascii="仿宋_GB2312" w:hAnsi="仿宋_GB2312" w:eastAsia="仿宋_GB2312" w:cs="仿宋_GB2312"/>
          <w:b w:val="0"/>
          <w:bCs w:val="0"/>
        </w:rPr>
      </w:pPr>
      <w:bookmarkStart w:id="58" w:name="_Toc15396623"/>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58"/>
      <w:bookmarkStart w:id="59" w:name="_Toc15396624"/>
    </w:p>
    <w:p w14:paraId="55AAE5A0">
      <w:pPr>
        <w:pStyle w:val="4"/>
        <w:rPr>
          <w:rFonts w:hint="eastAsia" w:ascii="仿宋_GB2312" w:hAnsi="仿宋_GB2312" w:eastAsia="仿宋_GB2312" w:cs="仿宋_GB2312"/>
        </w:rPr>
      </w:pPr>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59"/>
    </w:p>
    <w:p w14:paraId="7C4B1AA9">
      <w:pPr>
        <w:pStyle w:val="4"/>
        <w:rPr>
          <w:rFonts w:hint="eastAsia" w:ascii="仿宋_GB2312" w:hAnsi="仿宋_GB2312" w:eastAsia="仿宋_GB2312" w:cs="仿宋_GB2312"/>
        </w:rPr>
      </w:pPr>
      <w:bookmarkStart w:id="60" w:name="_Toc15396625"/>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60"/>
    </w:p>
    <w:p w14:paraId="123301CB">
      <w:pPr>
        <w:pStyle w:val="4"/>
        <w:rPr>
          <w:rFonts w:hint="eastAsia" w:ascii="仿宋_GB2312" w:hAnsi="仿宋_GB2312" w:eastAsia="仿宋_GB2312" w:cs="仿宋_GB2312"/>
        </w:rPr>
      </w:pPr>
      <w:bookmarkStart w:id="61" w:name="_Toc15396626"/>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般公共预算财政拨款基本支出决算表</w:t>
      </w:r>
      <w:bookmarkEnd w:id="61"/>
    </w:p>
    <w:p w14:paraId="35165B51">
      <w:pPr>
        <w:pStyle w:val="4"/>
        <w:rPr>
          <w:rFonts w:hint="eastAsia" w:ascii="仿宋_GB2312" w:hAnsi="仿宋_GB2312" w:eastAsia="仿宋_GB2312" w:cs="仿宋_GB2312"/>
        </w:rPr>
      </w:pPr>
      <w:bookmarkStart w:id="62" w:name="_Toc15396627"/>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62"/>
    </w:p>
    <w:p w14:paraId="55D1D242">
      <w:pPr>
        <w:pStyle w:val="4"/>
        <w:rPr>
          <w:rFonts w:hint="eastAsia" w:ascii="仿宋_GB2312" w:hAnsi="仿宋_GB2312" w:eastAsia="仿宋_GB2312" w:cs="仿宋_GB2312"/>
        </w:rPr>
      </w:pPr>
      <w:bookmarkStart w:id="63" w:name="_Toc15396628"/>
      <w:r>
        <w:rPr>
          <w:rStyle w:val="29"/>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p>
    <w:p w14:paraId="27E12D1A">
      <w:pPr>
        <w:pStyle w:val="4"/>
        <w:rPr>
          <w:rFonts w:hint="eastAsia" w:ascii="仿宋_GB2312" w:hAnsi="仿宋_GB2312" w:eastAsia="仿宋_GB2312" w:cs="仿宋_GB2312"/>
        </w:rPr>
      </w:pPr>
      <w:bookmarkStart w:id="64" w:name="_Toc15396629"/>
      <w:r>
        <w:rPr>
          <w:rStyle w:val="29"/>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p>
    <w:p w14:paraId="6B88AD3C">
      <w:pPr>
        <w:pStyle w:val="4"/>
        <w:rPr>
          <w:rFonts w:hint="eastAsia" w:ascii="仿宋_GB2312" w:hAnsi="仿宋_GB2312" w:eastAsia="仿宋_GB2312" w:cs="仿宋_GB2312"/>
        </w:rPr>
      </w:pPr>
      <w:bookmarkStart w:id="65" w:name="_Toc15396630"/>
      <w:r>
        <w:rPr>
          <w:rStyle w:val="29"/>
          <w:rFonts w:hint="eastAsia" w:ascii="仿宋_GB2312" w:hAnsi="仿宋_GB2312" w:eastAsia="仿宋_GB2312" w:cs="仿宋_GB2312"/>
          <w:b w:val="0"/>
          <w:bCs w:val="0"/>
        </w:rPr>
        <w:t>十二、</w:t>
      </w:r>
      <w:bookmarkEnd w:id="65"/>
      <w:r>
        <w:rPr>
          <w:rStyle w:val="29"/>
          <w:rFonts w:hint="eastAsia" w:ascii="仿宋_GB2312" w:hAnsi="仿宋_GB2312" w:eastAsia="仿宋_GB2312" w:cs="仿宋_GB2312"/>
          <w:b w:val="0"/>
          <w:bCs w:val="0"/>
        </w:rPr>
        <w:t>国有资本经营预算财政拨款支出决算表</w:t>
      </w:r>
    </w:p>
    <w:p w14:paraId="14BCF8FA">
      <w:pPr>
        <w:pStyle w:val="4"/>
        <w:rPr>
          <w:rFonts w:hint="eastAsia" w:ascii="仿宋_GB2312" w:hAnsi="仿宋_GB2312" w:eastAsia="仿宋_GB2312" w:cs="仿宋_GB2312"/>
        </w:rPr>
      </w:pPr>
      <w:bookmarkStart w:id="66" w:name="_Toc15396631"/>
      <w:r>
        <w:rPr>
          <w:rStyle w:val="29"/>
          <w:rFonts w:hint="eastAsia" w:ascii="仿宋_GB2312" w:hAnsi="仿宋_GB2312" w:eastAsia="仿宋_GB2312" w:cs="仿宋_GB2312"/>
          <w:b w:val="0"/>
          <w:bCs w:val="0"/>
        </w:rPr>
        <w:t>十三、</w:t>
      </w:r>
      <w:bookmarkEnd w:id="66"/>
      <w:r>
        <w:rPr>
          <w:rStyle w:val="29"/>
          <w:rFonts w:hint="eastAsia" w:ascii="仿宋_GB2312" w:hAnsi="仿宋_GB2312" w:eastAsia="仿宋_GB2312" w:cs="仿宋_GB2312"/>
          <w:b w:val="0"/>
          <w:bCs w:val="0"/>
        </w:rPr>
        <w:t>财政拨款“三公”经费支出决算表</w:t>
      </w:r>
    </w:p>
    <w:sectPr>
      <w:headerReference r:id="rId4" w:type="first"/>
      <w:footerReference r:id="rId6" w:type="first"/>
      <w:headerReference r:id="rId3" w:type="default"/>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3ED60E-4E0E-4CD4-8C69-0F449F2257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662D36-BBFA-4C1F-BE3B-6A0BD23D3A63}"/>
  </w:font>
  <w:font w:name="Cambria">
    <w:panose1 w:val="02040503050406030204"/>
    <w:charset w:val="00"/>
    <w:family w:val="roman"/>
    <w:pitch w:val="default"/>
    <w:sig w:usb0="E00006FF" w:usb1="420024FF" w:usb2="02000000" w:usb3="00000000" w:csb0="2000019F" w:csb1="00000000"/>
    <w:embedRegular r:id="rId3" w:fontKey="{7EAC12B0-CED9-4A62-A5DF-C35B8EF3B341}"/>
  </w:font>
  <w:font w:name="仿宋_GB2312">
    <w:panose1 w:val="02010609030101010101"/>
    <w:charset w:val="86"/>
    <w:family w:val="auto"/>
    <w:pitch w:val="default"/>
    <w:sig w:usb0="00000001" w:usb1="080E0000" w:usb2="00000000" w:usb3="00000000" w:csb0="00040000" w:csb1="00000000"/>
    <w:embedRegular r:id="rId4" w:fontKey="{54861198-159E-4EE4-931A-7719816E6B25}"/>
  </w:font>
  <w:font w:name="仿宋">
    <w:panose1 w:val="02010609060101010101"/>
    <w:charset w:val="86"/>
    <w:family w:val="modern"/>
    <w:pitch w:val="default"/>
    <w:sig w:usb0="800002BF" w:usb1="38CF7CFA" w:usb2="00000016" w:usb3="00000000" w:csb0="00040001" w:csb1="00000000"/>
    <w:embedRegular r:id="rId5" w:fontKey="{983EB518-EBB2-436A-BCD0-1B9892E4E116}"/>
  </w:font>
  <w:font w:name="方正小标宋简体">
    <w:panose1 w:val="03000509000000000000"/>
    <w:charset w:val="86"/>
    <w:family w:val="script"/>
    <w:pitch w:val="default"/>
    <w:sig w:usb0="00000001" w:usb1="080E0000" w:usb2="00000000" w:usb3="00000000" w:csb0="00040000" w:csb1="00000000"/>
    <w:embedRegular r:id="rId6" w:fontKey="{769FDC90-0BF8-4785-AA38-0A2AA2F46172}"/>
  </w:font>
  <w:font w:name="方正楷体_GB2312">
    <w:panose1 w:val="02000000000000000000"/>
    <w:charset w:val="86"/>
    <w:family w:val="auto"/>
    <w:pitch w:val="default"/>
    <w:sig w:usb0="A00002BF" w:usb1="184F6CFA" w:usb2="00000012" w:usb3="00000000" w:csb0="00040001" w:csb1="00000000"/>
    <w:embedRegular r:id="rId7" w:fontKey="{EF61F2A1-49B5-4481-BA55-E399111E0E14}"/>
  </w:font>
  <w:font w:name="方正仿宋_GBK">
    <w:panose1 w:val="03000509000000000000"/>
    <w:charset w:val="86"/>
    <w:family w:val="script"/>
    <w:pitch w:val="default"/>
    <w:sig w:usb0="00000001" w:usb1="080E0000" w:usb2="00000000" w:usb3="00000000" w:csb0="00040000" w:csb1="00000000"/>
    <w:embedRegular r:id="rId8" w:fontKey="{BE052EC0-E6C6-45AB-85D9-7ADAA7599F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E412">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419"/>
                          </w:sdtPr>
                          <w:sdtEndPr>
                            <w:rPr>
                              <w:rFonts w:hint="eastAsia" w:ascii="宋体" w:hAnsi="宋体" w:eastAsia="宋体" w:cs="宋体"/>
                              <w:sz w:val="21"/>
                              <w:szCs w:val="21"/>
                            </w:rPr>
                          </w:sdtEndPr>
                          <w:sdtContent>
                            <w:p w14:paraId="6273B493">
                              <w:pPr>
                                <w:pStyle w:val="9"/>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15</w:t>
                              </w:r>
                              <w:r>
                                <w:rPr>
                                  <w:rFonts w:hint="eastAsia" w:ascii="宋体" w:hAnsi="宋体" w:eastAsia="宋体" w:cs="宋体"/>
                                  <w:sz w:val="21"/>
                                  <w:szCs w:val="21"/>
                                </w:rPr>
                                <w:fldChar w:fldCharType="end"/>
                              </w:r>
                            </w:p>
                          </w:sdtContent>
                        </w:sdt>
                        <w:p w14:paraId="63991CF8">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82419"/>
                    </w:sdtPr>
                    <w:sdtEndPr>
                      <w:rPr>
                        <w:rFonts w:hint="eastAsia" w:ascii="宋体" w:hAnsi="宋体" w:eastAsia="宋体" w:cs="宋体"/>
                        <w:sz w:val="21"/>
                        <w:szCs w:val="21"/>
                      </w:rPr>
                    </w:sdtEndPr>
                    <w:sdtContent>
                      <w:p w14:paraId="6273B493">
                        <w:pPr>
                          <w:pStyle w:val="9"/>
                          <w:jc w:val="center"/>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PAGE   \* MERGEFORMAT</w:instrText>
                        </w:r>
                        <w:r>
                          <w:rPr>
                            <w:rFonts w:hint="eastAsia" w:ascii="宋体" w:hAnsi="宋体" w:eastAsia="宋体" w:cs="宋体"/>
                            <w:sz w:val="21"/>
                            <w:szCs w:val="21"/>
                          </w:rPr>
                          <w:fldChar w:fldCharType="separate"/>
                        </w:r>
                        <w:r>
                          <w:rPr>
                            <w:rFonts w:hint="eastAsia" w:ascii="宋体" w:hAnsi="宋体" w:eastAsia="宋体" w:cs="宋体"/>
                            <w:sz w:val="21"/>
                            <w:szCs w:val="21"/>
                            <w:lang w:val="zh-CN"/>
                          </w:rPr>
                          <w:t>15</w:t>
                        </w:r>
                        <w:r>
                          <w:rPr>
                            <w:rFonts w:hint="eastAsia" w:ascii="宋体" w:hAnsi="宋体" w:eastAsia="宋体" w:cs="宋体"/>
                            <w:sz w:val="21"/>
                            <w:szCs w:val="21"/>
                          </w:rPr>
                          <w:fldChar w:fldCharType="end"/>
                        </w:r>
                      </w:p>
                    </w:sdtContent>
                  </w:sdt>
                  <w:p w14:paraId="63991CF8">
                    <w:pPr>
                      <w:pStyle w:val="2"/>
                    </w:pPr>
                  </w:p>
                </w:txbxContent>
              </v:textbox>
            </v:shape>
          </w:pict>
        </mc:Fallback>
      </mc:AlternateContent>
    </w:r>
  </w:p>
  <w:p w14:paraId="20683D1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B16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3F96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E1D8">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MThjYWNlNmQzOTQyZTkwZmQzNzIwNDg2NTExN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12B9"/>
    <w:rsid w:val="081B5E94"/>
    <w:rsid w:val="09252905"/>
    <w:rsid w:val="0A2032A3"/>
    <w:rsid w:val="0B8A37D8"/>
    <w:rsid w:val="0F5FFB2F"/>
    <w:rsid w:val="0FFFCF60"/>
    <w:rsid w:val="10C055FF"/>
    <w:rsid w:val="118107EC"/>
    <w:rsid w:val="11DD6519"/>
    <w:rsid w:val="16BB723D"/>
    <w:rsid w:val="16CF5894"/>
    <w:rsid w:val="18015F3F"/>
    <w:rsid w:val="192B6F98"/>
    <w:rsid w:val="1BE8440E"/>
    <w:rsid w:val="1D155CEE"/>
    <w:rsid w:val="1D491485"/>
    <w:rsid w:val="1FDBBF84"/>
    <w:rsid w:val="20C718F8"/>
    <w:rsid w:val="20F57F95"/>
    <w:rsid w:val="240371BF"/>
    <w:rsid w:val="25711CC6"/>
    <w:rsid w:val="25C741E6"/>
    <w:rsid w:val="276F80C0"/>
    <w:rsid w:val="27842671"/>
    <w:rsid w:val="28B86A9B"/>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5333C3E"/>
    <w:rsid w:val="56304911"/>
    <w:rsid w:val="5C023175"/>
    <w:rsid w:val="5F67802D"/>
    <w:rsid w:val="5F7DC4F2"/>
    <w:rsid w:val="5FB36814"/>
    <w:rsid w:val="5FBB8E56"/>
    <w:rsid w:val="5FFB5535"/>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911D0C"/>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qFormat/>
    <w:uiPriority w:val="0"/>
    <w:pPr>
      <w:spacing w:before="240" w:after="60"/>
      <w:jc w:val="center"/>
      <w:outlineLvl w:val="0"/>
    </w:pPr>
    <w:rPr>
      <w:rFonts w:ascii="Arial" w:hAnsi="Arial" w:cs="Arial"/>
      <w:b/>
      <w:bCs/>
      <w:sz w:val="32"/>
      <w:szCs w:val="32"/>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8"/>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5230</Words>
  <Characters>5678</Characters>
  <Lines>54</Lines>
  <Paragraphs>15</Paragraphs>
  <TotalTime>19</TotalTime>
  <ScaleCrop>false</ScaleCrop>
  <LinksUpToDate>false</LinksUpToDate>
  <CharactersWithSpaces>5738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袁玎</cp:lastModifiedBy>
  <cp:lastPrinted>2024-10-25T04:07:08Z</cp:lastPrinted>
  <dcterms:modified xsi:type="dcterms:W3CDTF">2024-10-25T04:12:03Z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66586C0CEC784FCABCEE45CB627E7680_12</vt:lpwstr>
  </property>
</Properties>
</file>