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3CB97">
      <w:pPr>
        <w:spacing w:line="600" w:lineRule="exact"/>
        <w:jc w:val="left"/>
        <w:outlineLvl w:val="0"/>
        <w:rPr>
          <w:rFonts w:ascii="方正小标宋简体" w:hAnsi="宋体" w:eastAsia="方正小标宋简体"/>
          <w:szCs w:val="21"/>
        </w:rPr>
      </w:pPr>
      <w:bookmarkStart w:id="0" w:name="_Toc15306267"/>
    </w:p>
    <w:p w14:paraId="5053C5D6">
      <w:pPr>
        <w:pStyle w:val="3"/>
        <w:spacing w:before="93"/>
      </w:pPr>
    </w:p>
    <w:p w14:paraId="149C0CB7">
      <w:pPr>
        <w:spacing w:line="600" w:lineRule="exact"/>
        <w:jc w:val="center"/>
        <w:outlineLvl w:val="0"/>
        <w:rPr>
          <w:rFonts w:ascii="方正小标宋简体" w:hAnsi="宋体" w:eastAsia="方正小标宋简体"/>
          <w:sz w:val="72"/>
          <w:szCs w:val="72"/>
        </w:rPr>
      </w:pPr>
    </w:p>
    <w:p w14:paraId="69958410">
      <w:pPr>
        <w:spacing w:line="600" w:lineRule="exact"/>
        <w:jc w:val="center"/>
        <w:outlineLvl w:val="0"/>
        <w:rPr>
          <w:rFonts w:ascii="方正小标宋简体" w:hAnsi="宋体" w:eastAsia="方正小标宋简体"/>
          <w:sz w:val="72"/>
          <w:szCs w:val="72"/>
        </w:rPr>
      </w:pPr>
    </w:p>
    <w:p w14:paraId="2300BB50">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475"/>
      <w:bookmarkStart w:id="2" w:name="_Toc15377193"/>
      <w:bookmarkStart w:id="3" w:name="_Toc15396597"/>
      <w:bookmarkStart w:id="4" w:name="_Toc15377425"/>
      <w:bookmarkStart w:id="5" w:name="_Toc15378441"/>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p w14:paraId="37DCED24">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194"/>
      <w:bookmarkStart w:id="7" w:name="_Toc15378442"/>
      <w:bookmarkStart w:id="8" w:name="_Toc15396598"/>
      <w:bookmarkStart w:id="9" w:name="_Toc15396476"/>
      <w:bookmarkStart w:id="10" w:name="_Toc15377426"/>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rPr>
        <w:t>攀枝花市西区科学技术局单位决算</w:t>
      </w:r>
      <w:bookmarkEnd w:id="6"/>
      <w:bookmarkEnd w:id="7"/>
      <w:bookmarkEnd w:id="8"/>
      <w:bookmarkEnd w:id="9"/>
      <w:bookmarkEnd w:id="10"/>
      <w:bookmarkEnd w:id="11"/>
    </w:p>
    <w:p w14:paraId="7FFCC8AB">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1F1EB6F4">
      <w:pPr>
        <w:widowControl/>
        <w:jc w:val="center"/>
        <w:rPr>
          <w:rFonts w:ascii="黑体" w:hAnsi="黑体" w:eastAsia="黑体" w:cstheme="minorBidi"/>
          <w:sz w:val="28"/>
          <w:szCs w:val="28"/>
        </w:rPr>
      </w:pPr>
    </w:p>
    <w:p w14:paraId="06F212B0">
      <w:pPr>
        <w:pStyle w:val="12"/>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25</w:t>
      </w:r>
      <w:r>
        <w:rPr>
          <w:rFonts w:hint="eastAsia"/>
        </w:rPr>
        <w:t>日</w:t>
      </w:r>
    </w:p>
    <w:p w14:paraId="23508652"/>
    <w:p w14:paraId="1C309B9D">
      <w:pPr>
        <w:pStyle w:val="12"/>
        <w:adjustRightInd w:val="0"/>
        <w:snapToGrid w:val="0"/>
        <w:spacing w:before="0" w:line="440" w:lineRule="exact"/>
        <w:jc w:val="left"/>
        <w:rPr>
          <w:rFonts w:hint="eastAsia" w:eastAsia="仿宋" w:cstheme="minorBidi"/>
          <w:sz w:val="24"/>
          <w:szCs w:val="24"/>
          <w:lang w:val="en-US" w:eastAsia="zh-CN"/>
        </w:rPr>
      </w:pPr>
      <w:r>
        <w:rPr>
          <w:rFonts w:hint="eastAsia"/>
          <w:sz w:val="24"/>
        </w:rPr>
        <w:t>第一部分</w:t>
      </w:r>
      <w:r>
        <w:rPr>
          <w:sz w:val="24"/>
        </w:rPr>
        <w:t xml:space="preserve"> </w:t>
      </w:r>
      <w:r>
        <w:rPr>
          <w:rFonts w:hint="eastAsia"/>
          <w:sz w:val="24"/>
        </w:rPr>
        <w:t>单位概况</w:t>
      </w:r>
      <w:r>
        <w:rPr>
          <w:rFonts w:cstheme="minorBidi"/>
          <w:sz w:val="24"/>
          <w:szCs w:val="24"/>
        </w:rPr>
        <w:tab/>
      </w:r>
      <w:r>
        <w:rPr>
          <w:rFonts w:hint="eastAsia" w:cstheme="minorBidi"/>
          <w:sz w:val="24"/>
          <w:szCs w:val="24"/>
          <w:lang w:val="en-US" w:eastAsia="zh-CN"/>
        </w:rPr>
        <w:t>4</w:t>
      </w:r>
    </w:p>
    <w:p w14:paraId="72441B02">
      <w:pPr>
        <w:pStyle w:val="13"/>
        <w:adjustRightInd w:val="0"/>
        <w:snapToGrid w:val="0"/>
        <w:spacing w:line="440" w:lineRule="exact"/>
        <w:jc w:val="left"/>
        <w:rPr>
          <w:rFonts w:hint="eastAsia" w:ascii="仿宋" w:hAnsi="仿宋" w:eastAsia="仿宋" w:cstheme="minorBidi"/>
          <w:kern w:val="2"/>
          <w:sz w:val="24"/>
          <w:szCs w:val="24"/>
          <w:lang w:val="en-US" w:eastAsia="zh-CN" w:bidi="ar-SA"/>
        </w:rPr>
      </w:pPr>
      <w:r>
        <w:rPr>
          <w:rFonts w:hint="eastAsia"/>
          <w:sz w:val="24"/>
        </w:rPr>
        <w:t>一、主要职责</w:t>
      </w:r>
      <w:r>
        <w:rPr>
          <w:rFonts w:cstheme="minorBidi"/>
          <w:sz w:val="24"/>
          <w:szCs w:val="24"/>
        </w:rPr>
        <w:tab/>
      </w:r>
      <w:r>
        <w:rPr>
          <w:rFonts w:hint="eastAsia" w:ascii="仿宋" w:hAnsi="仿宋" w:eastAsia="仿宋" w:cstheme="minorBidi"/>
          <w:kern w:val="2"/>
          <w:sz w:val="24"/>
          <w:szCs w:val="24"/>
          <w:lang w:val="en-US" w:eastAsia="zh-CN" w:bidi="ar-SA"/>
        </w:rPr>
        <w:t>4</w:t>
      </w:r>
    </w:p>
    <w:p w14:paraId="2EE2C305">
      <w:pPr>
        <w:pStyle w:val="13"/>
        <w:adjustRightInd w:val="0"/>
        <w:snapToGrid w:val="0"/>
        <w:spacing w:line="440" w:lineRule="exact"/>
        <w:jc w:val="left"/>
        <w:rPr>
          <w:rFonts w:hint="eastAsia" w:eastAsia="宋体"/>
          <w:lang w:val="en-US" w:eastAsia="zh-CN"/>
        </w:rPr>
      </w:pPr>
      <w:r>
        <w:rPr>
          <w:rFonts w:hint="eastAsia"/>
          <w:sz w:val="24"/>
        </w:rPr>
        <w:t>二、机构设置</w:t>
      </w:r>
      <w:r>
        <w:rPr>
          <w:rFonts w:cstheme="minorBidi"/>
          <w:sz w:val="24"/>
          <w:szCs w:val="24"/>
        </w:rPr>
        <w:tab/>
      </w:r>
      <w:r>
        <w:rPr>
          <w:rFonts w:hint="eastAsia" w:ascii="仿宋" w:hAnsi="仿宋" w:eastAsia="仿宋" w:cstheme="minorBidi"/>
          <w:kern w:val="2"/>
          <w:sz w:val="24"/>
          <w:szCs w:val="24"/>
          <w:lang w:val="en-US" w:eastAsia="zh-CN" w:bidi="ar-SA"/>
        </w:rPr>
        <w:t>6</w:t>
      </w:r>
    </w:p>
    <w:p w14:paraId="0808AFE8">
      <w:pPr>
        <w:pStyle w:val="12"/>
        <w:adjustRightInd w:val="0"/>
        <w:snapToGrid w:val="0"/>
        <w:spacing w:before="0" w:line="440" w:lineRule="exact"/>
        <w:jc w:val="left"/>
        <w:rPr>
          <w:rFonts w:hint="eastAsia" w:eastAsia="仿宋"/>
          <w:sz w:val="24"/>
          <w:szCs w:val="24"/>
          <w:lang w:val="en-US" w:eastAsia="zh-CN"/>
        </w:rPr>
      </w:pPr>
      <w:r>
        <w:rPr>
          <w:rFonts w:hint="eastAsia"/>
          <w:sz w:val="24"/>
        </w:rPr>
        <w:t>第二部分 2023年度单位决算情况说明</w:t>
      </w:r>
      <w:r>
        <w:rPr>
          <w:rFonts w:cstheme="minorBidi"/>
          <w:sz w:val="24"/>
          <w:szCs w:val="24"/>
        </w:rPr>
        <w:tab/>
      </w:r>
      <w:r>
        <w:rPr>
          <w:rFonts w:hint="eastAsia" w:cstheme="minorBidi"/>
          <w:kern w:val="2"/>
          <w:sz w:val="24"/>
          <w:szCs w:val="24"/>
          <w:lang w:val="en-US" w:eastAsia="zh-CN" w:bidi="ar-SA"/>
        </w:rPr>
        <w:t>7</w:t>
      </w:r>
    </w:p>
    <w:p w14:paraId="50C15D50">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一、收入支出决算总体情况说明</w:t>
      </w:r>
      <w:r>
        <w:rPr>
          <w:rFonts w:cstheme="minorBidi"/>
          <w:sz w:val="24"/>
          <w:szCs w:val="24"/>
        </w:rPr>
        <w:tab/>
      </w:r>
      <w:r>
        <w:rPr>
          <w:rFonts w:hint="eastAsia" w:ascii="仿宋" w:hAnsi="仿宋" w:eastAsia="仿宋" w:cstheme="minorBidi"/>
          <w:kern w:val="2"/>
          <w:sz w:val="24"/>
          <w:szCs w:val="24"/>
          <w:lang w:val="en-US" w:eastAsia="zh-CN" w:bidi="ar-SA"/>
        </w:rPr>
        <w:t>7</w:t>
      </w:r>
    </w:p>
    <w:p w14:paraId="347B5E79">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二、收入决算情况说明</w:t>
      </w:r>
      <w:r>
        <w:rPr>
          <w:rFonts w:cstheme="minorBidi"/>
          <w:sz w:val="24"/>
          <w:szCs w:val="24"/>
        </w:rPr>
        <w:tab/>
      </w:r>
      <w:r>
        <w:rPr>
          <w:rFonts w:hint="eastAsia" w:ascii="仿宋" w:hAnsi="仿宋" w:eastAsia="仿宋" w:cstheme="minorBidi"/>
          <w:kern w:val="2"/>
          <w:sz w:val="24"/>
          <w:szCs w:val="24"/>
          <w:lang w:val="en-US" w:eastAsia="zh-CN" w:bidi="ar-SA"/>
        </w:rPr>
        <w:t>7</w:t>
      </w:r>
    </w:p>
    <w:p w14:paraId="4F31F331">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三、支出决算情况说明</w:t>
      </w:r>
      <w:r>
        <w:rPr>
          <w:rFonts w:cstheme="minorBidi"/>
          <w:sz w:val="24"/>
          <w:szCs w:val="24"/>
        </w:rPr>
        <w:tab/>
      </w:r>
      <w:r>
        <w:rPr>
          <w:rFonts w:hint="eastAsia" w:ascii="仿宋" w:hAnsi="仿宋" w:eastAsia="仿宋" w:cstheme="minorBidi"/>
          <w:kern w:val="2"/>
          <w:sz w:val="24"/>
          <w:szCs w:val="24"/>
          <w:lang w:val="en-US" w:eastAsia="zh-CN" w:bidi="ar-SA"/>
        </w:rPr>
        <w:t>8</w:t>
      </w:r>
    </w:p>
    <w:p w14:paraId="62D140C7">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四、财政拨款收入支出决算总体情况说明</w:t>
      </w:r>
      <w:r>
        <w:rPr>
          <w:rFonts w:cstheme="minorBidi"/>
          <w:sz w:val="24"/>
          <w:szCs w:val="24"/>
        </w:rPr>
        <w:tab/>
      </w:r>
      <w:r>
        <w:rPr>
          <w:rFonts w:hint="eastAsia" w:ascii="仿宋" w:hAnsi="仿宋" w:eastAsia="仿宋" w:cstheme="minorBidi"/>
          <w:kern w:val="2"/>
          <w:sz w:val="24"/>
          <w:szCs w:val="24"/>
          <w:lang w:val="en-US" w:eastAsia="zh-CN" w:bidi="ar-SA"/>
        </w:rPr>
        <w:t>8</w:t>
      </w:r>
    </w:p>
    <w:p w14:paraId="328F6CB9">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w:t>
      </w:r>
      <w:r>
        <w:rPr>
          <w:rFonts w:cstheme="minorBidi"/>
          <w:sz w:val="24"/>
          <w:szCs w:val="24"/>
        </w:rPr>
        <w:tab/>
      </w:r>
      <w:r>
        <w:rPr>
          <w:rFonts w:hint="eastAsia" w:ascii="仿宋" w:hAnsi="仿宋" w:eastAsia="仿宋" w:cstheme="minorBidi"/>
          <w:kern w:val="2"/>
          <w:sz w:val="24"/>
          <w:szCs w:val="24"/>
          <w:lang w:val="en-US" w:eastAsia="zh-CN" w:bidi="ar-SA"/>
        </w:rPr>
        <w:t>9</w:t>
      </w:r>
    </w:p>
    <w:p w14:paraId="13799286">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cstheme="minorBidi"/>
          <w:sz w:val="24"/>
          <w:szCs w:val="24"/>
        </w:rPr>
        <w:tab/>
      </w:r>
      <w:r>
        <w:rPr>
          <w:rFonts w:hint="eastAsia" w:ascii="仿宋" w:hAnsi="仿宋" w:eastAsia="仿宋" w:cstheme="minorBidi"/>
          <w:kern w:val="2"/>
          <w:sz w:val="24"/>
          <w:szCs w:val="24"/>
          <w:lang w:val="en-US" w:eastAsia="zh-CN" w:bidi="ar-SA"/>
        </w:rPr>
        <w:t>11</w:t>
      </w:r>
    </w:p>
    <w:p w14:paraId="621C9054">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cstheme="minorBidi"/>
          <w:sz w:val="24"/>
          <w:szCs w:val="24"/>
        </w:rPr>
        <w:tab/>
      </w:r>
      <w:r>
        <w:rPr>
          <w:rFonts w:hint="eastAsia" w:ascii="仿宋" w:hAnsi="仿宋" w:eastAsia="仿宋" w:cstheme="minorBidi"/>
          <w:kern w:val="2"/>
          <w:sz w:val="24"/>
          <w:szCs w:val="24"/>
          <w:lang w:val="en-US" w:eastAsia="zh-CN" w:bidi="ar-SA"/>
        </w:rPr>
        <w:t>11</w:t>
      </w:r>
    </w:p>
    <w:p w14:paraId="7056FF82">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cstheme="minorBidi"/>
          <w:sz w:val="24"/>
          <w:szCs w:val="24"/>
        </w:rPr>
        <w:tab/>
      </w:r>
      <w:r>
        <w:rPr>
          <w:rFonts w:hint="eastAsia" w:ascii="仿宋" w:hAnsi="仿宋" w:eastAsia="仿宋" w:cstheme="minorBidi"/>
          <w:kern w:val="2"/>
          <w:sz w:val="24"/>
          <w:szCs w:val="24"/>
          <w:lang w:val="en-US" w:eastAsia="zh-CN" w:bidi="ar-SA"/>
        </w:rPr>
        <w:t>13</w:t>
      </w:r>
    </w:p>
    <w:p w14:paraId="707798BE">
      <w:pPr>
        <w:pStyle w:val="13"/>
        <w:adjustRightInd w:val="0"/>
        <w:snapToGrid w:val="0"/>
        <w:spacing w:line="440" w:lineRule="exact"/>
        <w:jc w:val="left"/>
        <w:rPr>
          <w:rFonts w:hint="default" w:eastAsia="宋体"/>
          <w:sz w:val="24"/>
          <w:lang w:val="en-US" w:eastAsia="zh-CN"/>
        </w:rPr>
      </w:pPr>
      <w:r>
        <w:rPr>
          <w:rFonts w:hint="eastAsia"/>
          <w:sz w:val="24"/>
        </w:rPr>
        <w:t>九、国有资本经营预算支出决算情况说明</w:t>
      </w:r>
      <w:r>
        <w:rPr>
          <w:rFonts w:cstheme="minorBidi"/>
          <w:sz w:val="24"/>
          <w:szCs w:val="24"/>
        </w:rPr>
        <w:tab/>
      </w:r>
      <w:r>
        <w:rPr>
          <w:rFonts w:hint="eastAsia" w:ascii="仿宋" w:hAnsi="仿宋" w:eastAsia="仿宋" w:cstheme="minorBidi"/>
          <w:kern w:val="2"/>
          <w:sz w:val="24"/>
          <w:szCs w:val="24"/>
          <w:lang w:val="en-US" w:eastAsia="zh-CN" w:bidi="ar-SA"/>
        </w:rPr>
        <w:t>13</w:t>
      </w:r>
    </w:p>
    <w:p w14:paraId="3FFC9D8E">
      <w:pPr>
        <w:pStyle w:val="13"/>
        <w:adjustRightInd w:val="0"/>
        <w:snapToGrid w:val="0"/>
        <w:spacing w:line="440" w:lineRule="exact"/>
        <w:jc w:val="left"/>
        <w:rPr>
          <w:rFonts w:hint="default" w:eastAsia="宋体"/>
          <w:sz w:val="24"/>
          <w:lang w:val="en-US" w:eastAsia="zh-CN"/>
        </w:rPr>
      </w:pPr>
      <w:r>
        <w:rPr>
          <w:rFonts w:hint="eastAsia"/>
          <w:sz w:val="24"/>
        </w:rPr>
        <w:t>十、其他重要事项的情况说明</w:t>
      </w:r>
      <w:r>
        <w:rPr>
          <w:rFonts w:cstheme="minorBidi"/>
          <w:sz w:val="24"/>
          <w:szCs w:val="24"/>
        </w:rPr>
        <w:tab/>
      </w:r>
      <w:r>
        <w:rPr>
          <w:rFonts w:hint="eastAsia" w:ascii="仿宋" w:hAnsi="仿宋" w:eastAsia="仿宋" w:cstheme="minorBidi"/>
          <w:kern w:val="2"/>
          <w:sz w:val="24"/>
          <w:szCs w:val="24"/>
          <w:lang w:val="en-US" w:eastAsia="zh-CN" w:bidi="ar-SA"/>
        </w:rPr>
        <w:t>13</w:t>
      </w:r>
    </w:p>
    <w:p w14:paraId="6FFC267C">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cstheme="minorBidi"/>
          <w:sz w:val="24"/>
          <w:szCs w:val="24"/>
        </w:rPr>
        <w:tab/>
      </w:r>
      <w:r>
        <w:rPr>
          <w:rFonts w:hint="eastAsia" w:cstheme="minorBidi"/>
          <w:sz w:val="24"/>
          <w:szCs w:val="24"/>
          <w:lang w:val="en-US" w:eastAsia="zh-CN"/>
        </w:rPr>
        <w:t>15</w:t>
      </w:r>
    </w:p>
    <w:p w14:paraId="56E784A5">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cstheme="minorBidi"/>
          <w:sz w:val="24"/>
          <w:szCs w:val="24"/>
        </w:rPr>
        <w:tab/>
      </w:r>
      <w:r>
        <w:rPr>
          <w:rFonts w:hint="eastAsia" w:cstheme="minorBidi"/>
          <w:sz w:val="24"/>
          <w:szCs w:val="24"/>
          <w:lang w:val="en-US" w:eastAsia="zh-CN"/>
        </w:rPr>
        <w:t>18</w:t>
      </w:r>
    </w:p>
    <w:p w14:paraId="5AAFB124">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cstheme="minorBidi"/>
          <w:sz w:val="24"/>
          <w:szCs w:val="24"/>
        </w:rPr>
        <w:tab/>
      </w:r>
      <w:r>
        <w:rPr>
          <w:rFonts w:hint="eastAsia" w:cstheme="minorBidi"/>
          <w:sz w:val="24"/>
          <w:szCs w:val="24"/>
          <w:lang w:val="en-US" w:eastAsia="zh-CN"/>
        </w:rPr>
        <w:t>19</w:t>
      </w:r>
    </w:p>
    <w:p w14:paraId="609D42DB">
      <w:pPr>
        <w:pStyle w:val="13"/>
        <w:adjustRightInd w:val="0"/>
        <w:snapToGrid w:val="0"/>
        <w:spacing w:line="440" w:lineRule="exact"/>
        <w:jc w:val="left"/>
        <w:rPr>
          <w:rFonts w:hint="default" w:eastAsia="宋体"/>
          <w:sz w:val="24"/>
          <w:lang w:val="en-US" w:eastAsia="zh-CN"/>
        </w:rPr>
      </w:pPr>
      <w:r>
        <w:rPr>
          <w:rFonts w:hint="eastAsia"/>
          <w:sz w:val="24"/>
        </w:rPr>
        <w:t>一、收入支出决算总表</w:t>
      </w:r>
      <w:r>
        <w:rPr>
          <w:rFonts w:cstheme="minorBidi"/>
          <w:sz w:val="24"/>
          <w:szCs w:val="24"/>
        </w:rPr>
        <w:tab/>
      </w:r>
      <w:r>
        <w:rPr>
          <w:rFonts w:hint="eastAsia" w:cstheme="minorBidi"/>
          <w:sz w:val="24"/>
          <w:szCs w:val="24"/>
          <w:lang w:val="en-US" w:eastAsia="zh-CN"/>
        </w:rPr>
        <w:t>19</w:t>
      </w:r>
    </w:p>
    <w:p w14:paraId="7348CF31">
      <w:pPr>
        <w:pStyle w:val="13"/>
        <w:adjustRightInd w:val="0"/>
        <w:snapToGrid w:val="0"/>
        <w:spacing w:line="440" w:lineRule="exact"/>
        <w:jc w:val="left"/>
        <w:rPr>
          <w:rFonts w:hint="default" w:eastAsia="宋体"/>
          <w:sz w:val="24"/>
          <w:lang w:val="en-US" w:eastAsia="zh-CN"/>
        </w:rPr>
      </w:pPr>
      <w:r>
        <w:rPr>
          <w:rFonts w:hint="eastAsia"/>
          <w:sz w:val="24"/>
        </w:rPr>
        <w:t>二、收入决算表</w:t>
      </w:r>
      <w:r>
        <w:rPr>
          <w:rFonts w:cstheme="minorBidi"/>
          <w:sz w:val="24"/>
          <w:szCs w:val="24"/>
        </w:rPr>
        <w:tab/>
      </w:r>
      <w:r>
        <w:rPr>
          <w:rFonts w:hint="eastAsia" w:cstheme="minorBidi"/>
          <w:sz w:val="24"/>
          <w:szCs w:val="24"/>
          <w:lang w:val="en-US" w:eastAsia="zh-CN"/>
        </w:rPr>
        <w:t>19</w:t>
      </w:r>
    </w:p>
    <w:p w14:paraId="39458236">
      <w:pPr>
        <w:pStyle w:val="13"/>
        <w:adjustRightInd w:val="0"/>
        <w:snapToGrid w:val="0"/>
        <w:spacing w:line="440" w:lineRule="exact"/>
        <w:jc w:val="left"/>
        <w:rPr>
          <w:rFonts w:hint="default" w:eastAsia="宋体"/>
          <w:sz w:val="24"/>
          <w:lang w:val="en-US" w:eastAsia="zh-CN"/>
        </w:rPr>
      </w:pPr>
      <w:r>
        <w:rPr>
          <w:rFonts w:hint="eastAsia"/>
          <w:sz w:val="24"/>
        </w:rPr>
        <w:t>三、支出决算表</w:t>
      </w:r>
      <w:r>
        <w:rPr>
          <w:rFonts w:cstheme="minorBidi"/>
          <w:sz w:val="24"/>
          <w:szCs w:val="24"/>
        </w:rPr>
        <w:tab/>
      </w:r>
      <w:r>
        <w:rPr>
          <w:rFonts w:hint="eastAsia" w:cstheme="minorBidi"/>
          <w:sz w:val="24"/>
          <w:szCs w:val="24"/>
          <w:lang w:val="en-US" w:eastAsia="zh-CN"/>
        </w:rPr>
        <w:t>19</w:t>
      </w:r>
    </w:p>
    <w:p w14:paraId="40DBD0D4">
      <w:pPr>
        <w:pStyle w:val="13"/>
        <w:adjustRightInd w:val="0"/>
        <w:snapToGrid w:val="0"/>
        <w:spacing w:line="440" w:lineRule="exact"/>
        <w:jc w:val="left"/>
        <w:rPr>
          <w:rFonts w:hint="default" w:eastAsia="宋体"/>
          <w:sz w:val="24"/>
          <w:lang w:val="en-US" w:eastAsia="zh-CN"/>
        </w:rPr>
      </w:pPr>
      <w:r>
        <w:rPr>
          <w:rFonts w:hint="eastAsia"/>
          <w:sz w:val="24"/>
        </w:rPr>
        <w:t>四、财政拨款收入支出决算总表</w:t>
      </w:r>
      <w:r>
        <w:rPr>
          <w:rFonts w:cstheme="minorBidi"/>
          <w:sz w:val="24"/>
          <w:szCs w:val="24"/>
        </w:rPr>
        <w:tab/>
      </w:r>
      <w:r>
        <w:rPr>
          <w:rFonts w:hint="eastAsia" w:cstheme="minorBidi"/>
          <w:sz w:val="24"/>
          <w:szCs w:val="24"/>
          <w:lang w:val="en-US" w:eastAsia="zh-CN"/>
        </w:rPr>
        <w:t>19</w:t>
      </w:r>
    </w:p>
    <w:p w14:paraId="1A61FBF5">
      <w:pPr>
        <w:pStyle w:val="13"/>
        <w:adjustRightInd w:val="0"/>
        <w:snapToGrid w:val="0"/>
        <w:spacing w:line="440" w:lineRule="exact"/>
        <w:jc w:val="left"/>
        <w:rPr>
          <w:rFonts w:hint="default" w:eastAsia="宋体"/>
          <w:sz w:val="24"/>
          <w:lang w:val="en-US" w:eastAsia="zh-CN"/>
        </w:rPr>
      </w:pPr>
      <w:r>
        <w:rPr>
          <w:rFonts w:hint="eastAsia"/>
          <w:sz w:val="24"/>
        </w:rPr>
        <w:t>五、财政拨款支出决算明细表</w:t>
      </w:r>
      <w:r>
        <w:rPr>
          <w:rFonts w:cstheme="minorBidi"/>
          <w:sz w:val="24"/>
          <w:szCs w:val="24"/>
        </w:rPr>
        <w:tab/>
      </w:r>
      <w:r>
        <w:rPr>
          <w:rFonts w:hint="eastAsia" w:cstheme="minorBidi"/>
          <w:sz w:val="24"/>
          <w:szCs w:val="24"/>
          <w:lang w:val="en-US" w:eastAsia="zh-CN"/>
        </w:rPr>
        <w:t>19</w:t>
      </w:r>
    </w:p>
    <w:p w14:paraId="5A98DDFF">
      <w:pPr>
        <w:pStyle w:val="13"/>
        <w:adjustRightInd w:val="0"/>
        <w:snapToGrid w:val="0"/>
        <w:spacing w:line="440" w:lineRule="exact"/>
        <w:jc w:val="left"/>
        <w:rPr>
          <w:rFonts w:hint="default" w:eastAsia="宋体"/>
          <w:sz w:val="24"/>
          <w:lang w:val="en-US" w:eastAsia="zh-CN"/>
        </w:rPr>
      </w:pPr>
      <w:r>
        <w:rPr>
          <w:rFonts w:hint="eastAsia"/>
          <w:sz w:val="24"/>
        </w:rPr>
        <w:t>六、一般公共预算财政拨款支出决算表</w:t>
      </w:r>
      <w:r>
        <w:rPr>
          <w:rFonts w:cstheme="minorBidi"/>
          <w:sz w:val="24"/>
          <w:szCs w:val="24"/>
        </w:rPr>
        <w:tab/>
      </w:r>
      <w:r>
        <w:rPr>
          <w:rFonts w:hint="eastAsia" w:cstheme="minorBidi"/>
          <w:sz w:val="24"/>
          <w:szCs w:val="24"/>
          <w:lang w:val="en-US" w:eastAsia="zh-CN"/>
        </w:rPr>
        <w:t>19</w:t>
      </w:r>
    </w:p>
    <w:p w14:paraId="6C121C71">
      <w:pPr>
        <w:pStyle w:val="13"/>
        <w:adjustRightInd w:val="0"/>
        <w:snapToGrid w:val="0"/>
        <w:spacing w:line="440" w:lineRule="exact"/>
        <w:jc w:val="left"/>
        <w:rPr>
          <w:rFonts w:hint="default" w:eastAsia="宋体"/>
          <w:sz w:val="24"/>
          <w:lang w:val="en-US" w:eastAsia="zh-CN"/>
        </w:rPr>
      </w:pPr>
      <w:r>
        <w:rPr>
          <w:rFonts w:hint="eastAsia"/>
          <w:sz w:val="24"/>
        </w:rPr>
        <w:t>七、一般公共预算财政拨款支出决算明细表</w:t>
      </w:r>
      <w:r>
        <w:rPr>
          <w:rFonts w:cstheme="minorBidi"/>
          <w:sz w:val="24"/>
          <w:szCs w:val="24"/>
        </w:rPr>
        <w:tab/>
      </w:r>
      <w:r>
        <w:rPr>
          <w:rFonts w:hint="eastAsia" w:cstheme="minorBidi"/>
          <w:sz w:val="24"/>
          <w:szCs w:val="24"/>
          <w:lang w:val="en-US" w:eastAsia="zh-CN"/>
        </w:rPr>
        <w:t>19</w:t>
      </w:r>
    </w:p>
    <w:p w14:paraId="36E13340">
      <w:pPr>
        <w:pStyle w:val="13"/>
        <w:adjustRightInd w:val="0"/>
        <w:snapToGrid w:val="0"/>
        <w:spacing w:line="440" w:lineRule="exact"/>
        <w:jc w:val="left"/>
        <w:rPr>
          <w:rFonts w:hint="default" w:eastAsia="宋体"/>
          <w:sz w:val="24"/>
          <w:lang w:val="en-US" w:eastAsia="zh-CN"/>
        </w:rPr>
      </w:pPr>
      <w:r>
        <w:rPr>
          <w:rFonts w:hint="eastAsia"/>
          <w:sz w:val="24"/>
        </w:rPr>
        <w:t>八、一般公共预算财政拨款基本支出决算明细表</w:t>
      </w:r>
      <w:r>
        <w:rPr>
          <w:rFonts w:cstheme="minorBidi"/>
          <w:sz w:val="24"/>
          <w:szCs w:val="24"/>
        </w:rPr>
        <w:tab/>
      </w:r>
      <w:r>
        <w:rPr>
          <w:rFonts w:hint="eastAsia" w:cstheme="minorBidi"/>
          <w:sz w:val="24"/>
          <w:szCs w:val="24"/>
          <w:lang w:val="en-US" w:eastAsia="zh-CN"/>
        </w:rPr>
        <w:t>19</w:t>
      </w:r>
    </w:p>
    <w:p w14:paraId="65204730">
      <w:pPr>
        <w:pStyle w:val="13"/>
        <w:adjustRightInd w:val="0"/>
        <w:snapToGrid w:val="0"/>
        <w:spacing w:line="440" w:lineRule="exact"/>
        <w:jc w:val="left"/>
        <w:rPr>
          <w:rFonts w:hint="default" w:eastAsia="宋体"/>
          <w:sz w:val="24"/>
          <w:lang w:val="en-US" w:eastAsia="zh-CN"/>
        </w:rPr>
      </w:pPr>
      <w:r>
        <w:rPr>
          <w:rFonts w:hint="eastAsia"/>
          <w:sz w:val="24"/>
        </w:rPr>
        <w:t>九、一般公共预算财政拨款项目支出决算表</w:t>
      </w:r>
      <w:r>
        <w:rPr>
          <w:rFonts w:cstheme="minorBidi"/>
          <w:sz w:val="24"/>
          <w:szCs w:val="24"/>
        </w:rPr>
        <w:tab/>
      </w:r>
      <w:r>
        <w:rPr>
          <w:rFonts w:hint="eastAsia" w:cstheme="minorBidi"/>
          <w:sz w:val="24"/>
          <w:szCs w:val="24"/>
          <w:lang w:val="en-US" w:eastAsia="zh-CN"/>
        </w:rPr>
        <w:t>19</w:t>
      </w:r>
    </w:p>
    <w:p w14:paraId="4BD82C6B">
      <w:pPr>
        <w:pStyle w:val="13"/>
        <w:adjustRightInd w:val="0"/>
        <w:snapToGrid w:val="0"/>
        <w:spacing w:line="440" w:lineRule="exact"/>
        <w:jc w:val="left"/>
        <w:rPr>
          <w:rFonts w:hint="default" w:eastAsia="宋体"/>
          <w:sz w:val="24"/>
          <w:lang w:val="en-US" w:eastAsia="zh-CN"/>
        </w:rPr>
      </w:pPr>
      <w:r>
        <w:rPr>
          <w:rFonts w:hint="eastAsia"/>
          <w:sz w:val="24"/>
        </w:rPr>
        <w:t>十、政府性基金预算财政拨款收入支出决算表</w:t>
      </w:r>
      <w:r>
        <w:rPr>
          <w:rFonts w:cstheme="minorBidi"/>
          <w:sz w:val="24"/>
          <w:szCs w:val="24"/>
        </w:rPr>
        <w:tab/>
      </w:r>
      <w:r>
        <w:rPr>
          <w:rFonts w:hint="eastAsia" w:cstheme="minorBidi"/>
          <w:sz w:val="24"/>
          <w:szCs w:val="24"/>
          <w:lang w:val="en-US" w:eastAsia="zh-CN"/>
        </w:rPr>
        <w:t>19</w:t>
      </w:r>
    </w:p>
    <w:p w14:paraId="37874AE5">
      <w:pPr>
        <w:pStyle w:val="13"/>
        <w:adjustRightInd w:val="0"/>
        <w:snapToGrid w:val="0"/>
        <w:spacing w:line="440" w:lineRule="exact"/>
        <w:jc w:val="left"/>
        <w:rPr>
          <w:rFonts w:hint="default" w:eastAsia="宋体"/>
          <w:sz w:val="24"/>
          <w:lang w:val="en-US" w:eastAsia="zh-CN"/>
        </w:rPr>
      </w:pPr>
      <w:r>
        <w:rPr>
          <w:rFonts w:hint="eastAsia"/>
          <w:sz w:val="24"/>
        </w:rPr>
        <w:t>十一、国有资本经营预算财政拨款收入支出决算表</w:t>
      </w:r>
      <w:r>
        <w:rPr>
          <w:rFonts w:cstheme="minorBidi"/>
          <w:sz w:val="24"/>
          <w:szCs w:val="24"/>
        </w:rPr>
        <w:tab/>
      </w:r>
      <w:r>
        <w:rPr>
          <w:rFonts w:hint="eastAsia" w:cstheme="minorBidi"/>
          <w:sz w:val="24"/>
          <w:szCs w:val="24"/>
          <w:lang w:val="en-US" w:eastAsia="zh-CN"/>
        </w:rPr>
        <w:t>19</w:t>
      </w:r>
    </w:p>
    <w:p w14:paraId="569E26A7">
      <w:pPr>
        <w:pStyle w:val="13"/>
        <w:adjustRightInd w:val="0"/>
        <w:snapToGrid w:val="0"/>
        <w:spacing w:line="440" w:lineRule="exact"/>
        <w:jc w:val="left"/>
        <w:rPr>
          <w:rFonts w:hint="default" w:eastAsia="宋体"/>
          <w:sz w:val="24"/>
          <w:lang w:val="en-US" w:eastAsia="zh-CN"/>
        </w:rPr>
      </w:pPr>
      <w:r>
        <w:rPr>
          <w:rFonts w:hint="eastAsia"/>
          <w:sz w:val="24"/>
        </w:rPr>
        <w:t>十二、国有资本经营预算财政拨款支出决算表</w:t>
      </w:r>
      <w:r>
        <w:rPr>
          <w:rFonts w:cstheme="minorBidi"/>
          <w:sz w:val="24"/>
          <w:szCs w:val="24"/>
        </w:rPr>
        <w:tab/>
      </w:r>
      <w:r>
        <w:rPr>
          <w:rFonts w:hint="eastAsia" w:cstheme="minorBidi"/>
          <w:sz w:val="24"/>
          <w:szCs w:val="24"/>
          <w:lang w:val="en-US" w:eastAsia="zh-CN"/>
        </w:rPr>
        <w:t>19</w:t>
      </w:r>
    </w:p>
    <w:p w14:paraId="5DC9B572">
      <w:pPr>
        <w:pStyle w:val="13"/>
        <w:adjustRightInd w:val="0"/>
        <w:snapToGrid w:val="0"/>
        <w:spacing w:line="440" w:lineRule="exact"/>
        <w:jc w:val="left"/>
        <w:rPr>
          <w:rFonts w:hint="default" w:eastAsia="宋体"/>
          <w:sz w:val="24"/>
          <w:lang w:val="en-US" w:eastAsia="zh-CN"/>
        </w:rPr>
      </w:pPr>
      <w:r>
        <w:rPr>
          <w:rFonts w:hint="eastAsia"/>
          <w:sz w:val="24"/>
        </w:rPr>
        <w:t>十三、财政拨款“三公”经费支出决算表</w:t>
      </w:r>
      <w:r>
        <w:rPr>
          <w:rFonts w:cstheme="minorBidi"/>
          <w:sz w:val="24"/>
          <w:szCs w:val="24"/>
        </w:rPr>
        <w:tab/>
      </w:r>
      <w:r>
        <w:rPr>
          <w:rFonts w:hint="eastAsia" w:cstheme="minorBidi"/>
          <w:sz w:val="24"/>
          <w:szCs w:val="24"/>
          <w:lang w:val="en-US" w:eastAsia="zh-CN"/>
        </w:rPr>
        <w:t>19</w:t>
      </w:r>
    </w:p>
    <w:p w14:paraId="14479100">
      <w:pPr>
        <w:widowControl/>
        <w:adjustRightInd w:val="0"/>
        <w:snapToGrid w:val="0"/>
        <w:spacing w:line="440" w:lineRule="exact"/>
        <w:ind w:firstLine="1320" w:firstLineChars="550"/>
        <w:jc w:val="left"/>
        <w:rPr>
          <w:rFonts w:ascii="仿宋" w:hAnsi="仿宋" w:eastAsia="仿宋"/>
          <w:sz w:val="24"/>
        </w:rPr>
      </w:pPr>
    </w:p>
    <w:p w14:paraId="6DE3B278">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14:paraId="5EDEBBA6">
      <w:pPr>
        <w:pStyle w:val="4"/>
        <w:jc w:val="both"/>
        <w:rPr>
          <w:rFonts w:ascii="黑体" w:eastAsia="黑体"/>
          <w:sz w:val="32"/>
          <w:szCs w:val="32"/>
        </w:rPr>
      </w:pPr>
      <w:r>
        <w:rPr>
          <w:rFonts w:hint="eastAsia" w:ascii="黑体" w:hAnsi="黑体" w:eastAsia="黑体"/>
          <w:b w:val="0"/>
        </w:rPr>
        <w:t>第一部分 单位</w:t>
      </w:r>
      <w:r>
        <w:rPr>
          <w:rStyle w:val="29"/>
          <w:rFonts w:hint="eastAsia" w:ascii="黑体" w:hAnsi="黑体" w:eastAsia="黑体"/>
          <w:b w:val="0"/>
          <w:bCs w:val="0"/>
        </w:rPr>
        <w:t>概况</w:t>
      </w:r>
      <w:bookmarkEnd w:id="12"/>
      <w:bookmarkEnd w:id="13"/>
    </w:p>
    <w:p w14:paraId="2C891DDF">
      <w:pPr>
        <w:pStyle w:val="5"/>
        <w:numPr>
          <w:ilvl w:val="0"/>
          <w:numId w:val="0"/>
        </w:numPr>
        <w:ind w:firstLine="640" w:firstLineChars="200"/>
        <w:jc w:val="both"/>
        <w:rPr>
          <w:rStyle w:val="30"/>
          <w:rFonts w:ascii="黑体" w:hAnsi="黑体" w:eastAsia="黑体"/>
          <w:b w:val="0"/>
          <w:bCs w:val="0"/>
        </w:rPr>
      </w:pPr>
      <w:bookmarkStart w:id="14" w:name="_Toc15377197"/>
      <w:bookmarkStart w:id="15" w:name="_Toc15396600"/>
      <w:r>
        <w:rPr>
          <w:rStyle w:val="30"/>
          <w:rFonts w:hint="eastAsia" w:ascii="黑体" w:hAnsi="黑体" w:eastAsia="黑体"/>
          <w:b w:val="0"/>
          <w:bCs w:val="0"/>
          <w:lang w:eastAsia="zh-CN"/>
        </w:rPr>
        <w:t>一、</w:t>
      </w:r>
      <w:r>
        <w:rPr>
          <w:rStyle w:val="30"/>
          <w:rFonts w:hint="eastAsia" w:ascii="黑体" w:hAnsi="黑体" w:eastAsia="黑体"/>
          <w:b w:val="0"/>
          <w:bCs w:val="0"/>
        </w:rPr>
        <w:t>主要职责</w:t>
      </w:r>
    </w:p>
    <w:p w14:paraId="372C5C9D">
      <w:pPr>
        <w:pStyle w:val="27"/>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1.拟订全区创新驱动发展战略以及科技发展、引进国外智力规划和政策措施并组织实施。起草有关科技发展的政策措施并组织实施。</w:t>
      </w:r>
    </w:p>
    <w:p w14:paraId="42100F8A">
      <w:pPr>
        <w:pStyle w:val="27"/>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2.统筹推进全区科技创新体系建设和科技体制改革，会同有关部门健全技术创新激励机制。优化科研体系建设，指导科研机构改革发展，推动企业科技创新能力建设，承担推进科技军民融合发展相关工作，推进全区重大科技决策咨询制度建设。组织拟订全区推进创新创业、促进科技金融结合、科技招商的政策措施并组织实施。</w:t>
      </w:r>
    </w:p>
    <w:p w14:paraId="033E954A">
      <w:pPr>
        <w:snapToGrid w:val="0"/>
        <w:spacing w:line="52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3.牵头建立全区科研项目资金协调、实施、评估、监管机制。会同有关部门提出优化配置科技资源的政策措施建议，推动多元化科技投入体系建设。组织拟订区级财政科技计划（专项、基金）并监督和实施。负责本部门预算中的科技经费预决算及经费使用的监督管理。</w:t>
      </w:r>
    </w:p>
    <w:p w14:paraId="11B4403D">
      <w:pPr>
        <w:autoSpaceDE w:val="0"/>
        <w:autoSpaceDN w:val="0"/>
        <w:adjustRightInd w:val="0"/>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4.组织协调全区重大基础研究和应用基础研究。拟订科技创新基地建设规划并监督实施，参与编制重大科技基础设施建设规划和监督实施。牵头推进在区的国家、省（部）、市重点实验室、技术创新中心等重大科研平台建设，推动科研条件保障建设和科技资源开放共享。</w:t>
      </w:r>
    </w:p>
    <w:p w14:paraId="3E12DC38">
      <w:pPr>
        <w:autoSpaceDE w:val="0"/>
        <w:autoSpaceDN w:val="0"/>
        <w:adjustRightInd w:val="0"/>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5.拟订推进攀西国家战略资源创新开发试验区建设发展的科技支撑计划并组织实施。编制全区重大科技专项方案并组织实施。统筹经济社会发展重要领域的关键共性技术、前沿引领技术、现代工程技术、颠覆性计划的研发和创新，牵头组织重大科技攻关和成果应用示范。组织开展重点领域技术发展需求分析，提出重大科技发展建议并组织实施。负责组织国家、省、市、区科学技术奖等科技评奖的申报、审核、推荐工作。</w:t>
      </w:r>
    </w:p>
    <w:p w14:paraId="5C6FC18F">
      <w:pPr>
        <w:autoSpaceDE w:val="0"/>
        <w:autoSpaceDN w:val="0"/>
        <w:adjustRightInd w:val="0"/>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6.组织拟订高新技术发展及产业化的规划和政策</w:t>
      </w:r>
      <w:r>
        <w:rPr>
          <w:rFonts w:hint="eastAsia" w:ascii="仿宋_GB2312" w:hAnsi="仿宋" w:eastAsia="仿宋_GB2312" w:cs="Times New Roman"/>
          <w:color w:val="auto"/>
          <w:sz w:val="32"/>
          <w:szCs w:val="32"/>
        </w:rPr>
        <w:t>措施并组织实施。指导</w:t>
      </w:r>
      <w:r>
        <w:rPr>
          <w:rFonts w:hint="eastAsia" w:ascii="仿宋_GB2312" w:hAnsi="仿宋" w:eastAsia="仿宋_GB2312"/>
          <w:color w:val="auto"/>
          <w:sz w:val="32"/>
          <w:szCs w:val="32"/>
        </w:rPr>
        <w:t>高新技术企业、创新型企业申报和创新平台建设，负责区级创新平台认定管理工作。组织开展科技型中小企业评价的初审工作。</w:t>
      </w:r>
    </w:p>
    <w:p w14:paraId="0ABFD2CD">
      <w:pPr>
        <w:pStyle w:val="27"/>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7.组织拟订科技促进农业农村和社会发展的规划、政策和措施，指导现代农业示范基地建设，推进科技服务民生工作。拟订科学普及和科学传播规划，政策措施并组织实施。</w:t>
      </w:r>
    </w:p>
    <w:p w14:paraId="07C5C43C">
      <w:pPr>
        <w:pStyle w:val="27"/>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8.牵头全区技术转移体系建设，拟订科技成果转移转化和促进产学研结合的相关政策措施并组织实施。指导科技服务业、技术市场和科技中介组织发展。</w:t>
      </w:r>
    </w:p>
    <w:p w14:paraId="3718806C">
      <w:pPr>
        <w:pStyle w:val="27"/>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9.统筹区域科技创新体系建设，指导区域创新发展、科技资源合理布局和协同创新能力建设，推动高新技术园区建设。</w:t>
      </w:r>
    </w:p>
    <w:p w14:paraId="27269460">
      <w:pPr>
        <w:pStyle w:val="27"/>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10.会同有关部门拟订科技人才队伍建设规划和政策，建立健全科技人才评价和激励机制，组织实施科技人才计划，推动高端科技创新人才队伍建设。</w:t>
      </w:r>
    </w:p>
    <w:p w14:paraId="0ECF4549">
      <w:pPr>
        <w:pStyle w:val="27"/>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11.负责科技监督评价体系建设和相关科技评估管理，指导科技评价机制改革，统筹科研诚信建设。组织实施全区创新调查和科技报告制度，指导全区科技保密相关工作。</w:t>
      </w:r>
    </w:p>
    <w:p w14:paraId="6366AB05">
      <w:pPr>
        <w:pStyle w:val="27"/>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12.拟订科技对外交流与创新能力开放合作的规划和政策措施，组织开展对外科技合作与科技人才交流。指导相关部门对外科技合作与科技人才交流工作。负责有关科技博览展会参展推广的组织协调工作。</w:t>
      </w:r>
    </w:p>
    <w:p w14:paraId="16D22952">
      <w:pPr>
        <w:pStyle w:val="27"/>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13.负责引进国外智力工作。拟订全区重点引进外国专家总体规划、计划并组织实施，建立外国顶尖专家、团队吸引集聚机制和重点外国专家联系服务机制。拟订出国（境）培训总体规划、政策和年度计划并监督实施。会同有关部门制定外国人来区工作政策、办理相关外国人工作许可。</w:t>
      </w:r>
    </w:p>
    <w:p w14:paraId="0D39395A">
      <w:pPr>
        <w:pStyle w:val="27"/>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14.负责职责范围内的安全生产和职业健康、生态环境保护、审批服务便民化等工作。</w:t>
      </w:r>
    </w:p>
    <w:p w14:paraId="5ABF55D6">
      <w:pPr>
        <w:ind w:firstLine="640" w:firstLineChars="200"/>
        <w:jc w:val="both"/>
        <w:rPr>
          <w:color w:val="auto"/>
        </w:rPr>
      </w:pPr>
      <w:r>
        <w:rPr>
          <w:rFonts w:hint="eastAsia" w:ascii="仿宋_GB2312" w:hAnsi="仿宋" w:eastAsia="仿宋_GB2312"/>
          <w:color w:val="auto"/>
          <w:sz w:val="32"/>
          <w:szCs w:val="32"/>
        </w:rPr>
        <w:t>15.完成区委、区政府交办的其他任务。</w:t>
      </w:r>
    </w:p>
    <w:p w14:paraId="4B5486EA">
      <w:pPr>
        <w:pStyle w:val="5"/>
        <w:ind w:firstLine="640" w:firstLineChars="200"/>
        <w:jc w:val="both"/>
        <w:rPr>
          <w:rFonts w:hint="eastAsia" w:ascii="黑体" w:hAnsi="黑体" w:eastAsia="黑体"/>
          <w:b w:val="0"/>
        </w:rPr>
      </w:pPr>
      <w:r>
        <w:rPr>
          <w:rFonts w:hint="eastAsia" w:ascii="黑体" w:hAnsi="黑体" w:eastAsia="黑体"/>
          <w:b w:val="0"/>
        </w:rPr>
        <w:t>二、机构设置</w:t>
      </w:r>
    </w:p>
    <w:p w14:paraId="2686660A">
      <w:pPr>
        <w:ind w:firstLine="640" w:firstLineChars="200"/>
        <w:jc w:val="both"/>
      </w:pPr>
      <w:r>
        <w:rPr>
          <w:rFonts w:hint="eastAsia" w:ascii="仿宋_GB2312" w:hAnsi="仿宋" w:eastAsia="仿宋_GB2312" w:cs="Times New Roman"/>
          <w:sz w:val="32"/>
          <w:szCs w:val="32"/>
        </w:rPr>
        <w:t>攀枝花市西区科学技术局</w:t>
      </w:r>
      <w:r>
        <w:rPr>
          <w:rFonts w:hint="eastAsia" w:ascii="仿宋_GB2312" w:hAnsi="仿宋" w:eastAsia="仿宋_GB2312"/>
          <w:sz w:val="32"/>
          <w:szCs w:val="32"/>
        </w:rPr>
        <w:t>内设1个综合办公室</w:t>
      </w:r>
      <w:r>
        <w:rPr>
          <w:rFonts w:hint="eastAsia" w:ascii="仿宋_GB2312" w:hAnsi="仿宋" w:eastAsia="仿宋_GB2312"/>
          <w:sz w:val="32"/>
          <w:szCs w:val="32"/>
          <w:lang w:eastAsia="zh-CN"/>
        </w:rPr>
        <w:t>，</w:t>
      </w:r>
      <w:r>
        <w:rPr>
          <w:rFonts w:hint="eastAsia" w:ascii="仿宋_GB2312" w:hAnsi="仿宋" w:eastAsia="仿宋_GB2312" w:cs="Times New Roman"/>
          <w:sz w:val="32"/>
          <w:szCs w:val="32"/>
        </w:rPr>
        <w:t>下</w:t>
      </w:r>
      <w:r>
        <w:rPr>
          <w:rFonts w:hint="eastAsia" w:ascii="仿宋_GB2312" w:hAnsi="仿宋" w:eastAsia="仿宋_GB2312" w:cs="Times New Roman"/>
          <w:sz w:val="32"/>
          <w:szCs w:val="32"/>
          <w:lang w:eastAsia="zh-CN"/>
        </w:rPr>
        <w:t>设</w:t>
      </w:r>
      <w:r>
        <w:rPr>
          <w:rFonts w:hint="eastAsia" w:ascii="仿宋_GB2312" w:hAnsi="仿宋" w:eastAsia="仿宋_GB2312" w:cs="Times New Roman"/>
          <w:sz w:val="32"/>
          <w:szCs w:val="32"/>
        </w:rPr>
        <w:t>二级单位</w:t>
      </w:r>
      <w:r>
        <w:rPr>
          <w:rFonts w:hint="eastAsia" w:ascii="仿宋_GB2312" w:hAnsi="仿宋" w:eastAsia="仿宋_GB2312" w:cs="Times New Roman"/>
          <w:sz w:val="32"/>
          <w:szCs w:val="32"/>
          <w:lang w:val="en-US" w:eastAsia="zh-CN"/>
        </w:rPr>
        <w:t>1</w:t>
      </w:r>
      <w:r>
        <w:rPr>
          <w:rFonts w:hint="eastAsia" w:ascii="仿宋_GB2312" w:hAnsi="仿宋" w:eastAsia="仿宋_GB2312" w:cs="Times New Roman"/>
          <w:sz w:val="32"/>
          <w:szCs w:val="32"/>
        </w:rPr>
        <w:t>个，其中行政单位</w:t>
      </w:r>
      <w:r>
        <w:rPr>
          <w:rFonts w:hint="eastAsia" w:ascii="仿宋_GB2312" w:hAnsi="仿宋" w:eastAsia="仿宋_GB2312" w:cs="Times New Roman"/>
          <w:sz w:val="32"/>
          <w:szCs w:val="32"/>
          <w:lang w:val="en-US" w:eastAsia="zh-CN"/>
        </w:rPr>
        <w:t>0</w:t>
      </w:r>
      <w:r>
        <w:rPr>
          <w:rFonts w:hint="eastAsia" w:ascii="仿宋_GB2312" w:hAnsi="仿宋" w:eastAsia="仿宋_GB2312" w:cs="Times New Roman"/>
          <w:sz w:val="32"/>
          <w:szCs w:val="32"/>
        </w:rPr>
        <w:t>个，参照公务员法管理的事业单位</w:t>
      </w:r>
      <w:r>
        <w:rPr>
          <w:rFonts w:hint="eastAsia" w:ascii="仿宋_GB2312" w:hAnsi="仿宋" w:eastAsia="仿宋_GB2312" w:cs="Times New Roman"/>
          <w:sz w:val="32"/>
          <w:szCs w:val="32"/>
          <w:lang w:val="en-US" w:eastAsia="zh-CN"/>
        </w:rPr>
        <w:t>0</w:t>
      </w:r>
      <w:r>
        <w:rPr>
          <w:rFonts w:hint="eastAsia" w:ascii="仿宋_GB2312" w:hAnsi="仿宋" w:eastAsia="仿宋_GB2312" w:cs="Times New Roman"/>
          <w:sz w:val="32"/>
          <w:szCs w:val="32"/>
        </w:rPr>
        <w:t>个，其他事业单位</w:t>
      </w:r>
      <w:r>
        <w:rPr>
          <w:rFonts w:hint="eastAsia" w:ascii="仿宋_GB2312" w:hAnsi="仿宋" w:eastAsia="仿宋_GB2312" w:cs="Times New Roman"/>
          <w:sz w:val="32"/>
          <w:szCs w:val="32"/>
          <w:lang w:val="en-US" w:eastAsia="zh-CN"/>
        </w:rPr>
        <w:t>1</w:t>
      </w:r>
      <w:r>
        <w:rPr>
          <w:rFonts w:hint="eastAsia" w:ascii="仿宋_GB2312" w:hAnsi="仿宋" w:eastAsia="仿宋_GB2312" w:cs="Times New Roman"/>
          <w:sz w:val="32"/>
          <w:szCs w:val="32"/>
        </w:rPr>
        <w:t>个</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攀枝花市西区</w:t>
      </w:r>
      <w:r>
        <w:rPr>
          <w:rFonts w:hint="eastAsia" w:ascii="仿宋_GB2312" w:hAnsi="仿宋" w:eastAsia="仿宋_GB2312" w:cs="Times New Roman"/>
          <w:sz w:val="32"/>
          <w:szCs w:val="32"/>
          <w:lang w:eastAsia="zh-CN"/>
        </w:rPr>
        <w:t>生产力促进中心）</w:t>
      </w:r>
      <w:r>
        <w:rPr>
          <w:rFonts w:hint="eastAsia" w:ascii="仿宋_GB2312" w:hAnsi="仿宋" w:eastAsia="仿宋_GB2312" w:cs="Times New Roman"/>
          <w:sz w:val="32"/>
          <w:szCs w:val="32"/>
        </w:rPr>
        <w:t>。</w:t>
      </w:r>
    </w:p>
    <w:bookmarkEnd w:id="14"/>
    <w:bookmarkEnd w:id="15"/>
    <w:p w14:paraId="6D8269E3">
      <w:pPr>
        <w:widowControl/>
        <w:jc w:val="left"/>
        <w:rPr>
          <w:rFonts w:ascii="仿宋" w:hAnsi="仿宋" w:eastAsia="仿宋"/>
          <w:kern w:val="0"/>
          <w:sz w:val="32"/>
          <w:szCs w:val="32"/>
        </w:rPr>
      </w:pPr>
      <w:r>
        <w:rPr>
          <w:rFonts w:ascii="仿宋" w:hAnsi="仿宋" w:eastAsia="仿宋"/>
          <w:sz w:val="32"/>
          <w:szCs w:val="32"/>
        </w:rPr>
        <w:br w:type="page"/>
      </w:r>
    </w:p>
    <w:p w14:paraId="393F93E6">
      <w:pPr>
        <w:pStyle w:val="4"/>
        <w:ind w:right="440"/>
        <w:jc w:val="center"/>
        <w:rPr>
          <w:rStyle w:val="29"/>
          <w:rFonts w:ascii="黑体" w:hAnsi="黑体" w:eastAsia="黑体"/>
          <w:b w:val="0"/>
          <w:bCs/>
        </w:rPr>
      </w:pPr>
      <w:bookmarkStart w:id="16" w:name="_Toc15396602"/>
      <w:bookmarkStart w:id="17" w:name="_Toc15377204"/>
      <w:r>
        <w:rPr>
          <w:rFonts w:hint="eastAsia" w:ascii="黑体" w:hAnsi="黑体" w:eastAsia="黑体"/>
          <w:b w:val="0"/>
          <w:lang w:val="en-US" w:eastAsia="zh-CN"/>
        </w:rPr>
        <w:t xml:space="preserve">  </w:t>
      </w:r>
      <w:r>
        <w:rPr>
          <w:rFonts w:hint="eastAsia" w:ascii="黑体" w:hAnsi="黑体" w:eastAsia="黑体"/>
          <w:b w:val="0"/>
        </w:rPr>
        <w:t>第二部分 2023年度</w:t>
      </w:r>
      <w:r>
        <w:rPr>
          <w:rStyle w:val="29"/>
          <w:rFonts w:hint="eastAsia" w:ascii="黑体" w:hAnsi="黑体" w:eastAsia="黑体"/>
          <w:b w:val="0"/>
          <w:bCs/>
        </w:rPr>
        <w:t>单位决算情况说明</w:t>
      </w:r>
      <w:bookmarkEnd w:id="16"/>
      <w:bookmarkEnd w:id="17"/>
    </w:p>
    <w:p w14:paraId="466305CA"/>
    <w:p w14:paraId="4F309827">
      <w:pPr>
        <w:pStyle w:val="28"/>
        <w:numPr>
          <w:ilvl w:val="0"/>
          <w:numId w:val="1"/>
        </w:numPr>
        <w:spacing w:line="600" w:lineRule="exact"/>
        <w:ind w:firstLineChars="0"/>
        <w:outlineLvl w:val="1"/>
        <w:rPr>
          <w:rStyle w:val="30"/>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30"/>
          <w:rFonts w:hint="eastAsia" w:ascii="黑体" w:hAnsi="黑体" w:eastAsia="黑体"/>
          <w:b w:val="0"/>
        </w:rPr>
        <w:t>入支出决算总体情况说明</w:t>
      </w:r>
      <w:bookmarkEnd w:id="18"/>
      <w:bookmarkEnd w:id="19"/>
    </w:p>
    <w:p w14:paraId="2E88AAD0">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cs="Times New Roman"/>
          <w:b/>
          <w:bCs/>
          <w:sz w:val="32"/>
          <w:szCs w:val="32"/>
        </w:rPr>
        <w:t>296.14</w:t>
      </w:r>
      <w:r>
        <w:rPr>
          <w:rFonts w:hint="eastAsia" w:ascii="仿宋" w:hAnsi="仿宋" w:eastAsia="仿宋"/>
          <w:sz w:val="32"/>
          <w:szCs w:val="32"/>
        </w:rPr>
        <w:t>万元</w:t>
      </w:r>
      <w:r>
        <w:rPr>
          <w:rFonts w:hint="eastAsia"/>
          <w:sz w:val="32"/>
          <w:szCs w:val="32"/>
        </w:rPr>
        <w:t>。</w:t>
      </w:r>
      <w:r>
        <w:rPr>
          <w:rFonts w:hint="eastAsia" w:ascii="仿宋" w:hAnsi="仿宋" w:eastAsia="仿宋"/>
          <w:sz w:val="32"/>
          <w:szCs w:val="32"/>
        </w:rPr>
        <w:t>与2022年度相比，收、支总计各增加</w:t>
      </w:r>
      <w:r>
        <w:rPr>
          <w:rFonts w:hint="eastAsia" w:ascii="仿宋" w:hAnsi="仿宋" w:eastAsia="仿宋" w:cs="Times New Roman"/>
          <w:b/>
          <w:bCs/>
          <w:sz w:val="32"/>
          <w:szCs w:val="32"/>
          <w:lang w:val="en-US" w:eastAsia="zh-CN"/>
        </w:rPr>
        <w:t>148.17</w:t>
      </w:r>
      <w:r>
        <w:rPr>
          <w:rFonts w:hint="eastAsia" w:ascii="仿宋" w:hAnsi="仿宋" w:eastAsia="仿宋"/>
          <w:sz w:val="32"/>
          <w:szCs w:val="32"/>
        </w:rPr>
        <w:t>万元，增长</w:t>
      </w:r>
      <w:r>
        <w:rPr>
          <w:rFonts w:hint="eastAsia" w:ascii="仿宋" w:hAnsi="仿宋" w:eastAsia="仿宋" w:cs="Times New Roman"/>
          <w:b/>
          <w:bCs/>
          <w:sz w:val="32"/>
          <w:szCs w:val="32"/>
          <w:lang w:val="en-US" w:eastAsia="zh-CN"/>
        </w:rPr>
        <w:t>100.14%</w:t>
      </w:r>
      <w:r>
        <w:rPr>
          <w:rFonts w:hint="eastAsia" w:ascii="仿宋" w:hAnsi="仿宋" w:eastAsia="仿宋"/>
          <w:sz w:val="32"/>
          <w:szCs w:val="32"/>
        </w:rPr>
        <w:t>。主要变动原因是</w:t>
      </w:r>
      <w:r>
        <w:rPr>
          <w:rFonts w:hint="eastAsia" w:ascii="仿宋_GB2312" w:hAnsi="仿宋" w:eastAsia="仿宋_GB2312"/>
          <w:sz w:val="32"/>
          <w:szCs w:val="32"/>
          <w:lang w:eastAsia="zh-CN"/>
        </w:rPr>
        <w:t>基本支出及</w:t>
      </w:r>
      <w:r>
        <w:rPr>
          <w:rFonts w:hint="eastAsia" w:ascii="仿宋_GB2312" w:hAnsi="仿宋" w:eastAsia="仿宋_GB2312"/>
          <w:sz w:val="32"/>
          <w:szCs w:val="32"/>
        </w:rPr>
        <w:t>项目支出</w:t>
      </w:r>
      <w:r>
        <w:rPr>
          <w:rFonts w:hint="eastAsia" w:ascii="仿宋_GB2312" w:hAnsi="仿宋" w:eastAsia="仿宋_GB2312"/>
          <w:sz w:val="32"/>
          <w:szCs w:val="32"/>
          <w:lang w:eastAsia="zh-CN"/>
        </w:rPr>
        <w:t>增加</w:t>
      </w:r>
      <w:r>
        <w:rPr>
          <w:rFonts w:hint="eastAsia" w:ascii="仿宋" w:hAnsi="仿宋" w:eastAsia="仿宋"/>
          <w:sz w:val="32"/>
          <w:szCs w:val="32"/>
        </w:rPr>
        <w:t>。</w:t>
      </w:r>
    </w:p>
    <w:p w14:paraId="70101497">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58B79CF3">
      <w:pPr>
        <w:pStyle w:val="3"/>
        <w:rPr>
          <w:rFonts w:ascii="仿宋_GB2312" w:eastAsia="仿宋_GB2312"/>
          <w:sz w:val="32"/>
          <w:szCs w:val="32"/>
        </w:rPr>
      </w:pPr>
      <w:r>
        <w:rPr>
          <w:rFonts w:hint="eastAsia"/>
          <w:lang w:val="en-US" w:eastAsia="zh-CN"/>
        </w:rPr>
        <w:t xml:space="preserve">    </w:t>
      </w:r>
      <w:r>
        <w:drawing>
          <wp:inline distT="0" distB="0" distL="114300" distR="114300">
            <wp:extent cx="4596130" cy="2206625"/>
            <wp:effectExtent l="0" t="0" r="635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596130" cy="2206625"/>
                    </a:xfrm>
                    <a:prstGeom prst="rect">
                      <a:avLst/>
                    </a:prstGeom>
                    <a:noFill/>
                    <a:ln>
                      <a:noFill/>
                    </a:ln>
                  </pic:spPr>
                </pic:pic>
              </a:graphicData>
            </a:graphic>
          </wp:inline>
        </w:drawing>
      </w:r>
    </w:p>
    <w:p w14:paraId="2299F995">
      <w:pPr>
        <w:pStyle w:val="28"/>
        <w:numPr>
          <w:ilvl w:val="0"/>
          <w:numId w:val="1"/>
        </w:numPr>
        <w:spacing w:line="600" w:lineRule="exact"/>
        <w:ind w:firstLineChars="0"/>
        <w:outlineLvl w:val="1"/>
        <w:rPr>
          <w:rStyle w:val="30"/>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30"/>
          <w:rFonts w:hint="eastAsia" w:ascii="黑体" w:hAnsi="黑体" w:eastAsia="黑体"/>
          <w:b w:val="0"/>
        </w:rPr>
        <w:t>入决算情况说明</w:t>
      </w:r>
      <w:bookmarkEnd w:id="20"/>
      <w:bookmarkEnd w:id="21"/>
    </w:p>
    <w:p w14:paraId="4719B8C9">
      <w:pPr>
        <w:spacing w:line="600" w:lineRule="exact"/>
        <w:ind w:firstLine="640" w:firstLineChars="200"/>
        <w:jc w:val="left"/>
        <w:outlineLvl w:val="1"/>
        <w:rPr>
          <w:rFonts w:ascii="仿宋" w:hAnsi="仿宋" w:eastAsia="仿宋"/>
          <w:sz w:val="32"/>
          <w:szCs w:val="32"/>
        </w:rPr>
      </w:pPr>
      <w:r>
        <w:rPr>
          <w:rFonts w:hint="eastAsia" w:ascii="仿宋" w:hAnsi="仿宋" w:eastAsia="仿宋"/>
          <w:sz w:val="32"/>
          <w:szCs w:val="32"/>
        </w:rPr>
        <w:t>2023年度本年收入合计</w:t>
      </w:r>
      <w:r>
        <w:rPr>
          <w:rFonts w:hint="eastAsia" w:ascii="仿宋" w:hAnsi="仿宋" w:eastAsia="仿宋" w:cs="Times New Roman"/>
          <w:b/>
          <w:bCs/>
          <w:sz w:val="32"/>
          <w:szCs w:val="32"/>
          <w:lang w:val="en-US" w:eastAsia="zh-CN"/>
        </w:rPr>
        <w:t>296.14</w:t>
      </w:r>
      <w:r>
        <w:rPr>
          <w:rFonts w:hint="eastAsia" w:ascii="仿宋" w:hAnsi="仿宋" w:eastAsia="仿宋"/>
          <w:sz w:val="32"/>
          <w:szCs w:val="32"/>
        </w:rPr>
        <w:t>万元，其中：一般公共预算财政拨款收入</w:t>
      </w:r>
      <w:r>
        <w:rPr>
          <w:rFonts w:hint="eastAsia" w:ascii="仿宋" w:hAnsi="仿宋" w:eastAsia="仿宋" w:cs="Times New Roman"/>
          <w:b/>
          <w:bCs/>
          <w:sz w:val="32"/>
          <w:szCs w:val="32"/>
          <w:lang w:val="en-US" w:eastAsia="zh-CN"/>
        </w:rPr>
        <w:t>290.81</w:t>
      </w:r>
      <w:r>
        <w:rPr>
          <w:rFonts w:hint="eastAsia" w:ascii="仿宋" w:hAnsi="仿宋" w:eastAsia="仿宋"/>
          <w:sz w:val="32"/>
          <w:szCs w:val="32"/>
        </w:rPr>
        <w:t>万元，占</w:t>
      </w:r>
      <w:r>
        <w:rPr>
          <w:rFonts w:hint="eastAsia" w:ascii="仿宋" w:hAnsi="仿宋" w:eastAsia="仿宋" w:cs="Times New Roman"/>
          <w:b/>
          <w:bCs/>
          <w:sz w:val="32"/>
          <w:szCs w:val="32"/>
          <w:lang w:val="en-US" w:eastAsia="zh-CN"/>
        </w:rPr>
        <w:t>98.20%</w:t>
      </w:r>
      <w:r>
        <w:rPr>
          <w:rFonts w:hint="eastAsia" w:ascii="仿宋" w:hAnsi="仿宋" w:eastAsia="仿宋"/>
          <w:sz w:val="32"/>
          <w:szCs w:val="32"/>
        </w:rPr>
        <w:t>；政府性基金预算财政拨款收入</w:t>
      </w:r>
      <w:r>
        <w:rPr>
          <w:rFonts w:hint="eastAsia" w:ascii="仿宋" w:hAnsi="仿宋" w:eastAsia="仿宋" w:cs="Times New Roman"/>
          <w:b/>
          <w:bCs/>
          <w:sz w:val="32"/>
          <w:szCs w:val="32"/>
          <w:lang w:val="en-US" w:eastAsia="zh-CN"/>
        </w:rPr>
        <w:t>5.33</w:t>
      </w:r>
      <w:r>
        <w:rPr>
          <w:rFonts w:hint="eastAsia" w:ascii="仿宋" w:hAnsi="仿宋" w:eastAsia="仿宋"/>
          <w:sz w:val="32"/>
          <w:szCs w:val="32"/>
        </w:rPr>
        <w:t>万元，占</w:t>
      </w:r>
      <w:r>
        <w:rPr>
          <w:rFonts w:hint="eastAsia" w:ascii="仿宋" w:hAnsi="仿宋" w:eastAsia="仿宋" w:cs="Times New Roman"/>
          <w:b/>
          <w:bCs/>
          <w:sz w:val="32"/>
          <w:szCs w:val="32"/>
          <w:lang w:val="en-US" w:eastAsia="zh-CN"/>
        </w:rPr>
        <w:t>1.80%</w:t>
      </w:r>
      <w:r>
        <w:rPr>
          <w:rFonts w:hint="eastAsia" w:ascii="仿宋" w:hAnsi="仿宋" w:eastAsia="仿宋"/>
          <w:sz w:val="32"/>
          <w:szCs w:val="32"/>
        </w:rPr>
        <w:t>。</w:t>
      </w:r>
    </w:p>
    <w:p w14:paraId="38916C32">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w:t>
      </w:r>
    </w:p>
    <w:p w14:paraId="018A6AA3">
      <w:pPr>
        <w:pStyle w:val="3"/>
      </w:pPr>
      <w:r>
        <w:rPr>
          <w:rFonts w:hint="eastAsia"/>
          <w:lang w:val="en-US" w:eastAsia="zh-CN"/>
        </w:rPr>
        <w:t xml:space="preserve">    </w:t>
      </w:r>
      <w:r>
        <w:drawing>
          <wp:inline distT="0" distB="0" distL="114300" distR="114300">
            <wp:extent cx="4596130" cy="2225040"/>
            <wp:effectExtent l="0" t="0" r="635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7"/>
                    <a:stretch>
                      <a:fillRect/>
                    </a:stretch>
                  </pic:blipFill>
                  <pic:spPr>
                    <a:xfrm>
                      <a:off x="0" y="0"/>
                      <a:ext cx="4596130" cy="2225040"/>
                    </a:xfrm>
                    <a:prstGeom prst="rect">
                      <a:avLst/>
                    </a:prstGeom>
                    <a:noFill/>
                    <a:ln>
                      <a:noFill/>
                    </a:ln>
                  </pic:spPr>
                </pic:pic>
              </a:graphicData>
            </a:graphic>
          </wp:inline>
        </w:drawing>
      </w:r>
    </w:p>
    <w:p w14:paraId="2CFE5EFC">
      <w:pPr>
        <w:pStyle w:val="28"/>
        <w:numPr>
          <w:ilvl w:val="0"/>
          <w:numId w:val="1"/>
        </w:numPr>
        <w:spacing w:line="600" w:lineRule="exact"/>
        <w:ind w:firstLineChars="0"/>
        <w:outlineLvl w:val="1"/>
        <w:rPr>
          <w:rStyle w:val="30"/>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30"/>
          <w:rFonts w:hint="eastAsia" w:ascii="黑体" w:hAnsi="黑体" w:eastAsia="黑体"/>
          <w:b w:val="0"/>
        </w:rPr>
        <w:t>出决算情况说明</w:t>
      </w:r>
      <w:bookmarkEnd w:id="22"/>
      <w:bookmarkEnd w:id="23"/>
    </w:p>
    <w:p w14:paraId="5FADBDC8">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hint="eastAsia" w:ascii="仿宋" w:hAnsi="仿宋" w:eastAsia="仿宋" w:cs="Times New Roman"/>
          <w:b/>
          <w:bCs/>
          <w:sz w:val="32"/>
          <w:szCs w:val="32"/>
          <w:lang w:val="en-US" w:eastAsia="zh-CN"/>
        </w:rPr>
        <w:t>296.14</w:t>
      </w:r>
      <w:r>
        <w:rPr>
          <w:rFonts w:hint="eastAsia" w:ascii="仿宋" w:hAnsi="仿宋" w:eastAsia="仿宋"/>
          <w:sz w:val="32"/>
          <w:szCs w:val="32"/>
        </w:rPr>
        <w:t>万元，其中：基本支出</w:t>
      </w:r>
      <w:r>
        <w:rPr>
          <w:rFonts w:hint="eastAsia" w:ascii="仿宋" w:hAnsi="仿宋" w:eastAsia="仿宋" w:cs="Times New Roman"/>
          <w:b/>
          <w:bCs/>
          <w:sz w:val="32"/>
          <w:szCs w:val="32"/>
          <w:lang w:val="en-US" w:eastAsia="zh-CN"/>
        </w:rPr>
        <w:t>152.22</w:t>
      </w:r>
      <w:r>
        <w:rPr>
          <w:rFonts w:hint="eastAsia" w:ascii="仿宋" w:hAnsi="仿宋" w:eastAsia="仿宋"/>
          <w:sz w:val="32"/>
          <w:szCs w:val="32"/>
        </w:rPr>
        <w:t>万元，占</w:t>
      </w:r>
      <w:r>
        <w:rPr>
          <w:rFonts w:hint="eastAsia" w:ascii="仿宋" w:hAnsi="仿宋" w:eastAsia="仿宋" w:cs="Times New Roman"/>
          <w:b/>
          <w:bCs/>
          <w:sz w:val="32"/>
          <w:szCs w:val="32"/>
          <w:lang w:val="en-US" w:eastAsia="zh-CN"/>
        </w:rPr>
        <w:t>51.40%</w:t>
      </w:r>
      <w:r>
        <w:rPr>
          <w:rFonts w:hint="eastAsia" w:ascii="仿宋" w:hAnsi="仿宋" w:eastAsia="仿宋"/>
          <w:sz w:val="32"/>
          <w:szCs w:val="32"/>
        </w:rPr>
        <w:t>；项目支出</w:t>
      </w:r>
      <w:r>
        <w:rPr>
          <w:rFonts w:hint="eastAsia" w:ascii="仿宋" w:hAnsi="仿宋" w:eastAsia="仿宋" w:cs="Times New Roman"/>
          <w:b/>
          <w:bCs/>
          <w:sz w:val="32"/>
          <w:szCs w:val="32"/>
          <w:lang w:val="en-US" w:eastAsia="zh-CN"/>
        </w:rPr>
        <w:t>143.92</w:t>
      </w:r>
      <w:r>
        <w:rPr>
          <w:rFonts w:hint="eastAsia" w:ascii="仿宋" w:hAnsi="仿宋" w:eastAsia="仿宋"/>
          <w:sz w:val="32"/>
          <w:szCs w:val="32"/>
        </w:rPr>
        <w:t>万元，占</w:t>
      </w:r>
      <w:r>
        <w:rPr>
          <w:rFonts w:hint="eastAsia" w:ascii="仿宋" w:hAnsi="仿宋" w:eastAsia="仿宋" w:cs="Times New Roman"/>
          <w:b/>
          <w:bCs/>
          <w:sz w:val="32"/>
          <w:szCs w:val="32"/>
          <w:lang w:val="en-US" w:eastAsia="zh-CN"/>
        </w:rPr>
        <w:t>48.60%</w:t>
      </w:r>
      <w:r>
        <w:rPr>
          <w:rFonts w:hint="eastAsia" w:ascii="仿宋" w:hAnsi="仿宋" w:eastAsia="仿宋"/>
          <w:sz w:val="32"/>
          <w:szCs w:val="32"/>
        </w:rPr>
        <w:t>。</w:t>
      </w:r>
    </w:p>
    <w:p w14:paraId="12FCAE63">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w:t>
      </w:r>
    </w:p>
    <w:p w14:paraId="061707F2">
      <w:pPr>
        <w:pStyle w:val="3"/>
      </w:pPr>
      <w:r>
        <w:rPr>
          <w:rFonts w:hint="eastAsia"/>
          <w:lang w:val="en-US" w:eastAsia="zh-CN"/>
        </w:rPr>
        <w:t xml:space="preserve">    </w:t>
      </w:r>
      <w:r>
        <w:drawing>
          <wp:inline distT="0" distB="0" distL="114300" distR="114300">
            <wp:extent cx="4596130" cy="2206625"/>
            <wp:effectExtent l="0" t="0" r="6350" b="317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8"/>
                    <a:stretch>
                      <a:fillRect/>
                    </a:stretch>
                  </pic:blipFill>
                  <pic:spPr>
                    <a:xfrm>
                      <a:off x="0" y="0"/>
                      <a:ext cx="4596130" cy="2206625"/>
                    </a:xfrm>
                    <a:prstGeom prst="rect">
                      <a:avLst/>
                    </a:prstGeom>
                    <a:noFill/>
                    <a:ln>
                      <a:noFill/>
                    </a:ln>
                  </pic:spPr>
                </pic:pic>
              </a:graphicData>
            </a:graphic>
          </wp:inline>
        </w:drawing>
      </w:r>
    </w:p>
    <w:p w14:paraId="5F7B7A41">
      <w:pPr>
        <w:spacing w:line="600" w:lineRule="exact"/>
        <w:ind w:firstLine="640" w:firstLineChars="200"/>
        <w:outlineLvl w:val="1"/>
        <w:rPr>
          <w:rStyle w:val="30"/>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30"/>
          <w:rFonts w:hint="eastAsia" w:ascii="黑体" w:hAnsi="黑体" w:eastAsia="黑体"/>
          <w:b w:val="0"/>
        </w:rPr>
        <w:t>政拨款收入支出决算总体情况说明</w:t>
      </w:r>
      <w:bookmarkEnd w:id="24"/>
      <w:bookmarkEnd w:id="25"/>
    </w:p>
    <w:p w14:paraId="596EF932">
      <w:pPr>
        <w:spacing w:line="600" w:lineRule="exact"/>
        <w:ind w:firstLine="640"/>
        <w:rPr>
          <w:rFonts w:hint="default" w:ascii="仿宋" w:hAnsi="仿宋" w:eastAsia="仿宋"/>
          <w:sz w:val="32"/>
          <w:szCs w:val="32"/>
          <w:lang w:val="en-US"/>
        </w:rPr>
      </w:pPr>
      <w:r>
        <w:rPr>
          <w:rFonts w:hint="eastAsia" w:ascii="仿宋" w:hAnsi="仿宋" w:eastAsia="仿宋"/>
          <w:sz w:val="32"/>
          <w:szCs w:val="32"/>
        </w:rPr>
        <w:t>2023年度财政拨款收、支总计均为</w:t>
      </w:r>
      <w:r>
        <w:rPr>
          <w:rFonts w:hint="eastAsia" w:ascii="仿宋" w:hAnsi="仿宋" w:eastAsia="仿宋" w:cs="Times New Roman"/>
          <w:b/>
          <w:bCs/>
          <w:sz w:val="32"/>
          <w:szCs w:val="32"/>
          <w:lang w:val="en-US" w:eastAsia="zh-CN"/>
        </w:rPr>
        <w:t>296.14</w:t>
      </w:r>
      <w:r>
        <w:rPr>
          <w:rFonts w:hint="eastAsia" w:ascii="仿宋" w:hAnsi="仿宋" w:eastAsia="仿宋"/>
          <w:sz w:val="32"/>
          <w:szCs w:val="32"/>
        </w:rPr>
        <w:t>万元。与2022年度相比，财政拨款收、支总计各增加</w:t>
      </w:r>
      <w:r>
        <w:rPr>
          <w:rFonts w:hint="eastAsia" w:ascii="仿宋" w:hAnsi="仿宋" w:eastAsia="仿宋" w:cs="Times New Roman"/>
          <w:b/>
          <w:bCs/>
          <w:sz w:val="32"/>
          <w:szCs w:val="32"/>
          <w:lang w:val="en-US" w:eastAsia="zh-CN"/>
        </w:rPr>
        <w:t>148.17</w:t>
      </w:r>
      <w:r>
        <w:rPr>
          <w:rFonts w:hint="eastAsia" w:ascii="仿宋" w:hAnsi="仿宋" w:eastAsia="仿宋"/>
          <w:sz w:val="32"/>
          <w:szCs w:val="32"/>
        </w:rPr>
        <w:t>万元，增长</w:t>
      </w:r>
      <w:r>
        <w:rPr>
          <w:rFonts w:hint="eastAsia" w:ascii="仿宋" w:hAnsi="仿宋" w:eastAsia="仿宋" w:cs="Times New Roman"/>
          <w:b/>
          <w:bCs/>
          <w:sz w:val="32"/>
          <w:szCs w:val="32"/>
          <w:lang w:val="en-US" w:eastAsia="zh-CN"/>
        </w:rPr>
        <w:t>100.14%</w:t>
      </w:r>
      <w:r>
        <w:rPr>
          <w:rFonts w:hint="eastAsia" w:ascii="仿宋" w:hAnsi="仿宋" w:eastAsia="仿宋"/>
          <w:sz w:val="32"/>
          <w:szCs w:val="32"/>
        </w:rPr>
        <w:t>。主要变动原因是</w:t>
      </w:r>
      <w:r>
        <w:rPr>
          <w:rFonts w:hint="eastAsia" w:ascii="仿宋_GB2312" w:hAnsi="仿宋" w:eastAsia="仿宋_GB2312"/>
          <w:sz w:val="32"/>
          <w:szCs w:val="32"/>
          <w:lang w:eastAsia="zh-CN"/>
        </w:rPr>
        <w:t>基本支出及</w:t>
      </w:r>
      <w:r>
        <w:rPr>
          <w:rFonts w:hint="eastAsia" w:ascii="仿宋_GB2312" w:hAnsi="仿宋" w:eastAsia="仿宋_GB2312"/>
          <w:sz w:val="32"/>
          <w:szCs w:val="32"/>
        </w:rPr>
        <w:t>项目支出</w:t>
      </w:r>
      <w:r>
        <w:rPr>
          <w:rFonts w:hint="eastAsia" w:ascii="仿宋_GB2312" w:hAnsi="仿宋" w:eastAsia="仿宋_GB2312"/>
          <w:sz w:val="32"/>
          <w:szCs w:val="32"/>
          <w:lang w:eastAsia="zh-CN"/>
        </w:rPr>
        <w:t>增加。</w:t>
      </w:r>
    </w:p>
    <w:p w14:paraId="08F5C14A">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p>
    <w:p w14:paraId="680AF72E">
      <w:pPr>
        <w:spacing w:line="600" w:lineRule="exact"/>
        <w:ind w:firstLine="640" w:firstLineChars="200"/>
        <w:rPr>
          <w:rFonts w:ascii="仿宋" w:hAnsi="仿宋" w:eastAsia="仿宋"/>
          <w:sz w:val="32"/>
          <w:szCs w:val="32"/>
        </w:rPr>
      </w:pPr>
    </w:p>
    <w:p w14:paraId="2333FA24">
      <w:pPr>
        <w:pStyle w:val="3"/>
      </w:pPr>
      <w:r>
        <w:rPr>
          <w:rFonts w:hint="eastAsia"/>
          <w:lang w:val="en-US" w:eastAsia="zh-CN"/>
        </w:rPr>
        <w:t xml:space="preserve">    </w:t>
      </w:r>
      <w:r>
        <w:drawing>
          <wp:inline distT="0" distB="0" distL="114300" distR="114300">
            <wp:extent cx="4596130" cy="2206625"/>
            <wp:effectExtent l="0" t="0" r="635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4596130" cy="2206625"/>
                    </a:xfrm>
                    <a:prstGeom prst="rect">
                      <a:avLst/>
                    </a:prstGeom>
                    <a:noFill/>
                    <a:ln>
                      <a:noFill/>
                    </a:ln>
                  </pic:spPr>
                </pic:pic>
              </a:graphicData>
            </a:graphic>
          </wp:inline>
        </w:drawing>
      </w:r>
    </w:p>
    <w:p w14:paraId="2E1210A2">
      <w:pPr>
        <w:spacing w:line="600" w:lineRule="exact"/>
        <w:ind w:firstLine="640" w:firstLineChars="200"/>
        <w:outlineLvl w:val="1"/>
        <w:rPr>
          <w:rStyle w:val="30"/>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30"/>
          <w:rFonts w:hint="eastAsia" w:ascii="黑体" w:hAnsi="黑体" w:eastAsia="黑体"/>
          <w:b w:val="0"/>
        </w:rPr>
        <w:t>般公共预算财政拨款支出决算情况说明</w:t>
      </w:r>
      <w:bookmarkEnd w:id="26"/>
      <w:bookmarkEnd w:id="27"/>
    </w:p>
    <w:p w14:paraId="219A9FCB">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17C911B6">
      <w:pPr>
        <w:spacing w:line="600" w:lineRule="exact"/>
        <w:ind w:firstLine="640" w:firstLineChars="200"/>
        <w:rPr>
          <w:rFonts w:hint="default" w:ascii="仿宋" w:hAnsi="仿宋" w:eastAsia="仿宋"/>
          <w:sz w:val="32"/>
          <w:szCs w:val="32"/>
          <w:lang w:val="en-US"/>
        </w:rPr>
      </w:pPr>
      <w:r>
        <w:rPr>
          <w:rFonts w:hint="eastAsia" w:ascii="仿宋" w:hAnsi="仿宋" w:eastAsia="仿宋"/>
          <w:sz w:val="32"/>
          <w:szCs w:val="32"/>
        </w:rPr>
        <w:t>2023年度一般公共预算财政拨款支出</w:t>
      </w:r>
      <w:r>
        <w:rPr>
          <w:rFonts w:hint="eastAsia" w:ascii="仿宋" w:hAnsi="仿宋" w:eastAsia="仿宋" w:cs="Times New Roman"/>
          <w:b/>
          <w:bCs/>
          <w:sz w:val="32"/>
          <w:szCs w:val="32"/>
        </w:rPr>
        <w:t>290.8</w:t>
      </w:r>
      <w:r>
        <w:rPr>
          <w:rFonts w:hint="eastAsia" w:ascii="仿宋" w:hAnsi="仿宋" w:eastAsia="仿宋" w:cs="Times New Roman"/>
          <w:b/>
          <w:bCs/>
          <w:sz w:val="32"/>
          <w:szCs w:val="32"/>
          <w:lang w:val="en-US" w:eastAsia="zh-CN"/>
        </w:rPr>
        <w:t>1</w:t>
      </w:r>
      <w:r>
        <w:rPr>
          <w:rFonts w:hint="eastAsia" w:ascii="仿宋" w:hAnsi="仿宋" w:eastAsia="仿宋"/>
          <w:sz w:val="32"/>
          <w:szCs w:val="32"/>
        </w:rPr>
        <w:t>万元，占本年支出合计的</w:t>
      </w:r>
      <w:r>
        <w:rPr>
          <w:rFonts w:hint="eastAsia" w:ascii="仿宋" w:hAnsi="仿宋" w:eastAsia="仿宋" w:cs="Times New Roman"/>
          <w:b/>
          <w:bCs/>
          <w:sz w:val="32"/>
          <w:szCs w:val="32"/>
        </w:rPr>
        <w:t>98.</w:t>
      </w:r>
      <w:r>
        <w:rPr>
          <w:rFonts w:hint="eastAsia" w:ascii="仿宋" w:hAnsi="仿宋" w:eastAsia="仿宋" w:cs="Times New Roman"/>
          <w:b/>
          <w:bCs/>
          <w:sz w:val="32"/>
          <w:szCs w:val="32"/>
          <w:lang w:val="en-US" w:eastAsia="zh-CN"/>
        </w:rPr>
        <w:t>20</w:t>
      </w:r>
      <w:r>
        <w:rPr>
          <w:rFonts w:hint="eastAsia" w:ascii="仿宋" w:hAnsi="仿宋" w:eastAsia="仿宋" w:cs="Times New Roman"/>
          <w:b/>
          <w:bCs/>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cs="Times New Roman"/>
          <w:b/>
          <w:bCs/>
          <w:sz w:val="32"/>
          <w:szCs w:val="32"/>
          <w:lang w:val="en-US" w:eastAsia="zh-CN"/>
        </w:rPr>
        <w:t>142.84</w:t>
      </w:r>
      <w:r>
        <w:rPr>
          <w:rFonts w:hint="eastAsia" w:ascii="仿宋" w:hAnsi="仿宋" w:eastAsia="仿宋"/>
          <w:sz w:val="32"/>
          <w:szCs w:val="32"/>
        </w:rPr>
        <w:t>万元，增长</w:t>
      </w:r>
      <w:r>
        <w:rPr>
          <w:rFonts w:hint="eastAsia" w:ascii="仿宋" w:hAnsi="仿宋" w:eastAsia="仿宋" w:cs="Times New Roman"/>
          <w:b/>
          <w:bCs/>
          <w:sz w:val="32"/>
          <w:szCs w:val="32"/>
          <w:lang w:val="en-US" w:eastAsia="zh-CN"/>
        </w:rPr>
        <w:t>96.53%</w:t>
      </w:r>
      <w:r>
        <w:rPr>
          <w:rFonts w:hint="eastAsia" w:ascii="仿宋" w:hAnsi="仿宋" w:eastAsia="仿宋"/>
          <w:sz w:val="32"/>
          <w:szCs w:val="32"/>
        </w:rPr>
        <w:t>。主要变动原因是</w:t>
      </w:r>
      <w:r>
        <w:rPr>
          <w:rFonts w:hint="eastAsia" w:ascii="仿宋_GB2312" w:hAnsi="仿宋" w:eastAsia="仿宋_GB2312"/>
          <w:sz w:val="32"/>
          <w:szCs w:val="32"/>
          <w:lang w:eastAsia="zh-CN"/>
        </w:rPr>
        <w:t>基本支出及</w:t>
      </w:r>
      <w:r>
        <w:rPr>
          <w:rFonts w:hint="eastAsia" w:ascii="仿宋_GB2312" w:hAnsi="仿宋" w:eastAsia="仿宋_GB2312"/>
          <w:sz w:val="32"/>
          <w:szCs w:val="32"/>
        </w:rPr>
        <w:t>项目支出</w:t>
      </w:r>
      <w:r>
        <w:rPr>
          <w:rFonts w:hint="eastAsia" w:ascii="仿宋_GB2312" w:hAnsi="仿宋" w:eastAsia="仿宋_GB2312"/>
          <w:sz w:val="32"/>
          <w:szCs w:val="32"/>
          <w:lang w:eastAsia="zh-CN"/>
        </w:rPr>
        <w:t>增加。</w:t>
      </w:r>
    </w:p>
    <w:p w14:paraId="3C8CE97C">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14:paraId="22124A6A">
      <w:pPr>
        <w:pStyle w:val="3"/>
      </w:pPr>
      <w:r>
        <w:rPr>
          <w:rFonts w:hint="eastAsia"/>
          <w:lang w:val="en-US" w:eastAsia="zh-CN"/>
        </w:rPr>
        <w:t xml:space="preserve">    </w:t>
      </w:r>
      <w:r>
        <w:drawing>
          <wp:inline distT="0" distB="0" distL="114300" distR="114300">
            <wp:extent cx="4596130" cy="2225040"/>
            <wp:effectExtent l="0" t="0" r="635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4596130" cy="2225040"/>
                    </a:xfrm>
                    <a:prstGeom prst="rect">
                      <a:avLst/>
                    </a:prstGeom>
                    <a:noFill/>
                    <a:ln>
                      <a:noFill/>
                    </a:ln>
                  </pic:spPr>
                </pic:pic>
              </a:graphicData>
            </a:graphic>
          </wp:inline>
        </w:drawing>
      </w:r>
    </w:p>
    <w:p w14:paraId="5A86D9FC">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1E08D978">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rFonts w:hint="eastAsia" w:ascii="仿宋" w:hAnsi="仿宋" w:eastAsia="仿宋" w:cs="Times New Roman"/>
          <w:b/>
          <w:bCs/>
          <w:sz w:val="32"/>
          <w:szCs w:val="32"/>
        </w:rPr>
        <w:t>290.8</w:t>
      </w:r>
      <w:r>
        <w:rPr>
          <w:rFonts w:hint="eastAsia" w:ascii="仿宋" w:hAnsi="仿宋" w:eastAsia="仿宋" w:cs="Times New Roman"/>
          <w:b/>
          <w:bCs/>
          <w:sz w:val="32"/>
          <w:szCs w:val="32"/>
          <w:lang w:val="en-US" w:eastAsia="zh-CN"/>
        </w:rPr>
        <w:t>1</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lang w:val="en-US" w:eastAsia="zh-CN"/>
        </w:rPr>
        <w:t>253.29</w:t>
      </w:r>
      <w:r>
        <w:rPr>
          <w:rFonts w:hint="eastAsia" w:ascii="仿宋" w:hAnsi="仿宋" w:eastAsia="仿宋"/>
          <w:sz w:val="32"/>
          <w:szCs w:val="32"/>
        </w:rPr>
        <w:t>万元，占</w:t>
      </w:r>
      <w:r>
        <w:rPr>
          <w:rFonts w:hint="eastAsia" w:ascii="仿宋" w:hAnsi="仿宋" w:eastAsia="仿宋"/>
          <w:sz w:val="32"/>
          <w:szCs w:val="32"/>
          <w:lang w:val="en-US" w:eastAsia="zh-CN"/>
        </w:rPr>
        <w:t>87.10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16.16</w:t>
      </w:r>
      <w:r>
        <w:rPr>
          <w:rFonts w:hint="eastAsia" w:ascii="仿宋" w:hAnsi="仿宋" w:eastAsia="仿宋"/>
          <w:sz w:val="32"/>
          <w:szCs w:val="32"/>
        </w:rPr>
        <w:t>万元，占</w:t>
      </w:r>
      <w:r>
        <w:rPr>
          <w:rFonts w:hint="eastAsia" w:ascii="仿宋" w:hAnsi="仿宋" w:eastAsia="仿宋"/>
          <w:sz w:val="32"/>
          <w:szCs w:val="32"/>
          <w:lang w:val="en-US" w:eastAsia="zh-CN"/>
        </w:rPr>
        <w:t>5.56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10.73</w:t>
      </w:r>
      <w:r>
        <w:rPr>
          <w:rFonts w:hint="eastAsia" w:ascii="仿宋" w:hAnsi="仿宋" w:eastAsia="仿宋"/>
          <w:sz w:val="32"/>
          <w:szCs w:val="32"/>
        </w:rPr>
        <w:t>万元，占</w:t>
      </w:r>
      <w:r>
        <w:rPr>
          <w:rFonts w:hint="eastAsia" w:ascii="仿宋" w:hAnsi="仿宋" w:eastAsia="仿宋"/>
          <w:sz w:val="32"/>
          <w:szCs w:val="32"/>
          <w:lang w:val="en-US" w:eastAsia="zh-CN"/>
        </w:rPr>
        <w:t>3.69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10.63</w:t>
      </w:r>
      <w:r>
        <w:rPr>
          <w:rFonts w:hint="eastAsia" w:ascii="仿宋" w:hAnsi="仿宋" w:eastAsia="仿宋"/>
          <w:sz w:val="32"/>
          <w:szCs w:val="32"/>
        </w:rPr>
        <w:t>万元，占</w:t>
      </w:r>
      <w:r>
        <w:rPr>
          <w:rFonts w:hint="eastAsia" w:ascii="仿宋" w:hAnsi="仿宋" w:eastAsia="仿宋"/>
          <w:sz w:val="32"/>
          <w:szCs w:val="32"/>
          <w:lang w:val="en-US" w:eastAsia="zh-CN"/>
        </w:rPr>
        <w:t>3.65</w:t>
      </w:r>
      <w:r>
        <w:rPr>
          <w:rFonts w:ascii="仿宋" w:hAnsi="仿宋" w:eastAsia="仿宋"/>
          <w:sz w:val="32"/>
          <w:szCs w:val="32"/>
        </w:rPr>
        <w:t>%</w:t>
      </w:r>
      <w:r>
        <w:rPr>
          <w:rFonts w:hint="eastAsia" w:ascii="仿宋" w:hAnsi="仿宋" w:eastAsia="仿宋"/>
          <w:sz w:val="32"/>
          <w:szCs w:val="32"/>
        </w:rPr>
        <w:t>。</w:t>
      </w:r>
    </w:p>
    <w:p w14:paraId="666B7131">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（图6：一般公共预算财政拨款支出决算结构）</w:t>
      </w:r>
    </w:p>
    <w:p w14:paraId="52F1F056">
      <w:pPr>
        <w:pStyle w:val="3"/>
        <w:rPr>
          <w:rFonts w:hint="eastAsia" w:ascii="仿宋" w:hAnsi="仿宋" w:eastAsia="仿宋"/>
          <w:sz w:val="32"/>
          <w:szCs w:val="32"/>
        </w:rPr>
      </w:pPr>
      <w:r>
        <w:rPr>
          <w:rFonts w:hint="eastAsia"/>
          <w:lang w:val="en-US" w:eastAsia="zh-CN"/>
        </w:rPr>
        <w:t xml:space="preserve">    </w:t>
      </w:r>
      <w:r>
        <w:drawing>
          <wp:inline distT="0" distB="0" distL="114300" distR="114300">
            <wp:extent cx="4596130" cy="2200910"/>
            <wp:effectExtent l="0" t="0" r="6350" b="889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0"/>
                    <a:stretch>
                      <a:fillRect/>
                    </a:stretch>
                  </pic:blipFill>
                  <pic:spPr>
                    <a:xfrm>
                      <a:off x="0" y="0"/>
                      <a:ext cx="4596130" cy="2200910"/>
                    </a:xfrm>
                    <a:prstGeom prst="rect">
                      <a:avLst/>
                    </a:prstGeom>
                    <a:noFill/>
                    <a:ln>
                      <a:noFill/>
                    </a:ln>
                  </pic:spPr>
                </pic:pic>
              </a:graphicData>
            </a:graphic>
          </wp:inline>
        </w:drawing>
      </w:r>
    </w:p>
    <w:p w14:paraId="22D715B0">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06FAAB28">
      <w:pPr>
        <w:spacing w:line="600" w:lineRule="exact"/>
        <w:ind w:firstLine="643" w:firstLineChars="200"/>
        <w:outlineLvl w:val="2"/>
        <w:rPr>
          <w:rFonts w:ascii="仿宋" w:hAnsi="仿宋" w:eastAsia="仿宋"/>
          <w:sz w:val="32"/>
          <w:szCs w:val="32"/>
        </w:rPr>
      </w:pPr>
      <w:bookmarkStart w:id="31" w:name="_Toc15377444"/>
      <w:bookmarkStart w:id="32" w:name="_Toc15377213"/>
      <w:bookmarkStart w:id="33" w:name="_Toc15378460"/>
      <w:bookmarkStart w:id="34" w:name="_Toc15377214"/>
      <w:bookmarkStart w:id="35" w:name="_Toc15396608"/>
      <w:r>
        <w:rPr>
          <w:rFonts w:hint="eastAsia" w:ascii="仿宋" w:hAnsi="仿宋" w:eastAsia="仿宋"/>
          <w:b/>
          <w:sz w:val="32"/>
          <w:szCs w:val="32"/>
        </w:rPr>
        <w:t>2023年度一般公共预算支出决算数为</w:t>
      </w:r>
      <w:r>
        <w:rPr>
          <w:rFonts w:hint="eastAsia" w:ascii="仿宋" w:hAnsi="仿宋" w:eastAsia="仿宋" w:cs="Times New Roman"/>
          <w:b/>
          <w:bCs/>
          <w:sz w:val="32"/>
          <w:szCs w:val="32"/>
          <w:lang w:val="en-US" w:eastAsia="zh-CN"/>
        </w:rPr>
        <w:t>290.81</w:t>
      </w:r>
      <w:r>
        <w:rPr>
          <w:rFonts w:hint="eastAsia"/>
          <w:sz w:val="32"/>
          <w:szCs w:val="32"/>
          <w:lang w:val="en-US" w:eastAsia="zh-CN"/>
        </w:rPr>
        <w:t>万元</w:t>
      </w:r>
      <w:r>
        <w:rPr>
          <w:rFonts w:hint="eastAsia" w:ascii="仿宋" w:hAnsi="仿宋" w:eastAsia="仿宋"/>
          <w:sz w:val="32"/>
          <w:szCs w:val="32"/>
        </w:rPr>
        <w:t>，</w:t>
      </w:r>
      <w:r>
        <w:rPr>
          <w:rStyle w:val="18"/>
          <w:rFonts w:hint="eastAsia" w:ascii="仿宋" w:hAnsi="仿宋" w:eastAsia="仿宋"/>
          <w:bCs/>
          <w:sz w:val="32"/>
          <w:szCs w:val="32"/>
        </w:rPr>
        <w:t>完成预算</w:t>
      </w:r>
      <w:r>
        <w:rPr>
          <w:rStyle w:val="18"/>
          <w:rFonts w:hint="eastAsia" w:ascii="仿宋" w:hAnsi="仿宋" w:eastAsia="仿宋"/>
          <w:bCs/>
          <w:sz w:val="32"/>
          <w:szCs w:val="32"/>
          <w:lang w:val="en-US" w:eastAsia="zh-CN"/>
        </w:rPr>
        <w:t>100</w:t>
      </w:r>
      <w:r>
        <w:rPr>
          <w:rStyle w:val="18"/>
          <w:rFonts w:ascii="仿宋" w:hAnsi="仿宋" w:eastAsia="仿宋"/>
          <w:bCs/>
          <w:sz w:val="32"/>
          <w:szCs w:val="32"/>
        </w:rPr>
        <w:t>%</w:t>
      </w:r>
      <w:r>
        <w:rPr>
          <w:rStyle w:val="18"/>
          <w:rFonts w:hint="eastAsia" w:ascii="仿宋" w:hAnsi="仿宋" w:eastAsia="仿宋"/>
          <w:bCs/>
          <w:sz w:val="32"/>
          <w:szCs w:val="32"/>
        </w:rPr>
        <w:t>。其中：</w:t>
      </w:r>
      <w:bookmarkEnd w:id="31"/>
      <w:bookmarkEnd w:id="32"/>
      <w:bookmarkEnd w:id="33"/>
    </w:p>
    <w:p w14:paraId="6E182C7B">
      <w:pPr>
        <w:numPr>
          <w:ilvl w:val="0"/>
          <w:numId w:val="0"/>
        </w:numPr>
        <w:spacing w:line="600" w:lineRule="exact"/>
        <w:ind w:firstLine="643" w:firstLineChars="200"/>
        <w:rPr>
          <w:rStyle w:val="18"/>
          <w:rFonts w:ascii="仿宋" w:hAnsi="仿宋" w:eastAsia="仿宋"/>
          <w:b w:val="0"/>
          <w:bCs/>
          <w:sz w:val="32"/>
          <w:szCs w:val="32"/>
        </w:rPr>
      </w:pPr>
      <w:r>
        <w:rPr>
          <w:rStyle w:val="18"/>
          <w:rFonts w:hint="eastAsia" w:ascii="仿宋" w:hAnsi="仿宋" w:eastAsia="仿宋"/>
          <w:bCs/>
          <w:color w:val="0D0D0D" w:themeColor="text1" w:themeTint="F2"/>
          <w:sz w:val="32"/>
          <w:szCs w:val="32"/>
          <w:lang w:val="en-US" w:eastAsia="zh-CN"/>
          <w14:textFill>
            <w14:solidFill>
              <w14:schemeClr w14:val="tx1">
                <w14:lumMod w14:val="95000"/>
                <w14:lumOff w14:val="5000"/>
              </w14:schemeClr>
            </w14:solidFill>
          </w14:textFill>
        </w:rPr>
        <w:t>1.</w:t>
      </w:r>
      <w:r>
        <w:rPr>
          <w:rStyle w:val="18"/>
          <w:rFonts w:hint="eastAsia" w:ascii="仿宋" w:hAnsi="仿宋" w:eastAsia="仿宋"/>
          <w:bCs/>
          <w:color w:val="0D0D0D" w:themeColor="text1" w:themeTint="F2"/>
          <w:sz w:val="32"/>
          <w:szCs w:val="32"/>
          <w14:textFill>
            <w14:solidFill>
              <w14:schemeClr w14:val="tx1">
                <w14:lumMod w14:val="95000"/>
                <w14:lumOff w14:val="5000"/>
              </w14:schemeClr>
            </w14:solidFill>
          </w14:textFill>
        </w:rPr>
        <w:t>科学技术支出（类）科学技术管理事务（款）行政运行（项）</w:t>
      </w:r>
      <w:r>
        <w:rPr>
          <w:rStyle w:val="18"/>
          <w:rFonts w:ascii="仿宋" w:hAnsi="仿宋" w:eastAsia="仿宋"/>
          <w:bCs/>
          <w:color w:val="0D0D0D" w:themeColor="text1" w:themeTint="F2"/>
          <w:sz w:val="32"/>
          <w:szCs w:val="32"/>
          <w14:textFill>
            <w14:solidFill>
              <w14:schemeClr w14:val="tx1">
                <w14:lumMod w14:val="95000"/>
                <w14:lumOff w14:val="5000"/>
              </w14:schemeClr>
            </w14:solidFill>
          </w14:textFill>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80.05</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w:t>
      </w:r>
      <w:r>
        <w:rPr>
          <w:rStyle w:val="18"/>
          <w:rFonts w:hint="eastAsia" w:ascii="仿宋" w:hAnsi="仿宋" w:eastAsia="仿宋"/>
          <w:bCs/>
          <w:sz w:val="32"/>
          <w:szCs w:val="32"/>
        </w:rPr>
        <w:t>其他科学技术管理事务支出（项）</w:t>
      </w:r>
      <w:r>
        <w:rPr>
          <w:rStyle w:val="18"/>
          <w:rFonts w:ascii="仿宋" w:hAnsi="仿宋" w:eastAsia="仿宋"/>
          <w:bCs/>
          <w:sz w:val="32"/>
          <w:szCs w:val="32"/>
        </w:rPr>
        <w:t>:</w:t>
      </w:r>
      <w:r>
        <w:rPr>
          <w:rStyle w:val="18"/>
          <w:rFonts w:hint="eastAsia" w:ascii="仿宋" w:hAnsi="仿宋" w:eastAsia="仿宋"/>
          <w:b w:val="0"/>
          <w:bCs/>
          <w:sz w:val="32"/>
          <w:szCs w:val="32"/>
        </w:rPr>
        <w:t>支出决算为3</w:t>
      </w:r>
      <w:r>
        <w:rPr>
          <w:rStyle w:val="18"/>
          <w:rFonts w:hint="eastAsia" w:ascii="仿宋" w:hAnsi="仿宋" w:eastAsia="仿宋"/>
          <w:b w:val="0"/>
          <w:bCs/>
          <w:sz w:val="32"/>
          <w:szCs w:val="32"/>
          <w:lang w:val="en-US" w:eastAsia="zh-CN"/>
        </w:rPr>
        <w:t>4.65</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w:t>
      </w:r>
      <w:r>
        <w:rPr>
          <w:rStyle w:val="18"/>
          <w:rFonts w:hint="eastAsia" w:ascii="仿宋" w:hAnsi="仿宋" w:eastAsia="仿宋"/>
          <w:bCs/>
          <w:sz w:val="32"/>
          <w:szCs w:val="32"/>
        </w:rPr>
        <w:t>技术研究与开发（款）科技成果转化与扩散（项）</w:t>
      </w:r>
      <w:r>
        <w:rPr>
          <w:rStyle w:val="18"/>
          <w:rFonts w:ascii="仿宋" w:hAnsi="仿宋" w:eastAsia="仿宋"/>
          <w:bCs/>
          <w:sz w:val="32"/>
          <w:szCs w:val="32"/>
        </w:rPr>
        <w:t>:</w:t>
      </w:r>
      <w:r>
        <w:rPr>
          <w:rStyle w:val="18"/>
          <w:rFonts w:hint="eastAsia" w:ascii="仿宋" w:hAnsi="仿宋" w:eastAsia="仿宋"/>
          <w:b w:val="0"/>
          <w:bCs/>
          <w:sz w:val="32"/>
          <w:szCs w:val="32"/>
        </w:rPr>
        <w:t>支出决算为1</w:t>
      </w:r>
      <w:r>
        <w:rPr>
          <w:rStyle w:val="18"/>
          <w:rFonts w:hint="eastAsia" w:ascii="仿宋" w:hAnsi="仿宋" w:eastAsia="仿宋"/>
          <w:b w:val="0"/>
          <w:bCs/>
          <w:sz w:val="32"/>
          <w:szCs w:val="32"/>
          <w:lang w:val="en-US" w:eastAsia="zh-CN"/>
        </w:rPr>
        <w:t>19.43</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w:t>
      </w:r>
      <w:r>
        <w:rPr>
          <w:rStyle w:val="18"/>
          <w:rFonts w:hint="eastAsia" w:ascii="仿宋" w:hAnsi="仿宋" w:eastAsia="仿宋" w:cstheme="minorBidi"/>
          <w:bCs/>
          <w:sz w:val="32"/>
          <w:szCs w:val="32"/>
        </w:rPr>
        <w:t>其他科学技术支出（</w:t>
      </w:r>
      <w:r>
        <w:rPr>
          <w:rStyle w:val="18"/>
          <w:rFonts w:hint="eastAsia" w:ascii="仿宋" w:hAnsi="仿宋" w:eastAsia="仿宋"/>
          <w:bCs/>
          <w:sz w:val="32"/>
          <w:szCs w:val="32"/>
        </w:rPr>
        <w:t>款）其他科学技术支出（项）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19.16</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283E5835">
      <w:pPr>
        <w:spacing w:line="600" w:lineRule="exact"/>
        <w:ind w:firstLine="643" w:firstLineChars="200"/>
        <w:rPr>
          <w:rFonts w:ascii="仿宋" w:hAnsi="仿宋" w:eastAsia="仿宋"/>
          <w:b/>
          <w:sz w:val="32"/>
          <w:szCs w:val="32"/>
        </w:rPr>
      </w:pPr>
      <w:r>
        <w:rPr>
          <w:rStyle w:val="18"/>
          <w:rFonts w:hint="eastAsia" w:ascii="仿宋_GB2312" w:hAnsi="仿宋" w:eastAsia="仿宋_GB2312"/>
          <w:bCs/>
          <w:sz w:val="32"/>
          <w:szCs w:val="32"/>
        </w:rPr>
        <w:t>2.</w:t>
      </w:r>
      <w:r>
        <w:rPr>
          <w:rStyle w:val="18"/>
          <w:rFonts w:hint="eastAsia" w:ascii="仿宋_GB2312" w:hAnsi="仿宋" w:eastAsia="仿宋_GB2312"/>
          <w:bCs/>
          <w:color w:val="0D0D0D" w:themeColor="text1" w:themeTint="F2"/>
          <w:sz w:val="32"/>
          <w:szCs w:val="32"/>
          <w14:textFill>
            <w14:solidFill>
              <w14:schemeClr w14:val="tx1">
                <w14:lumMod w14:val="95000"/>
                <w14:lumOff w14:val="5000"/>
              </w14:schemeClr>
            </w14:solidFill>
          </w14:textFill>
        </w:rPr>
        <w:t>社会保障和就业支出（类）行政事业单位养老支出（款）行政单位离退休（项）</w:t>
      </w:r>
      <w:r>
        <w:rPr>
          <w:rStyle w:val="18"/>
          <w:rFonts w:hint="eastAsia" w:ascii="仿宋_GB2312" w:hAnsi="仿宋" w:eastAsia="仿宋_GB2312"/>
          <w:bCs/>
          <w:sz w:val="32"/>
          <w:szCs w:val="32"/>
        </w:rPr>
        <w:t xml:space="preserve">: </w:t>
      </w:r>
      <w:r>
        <w:rPr>
          <w:rStyle w:val="18"/>
          <w:rFonts w:hint="eastAsia" w:ascii="仿宋_GB2312" w:hAnsi="仿宋" w:eastAsia="仿宋_GB2312"/>
          <w:b w:val="0"/>
          <w:sz w:val="32"/>
          <w:szCs w:val="32"/>
        </w:rPr>
        <w:t>支出决算为</w:t>
      </w:r>
      <w:r>
        <w:rPr>
          <w:rStyle w:val="18"/>
          <w:rFonts w:hint="eastAsia" w:ascii="仿宋_GB2312" w:hAnsi="仿宋" w:eastAsia="仿宋_GB2312"/>
          <w:b w:val="0"/>
          <w:sz w:val="32"/>
          <w:szCs w:val="32"/>
          <w:lang w:val="en-US" w:eastAsia="zh-CN"/>
        </w:rPr>
        <w:t>1.02</w:t>
      </w:r>
      <w:r>
        <w:rPr>
          <w:rStyle w:val="18"/>
          <w:rFonts w:hint="eastAsia" w:ascii="仿宋_GB2312" w:hAnsi="仿宋" w:eastAsia="仿宋_GB2312"/>
          <w:b w:val="0"/>
          <w:sz w:val="32"/>
          <w:szCs w:val="32"/>
        </w:rPr>
        <w:t>万元，完成预算100%；</w:t>
      </w:r>
      <w:r>
        <w:rPr>
          <w:rStyle w:val="18"/>
          <w:rFonts w:hint="eastAsia" w:ascii="仿宋_GB2312" w:hAnsi="仿宋" w:eastAsia="仿宋_GB2312"/>
          <w:bCs/>
          <w:sz w:val="32"/>
          <w:szCs w:val="32"/>
        </w:rPr>
        <w:t xml:space="preserve">机关事业单位基本养老保险缴费支出（项）: </w:t>
      </w:r>
      <w:r>
        <w:rPr>
          <w:rStyle w:val="18"/>
          <w:rFonts w:hint="eastAsia" w:ascii="仿宋_GB2312" w:hAnsi="仿宋" w:eastAsia="仿宋_GB2312"/>
          <w:b w:val="0"/>
          <w:sz w:val="32"/>
          <w:szCs w:val="32"/>
        </w:rPr>
        <w:t>支出决算为</w:t>
      </w:r>
      <w:r>
        <w:rPr>
          <w:rStyle w:val="18"/>
          <w:rFonts w:hint="eastAsia" w:ascii="仿宋_GB2312" w:hAnsi="仿宋" w:eastAsia="仿宋_GB2312"/>
          <w:b w:val="0"/>
          <w:sz w:val="32"/>
          <w:szCs w:val="32"/>
          <w:lang w:val="en-US" w:eastAsia="zh-CN"/>
        </w:rPr>
        <w:t>15.14</w:t>
      </w:r>
      <w:r>
        <w:rPr>
          <w:rStyle w:val="18"/>
          <w:rFonts w:hint="eastAsia" w:ascii="仿宋_GB2312" w:hAnsi="仿宋" w:eastAsia="仿宋_GB2312"/>
          <w:b w:val="0"/>
          <w:sz w:val="32"/>
          <w:szCs w:val="32"/>
        </w:rPr>
        <w:t>万元，完成预算100%；</w:t>
      </w:r>
    </w:p>
    <w:p w14:paraId="17B8DC63">
      <w:pPr>
        <w:spacing w:line="600" w:lineRule="exact"/>
        <w:ind w:firstLine="643" w:firstLineChars="200"/>
        <w:rPr>
          <w:rStyle w:val="18"/>
          <w:rFonts w:ascii="仿宋_GB2312" w:hAnsi="仿宋" w:eastAsia="仿宋_GB2312"/>
          <w:b w:val="0"/>
          <w:sz w:val="32"/>
          <w:szCs w:val="32"/>
        </w:rPr>
      </w:pPr>
      <w:r>
        <w:rPr>
          <w:rStyle w:val="18"/>
          <w:rFonts w:hint="eastAsia" w:ascii="仿宋_GB2312" w:hAnsi="仿宋" w:eastAsia="仿宋_GB2312"/>
          <w:bCs/>
          <w:sz w:val="32"/>
          <w:szCs w:val="32"/>
        </w:rPr>
        <w:t>3.</w:t>
      </w:r>
      <w:r>
        <w:rPr>
          <w:rFonts w:hint="eastAsia" w:ascii="仿宋_GB2312" w:hAnsi="仿宋" w:eastAsia="仿宋_GB2312"/>
          <w:b/>
          <w:bCs/>
          <w:sz w:val="32"/>
          <w:szCs w:val="32"/>
        </w:rPr>
        <w:t>卫生健康支出</w:t>
      </w:r>
      <w:r>
        <w:rPr>
          <w:rStyle w:val="18"/>
          <w:rFonts w:hint="eastAsia" w:ascii="仿宋_GB2312" w:hAnsi="仿宋" w:eastAsia="仿宋_GB2312"/>
          <w:bCs/>
          <w:sz w:val="32"/>
          <w:szCs w:val="32"/>
        </w:rPr>
        <w:t>（类）行政事业单位医疗（款）行政单位医疗（项）:</w:t>
      </w:r>
      <w:r>
        <w:rPr>
          <w:rStyle w:val="18"/>
          <w:rFonts w:hint="eastAsia" w:ascii="仿宋_GB2312" w:hAnsi="仿宋" w:eastAsia="仿宋_GB2312"/>
          <w:b w:val="0"/>
          <w:sz w:val="32"/>
          <w:szCs w:val="32"/>
        </w:rPr>
        <w:t>支出决算为</w:t>
      </w:r>
      <w:r>
        <w:rPr>
          <w:rStyle w:val="18"/>
          <w:rFonts w:hint="eastAsia" w:ascii="仿宋_GB2312" w:hAnsi="仿宋" w:eastAsia="仿宋_GB2312"/>
          <w:b w:val="0"/>
          <w:sz w:val="32"/>
          <w:szCs w:val="32"/>
          <w:lang w:val="en-US" w:eastAsia="zh-CN"/>
        </w:rPr>
        <w:t>5.09</w:t>
      </w:r>
      <w:r>
        <w:rPr>
          <w:rStyle w:val="18"/>
          <w:rFonts w:hint="eastAsia" w:ascii="仿宋_GB2312" w:hAnsi="仿宋" w:eastAsia="仿宋_GB2312"/>
          <w:b w:val="0"/>
          <w:sz w:val="32"/>
          <w:szCs w:val="32"/>
        </w:rPr>
        <w:t>万元，完成预算100%；</w:t>
      </w:r>
      <w:r>
        <w:rPr>
          <w:rStyle w:val="18"/>
          <w:rFonts w:hint="eastAsia" w:ascii="仿宋_GB2312" w:hAnsi="仿宋" w:eastAsia="仿宋_GB2312"/>
          <w:sz w:val="32"/>
          <w:szCs w:val="32"/>
        </w:rPr>
        <w:t>事业单位医疗</w:t>
      </w:r>
      <w:r>
        <w:rPr>
          <w:rStyle w:val="18"/>
          <w:rFonts w:hint="eastAsia" w:ascii="仿宋_GB2312" w:hAnsi="仿宋" w:eastAsia="仿宋_GB2312"/>
          <w:bCs/>
          <w:sz w:val="32"/>
          <w:szCs w:val="32"/>
        </w:rPr>
        <w:t>（项）:</w:t>
      </w:r>
      <w:r>
        <w:rPr>
          <w:rStyle w:val="18"/>
          <w:rFonts w:hint="eastAsia" w:ascii="仿宋_GB2312" w:hAnsi="仿宋" w:eastAsia="仿宋_GB2312"/>
          <w:b w:val="0"/>
          <w:sz w:val="32"/>
          <w:szCs w:val="32"/>
        </w:rPr>
        <w:t>支出决算为1.</w:t>
      </w:r>
      <w:r>
        <w:rPr>
          <w:rStyle w:val="18"/>
          <w:rFonts w:hint="eastAsia" w:ascii="仿宋_GB2312" w:hAnsi="仿宋" w:eastAsia="仿宋_GB2312"/>
          <w:b w:val="0"/>
          <w:sz w:val="32"/>
          <w:szCs w:val="32"/>
          <w:lang w:val="en-US" w:eastAsia="zh-CN"/>
        </w:rPr>
        <w:t>80</w:t>
      </w:r>
      <w:r>
        <w:rPr>
          <w:rStyle w:val="18"/>
          <w:rFonts w:hint="eastAsia" w:ascii="仿宋_GB2312" w:hAnsi="仿宋" w:eastAsia="仿宋_GB2312"/>
          <w:b w:val="0"/>
          <w:sz w:val="32"/>
          <w:szCs w:val="32"/>
        </w:rPr>
        <w:t>万元，完成预算100%；</w:t>
      </w:r>
      <w:r>
        <w:rPr>
          <w:rStyle w:val="18"/>
          <w:rFonts w:hint="eastAsia" w:ascii="仿宋_GB2312" w:hAnsi="仿宋" w:eastAsia="仿宋_GB2312"/>
          <w:sz w:val="32"/>
          <w:szCs w:val="32"/>
        </w:rPr>
        <w:t>公务员医疗补助</w:t>
      </w:r>
      <w:r>
        <w:rPr>
          <w:rStyle w:val="18"/>
          <w:rFonts w:hint="eastAsia" w:ascii="仿宋_GB2312" w:hAnsi="仿宋" w:eastAsia="仿宋_GB2312"/>
          <w:bCs/>
          <w:sz w:val="32"/>
          <w:szCs w:val="32"/>
        </w:rPr>
        <w:t>（项）:</w:t>
      </w:r>
      <w:r>
        <w:rPr>
          <w:rStyle w:val="18"/>
          <w:rFonts w:hint="eastAsia" w:ascii="仿宋_GB2312" w:hAnsi="仿宋" w:eastAsia="仿宋_GB2312"/>
          <w:b w:val="0"/>
          <w:sz w:val="32"/>
          <w:szCs w:val="32"/>
        </w:rPr>
        <w:t>支出决算为</w:t>
      </w:r>
      <w:r>
        <w:rPr>
          <w:rStyle w:val="18"/>
          <w:rFonts w:hint="eastAsia" w:ascii="仿宋_GB2312" w:hAnsi="仿宋" w:eastAsia="仿宋_GB2312"/>
          <w:b w:val="0"/>
          <w:sz w:val="32"/>
          <w:szCs w:val="32"/>
          <w:lang w:val="en-US" w:eastAsia="zh-CN"/>
        </w:rPr>
        <w:t>2.84</w:t>
      </w:r>
      <w:r>
        <w:rPr>
          <w:rStyle w:val="18"/>
          <w:rFonts w:hint="eastAsia" w:ascii="仿宋_GB2312" w:hAnsi="仿宋" w:eastAsia="仿宋_GB2312"/>
          <w:b w:val="0"/>
          <w:sz w:val="32"/>
          <w:szCs w:val="32"/>
        </w:rPr>
        <w:t>万元，完成预算100%；</w:t>
      </w:r>
      <w:r>
        <w:rPr>
          <w:rStyle w:val="18"/>
          <w:rFonts w:hint="eastAsia" w:ascii="仿宋_GB2312" w:hAnsi="仿宋" w:eastAsia="仿宋_GB2312" w:cstheme="minorBidi"/>
          <w:bCs/>
          <w:sz w:val="32"/>
          <w:szCs w:val="32"/>
        </w:rPr>
        <w:t>其他行政事业单位医疗支出</w:t>
      </w:r>
      <w:r>
        <w:rPr>
          <w:rStyle w:val="18"/>
          <w:rFonts w:hint="eastAsia" w:ascii="仿宋_GB2312" w:hAnsi="仿宋" w:eastAsia="仿宋_GB2312"/>
          <w:bCs/>
          <w:sz w:val="32"/>
          <w:szCs w:val="32"/>
        </w:rPr>
        <w:t>（项）:</w:t>
      </w:r>
      <w:r>
        <w:rPr>
          <w:rStyle w:val="18"/>
          <w:rFonts w:hint="eastAsia" w:ascii="仿宋_GB2312" w:hAnsi="仿宋" w:eastAsia="仿宋_GB2312"/>
          <w:b w:val="0"/>
          <w:sz w:val="32"/>
          <w:szCs w:val="32"/>
        </w:rPr>
        <w:t>支出决算为</w:t>
      </w:r>
      <w:r>
        <w:rPr>
          <w:rStyle w:val="18"/>
          <w:rFonts w:hint="eastAsia" w:ascii="仿宋_GB2312" w:hAnsi="仿宋" w:eastAsia="仿宋_GB2312"/>
          <w:b w:val="0"/>
          <w:sz w:val="32"/>
          <w:szCs w:val="32"/>
          <w:lang w:val="en-US" w:eastAsia="zh-CN"/>
        </w:rPr>
        <w:t>1</w:t>
      </w:r>
      <w:r>
        <w:rPr>
          <w:rStyle w:val="18"/>
          <w:rFonts w:hint="eastAsia" w:ascii="仿宋_GB2312" w:hAnsi="仿宋" w:eastAsia="仿宋_GB2312"/>
          <w:b w:val="0"/>
          <w:sz w:val="32"/>
          <w:szCs w:val="32"/>
        </w:rPr>
        <w:t>万元，完成预算100%。</w:t>
      </w:r>
    </w:p>
    <w:p w14:paraId="31684F66">
      <w:pPr>
        <w:tabs>
          <w:tab w:val="right" w:pos="8306"/>
        </w:tabs>
        <w:spacing w:line="600" w:lineRule="exact"/>
        <w:ind w:firstLine="640"/>
        <w:outlineLvl w:val="1"/>
        <w:rPr>
          <w:rStyle w:val="18"/>
          <w:rFonts w:hint="eastAsia" w:ascii="仿宋_GB2312" w:hAnsi="仿宋" w:eastAsia="仿宋_GB2312"/>
          <w:b w:val="0"/>
          <w:sz w:val="32"/>
          <w:szCs w:val="32"/>
        </w:rPr>
      </w:pPr>
      <w:r>
        <w:rPr>
          <w:rStyle w:val="18"/>
          <w:rFonts w:hint="eastAsia" w:ascii="仿宋_GB2312" w:hAnsi="仿宋" w:eastAsia="仿宋_GB2312" w:cstheme="minorBidi"/>
          <w:bCs/>
          <w:sz w:val="32"/>
          <w:szCs w:val="32"/>
        </w:rPr>
        <w:t>4.</w:t>
      </w:r>
      <w:r>
        <w:rPr>
          <w:rStyle w:val="18"/>
          <w:rFonts w:hint="eastAsia" w:ascii="仿宋_GB2312" w:hAnsi="仿宋" w:eastAsia="仿宋_GB2312"/>
          <w:bCs/>
          <w:sz w:val="32"/>
          <w:szCs w:val="32"/>
        </w:rPr>
        <w:t>住房保障支出（类）住房改革支出（款）住房公积金（项）:</w:t>
      </w:r>
      <w:r>
        <w:rPr>
          <w:rStyle w:val="18"/>
          <w:rFonts w:hint="eastAsia" w:ascii="仿宋_GB2312" w:hAnsi="仿宋" w:eastAsia="仿宋_GB2312"/>
          <w:b w:val="0"/>
          <w:sz w:val="32"/>
          <w:szCs w:val="32"/>
        </w:rPr>
        <w:t>支出决算为</w:t>
      </w:r>
      <w:r>
        <w:rPr>
          <w:rStyle w:val="18"/>
          <w:rFonts w:hint="eastAsia" w:ascii="仿宋_GB2312" w:hAnsi="仿宋" w:eastAsia="仿宋_GB2312"/>
          <w:b w:val="0"/>
          <w:sz w:val="32"/>
          <w:szCs w:val="32"/>
          <w:lang w:val="en-US" w:eastAsia="zh-CN"/>
        </w:rPr>
        <w:t>10.63</w:t>
      </w:r>
      <w:r>
        <w:rPr>
          <w:rStyle w:val="18"/>
          <w:rFonts w:hint="eastAsia" w:ascii="仿宋_GB2312" w:hAnsi="仿宋" w:eastAsia="仿宋_GB2312"/>
          <w:b w:val="0"/>
          <w:sz w:val="32"/>
          <w:szCs w:val="32"/>
        </w:rPr>
        <w:t>万元，完成预算100%。</w:t>
      </w:r>
    </w:p>
    <w:p w14:paraId="03C8023E">
      <w:pPr>
        <w:tabs>
          <w:tab w:val="right" w:pos="8306"/>
        </w:tabs>
        <w:spacing w:line="600" w:lineRule="exact"/>
        <w:ind w:firstLine="640"/>
        <w:outlineLvl w:val="1"/>
        <w:rPr>
          <w:rStyle w:val="30"/>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0"/>
          <w:rFonts w:hint="eastAsia" w:ascii="黑体" w:hAnsi="黑体" w:eastAsia="黑体"/>
          <w:b w:val="0"/>
        </w:rPr>
        <w:t>般公共预算财政拨款基本支出决算情况说明</w:t>
      </w:r>
      <w:bookmarkEnd w:id="34"/>
      <w:bookmarkEnd w:id="35"/>
      <w:r>
        <w:rPr>
          <w:rStyle w:val="30"/>
          <w:rFonts w:ascii="黑体" w:hAnsi="黑体" w:eastAsia="黑体"/>
          <w:b w:val="0"/>
        </w:rPr>
        <w:tab/>
      </w:r>
    </w:p>
    <w:p w14:paraId="7DF2AB8C">
      <w:pPr>
        <w:spacing w:line="600" w:lineRule="exact"/>
        <w:ind w:firstLine="645"/>
        <w:rPr>
          <w:rFonts w:ascii="仿宋" w:hAnsi="仿宋" w:eastAsia="仿宋"/>
          <w:sz w:val="32"/>
          <w:szCs w:val="32"/>
        </w:rPr>
      </w:pPr>
      <w:bookmarkStart w:id="36" w:name="_Toc15377215"/>
      <w:bookmarkStart w:id="37" w:name="_Toc15396609"/>
      <w:r>
        <w:rPr>
          <w:rFonts w:hint="eastAsia" w:ascii="仿宋" w:hAnsi="仿宋" w:eastAsia="仿宋"/>
          <w:sz w:val="32"/>
          <w:szCs w:val="32"/>
        </w:rPr>
        <w:t>2023年度一般公共预算财政拨款基本支出</w:t>
      </w:r>
      <w:r>
        <w:rPr>
          <w:rFonts w:hint="eastAsia" w:ascii="仿宋" w:hAnsi="仿宋" w:eastAsia="仿宋" w:cs="Times New Roman"/>
          <w:b/>
          <w:bCs/>
          <w:sz w:val="32"/>
          <w:szCs w:val="32"/>
        </w:rPr>
        <w:t>152.2</w:t>
      </w:r>
      <w:r>
        <w:rPr>
          <w:rFonts w:hint="eastAsia" w:ascii="仿宋" w:hAnsi="仿宋" w:eastAsia="仿宋" w:cs="Times New Roman"/>
          <w:b/>
          <w:bCs/>
          <w:sz w:val="32"/>
          <w:szCs w:val="32"/>
          <w:lang w:val="en-US" w:eastAsia="zh-CN"/>
        </w:rPr>
        <w:t>2</w:t>
      </w:r>
      <w:r>
        <w:rPr>
          <w:rFonts w:hint="eastAsia" w:ascii="仿宋" w:hAnsi="仿宋" w:eastAsia="仿宋"/>
          <w:sz w:val="32"/>
          <w:szCs w:val="32"/>
        </w:rPr>
        <w:t>万元，其中：</w:t>
      </w:r>
    </w:p>
    <w:p w14:paraId="52CE793F">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cs="Times New Roman"/>
          <w:b/>
          <w:bCs/>
          <w:sz w:val="32"/>
          <w:szCs w:val="32"/>
        </w:rPr>
        <w:t>142.9</w:t>
      </w:r>
      <w:r>
        <w:rPr>
          <w:rFonts w:hint="eastAsia" w:ascii="仿宋" w:hAnsi="仿宋" w:eastAsia="仿宋" w:cs="Times New Roman"/>
          <w:b/>
          <w:bCs/>
          <w:sz w:val="32"/>
          <w:szCs w:val="32"/>
          <w:lang w:val="en-US" w:eastAsia="zh-CN"/>
        </w:rPr>
        <w:t>6</w:t>
      </w:r>
      <w:r>
        <w:rPr>
          <w:rFonts w:hint="eastAsia" w:ascii="仿宋" w:hAnsi="仿宋" w:eastAsia="仿宋"/>
          <w:sz w:val="32"/>
          <w:szCs w:val="32"/>
        </w:rPr>
        <w:t>万元，主要包括：基本工资、津贴补贴、奖金、绩效工资、机关事业单位基本养老保险缴费、职工基本医疗保险缴费</w:t>
      </w:r>
      <w:r>
        <w:rPr>
          <w:rFonts w:hint="eastAsia" w:ascii="仿宋" w:hAnsi="仿宋" w:eastAsia="仿宋"/>
          <w:sz w:val="32"/>
          <w:szCs w:val="32"/>
          <w:lang w:eastAsia="zh-CN"/>
        </w:rPr>
        <w:t>、公务员医疗补助缴费、</w:t>
      </w:r>
      <w:r>
        <w:rPr>
          <w:rFonts w:hint="eastAsia" w:ascii="仿宋" w:hAnsi="仿宋" w:eastAsia="仿宋"/>
          <w:sz w:val="32"/>
          <w:szCs w:val="32"/>
        </w:rPr>
        <w:t>职业年金缴费、其他社会保障缴费、其他工资福利支出、生活补助、医疗费补助、住房公积金等。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cs="Times New Roman"/>
          <w:b/>
          <w:bCs/>
          <w:sz w:val="32"/>
          <w:szCs w:val="32"/>
        </w:rPr>
        <w:t>9.26</w:t>
      </w:r>
      <w:r>
        <w:rPr>
          <w:rFonts w:hint="eastAsia" w:ascii="仿宋" w:hAnsi="仿宋" w:eastAsia="仿宋"/>
          <w:sz w:val="32"/>
          <w:szCs w:val="32"/>
        </w:rPr>
        <w:t>万元，主要包括：办公费、邮电费</w:t>
      </w:r>
      <w:r>
        <w:rPr>
          <w:rFonts w:hint="eastAsia" w:ascii="仿宋" w:hAnsi="仿宋" w:eastAsia="仿宋"/>
          <w:sz w:val="32"/>
          <w:szCs w:val="32"/>
          <w:lang w:eastAsia="zh-CN"/>
        </w:rPr>
        <w:t>、</w:t>
      </w:r>
      <w:r>
        <w:rPr>
          <w:rFonts w:hint="eastAsia" w:ascii="仿宋" w:hAnsi="仿宋" w:eastAsia="仿宋"/>
          <w:sz w:val="32"/>
          <w:szCs w:val="32"/>
        </w:rPr>
        <w:t>差旅费、维修（护）费</w:t>
      </w:r>
      <w:r>
        <w:rPr>
          <w:rFonts w:hint="eastAsia" w:ascii="仿宋" w:hAnsi="仿宋" w:eastAsia="仿宋"/>
          <w:sz w:val="32"/>
          <w:szCs w:val="32"/>
          <w:lang w:eastAsia="zh-CN"/>
        </w:rPr>
        <w:t>、</w:t>
      </w:r>
      <w:r>
        <w:rPr>
          <w:rFonts w:hint="eastAsia" w:ascii="仿宋" w:hAnsi="仿宋" w:eastAsia="仿宋"/>
          <w:sz w:val="32"/>
          <w:szCs w:val="32"/>
        </w:rPr>
        <w:t>工会经费、福利费、其他交通费、其他商品和服务支出等。</w:t>
      </w:r>
    </w:p>
    <w:p w14:paraId="73F33438">
      <w:pPr>
        <w:spacing w:line="600" w:lineRule="exact"/>
        <w:ind w:firstLine="640"/>
        <w:outlineLvl w:val="1"/>
        <w:rPr>
          <w:rStyle w:val="30"/>
          <w:rFonts w:ascii="黑体" w:hAnsi="黑体" w:eastAsia="黑体"/>
          <w:b w:val="0"/>
        </w:rPr>
      </w:pPr>
      <w:r>
        <w:rPr>
          <w:rFonts w:hint="eastAsia" w:ascii="黑体" w:eastAsia="黑体"/>
          <w:sz w:val="32"/>
          <w:szCs w:val="32"/>
        </w:rPr>
        <w:t>七、</w:t>
      </w:r>
      <w:r>
        <w:rPr>
          <w:rStyle w:val="30"/>
          <w:rFonts w:hint="eastAsia" w:ascii="黑体" w:hAnsi="黑体" w:eastAsia="黑体"/>
          <w:b w:val="0"/>
        </w:rPr>
        <w:t>财政拨款</w:t>
      </w:r>
      <w:r>
        <w:rPr>
          <w:rStyle w:val="30"/>
          <w:rFonts w:hint="eastAsia" w:ascii="黑体" w:hAnsi="黑体" w:eastAsia="黑体"/>
        </w:rPr>
        <w:t>“</w:t>
      </w:r>
      <w:r>
        <w:rPr>
          <w:rStyle w:val="30"/>
          <w:rFonts w:hint="eastAsia" w:ascii="黑体" w:hAnsi="黑体" w:eastAsia="黑体"/>
          <w:b w:val="0"/>
        </w:rPr>
        <w:t>三公”经费支出决算情况说明</w:t>
      </w:r>
      <w:bookmarkEnd w:id="36"/>
      <w:bookmarkEnd w:id="37"/>
    </w:p>
    <w:p w14:paraId="0AF4E8F9">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1B0116C5">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hint="eastAsia" w:ascii="仿宋" w:hAnsi="仿宋" w:eastAsia="仿宋"/>
          <w:b/>
          <w:sz w:val="32"/>
          <w:szCs w:val="32"/>
          <w:lang w:val="en-US" w:eastAsia="zh-CN"/>
        </w:rPr>
        <w:t>0</w:t>
      </w:r>
      <w:r>
        <w:rPr>
          <w:rFonts w:hint="eastAsia" w:ascii="仿宋" w:hAnsi="仿宋" w:eastAsia="仿宋"/>
          <w:sz w:val="32"/>
          <w:szCs w:val="32"/>
        </w:rPr>
        <w:t>万元，完成预算</w:t>
      </w:r>
      <w:r>
        <w:rPr>
          <w:rFonts w:hint="eastAsia" w:ascii="仿宋" w:hAnsi="仿宋" w:eastAsia="仿宋"/>
          <w:b/>
          <w:sz w:val="32"/>
          <w:szCs w:val="32"/>
          <w:lang w:val="en-US" w:eastAsia="zh-CN"/>
        </w:rPr>
        <w:t>0%</w:t>
      </w:r>
      <w:r>
        <w:rPr>
          <w:rFonts w:hint="eastAsia" w:ascii="仿宋" w:hAnsi="仿宋" w:eastAsia="仿宋"/>
          <w:sz w:val="32"/>
          <w:szCs w:val="32"/>
        </w:rPr>
        <w:t>，</w:t>
      </w:r>
      <w:r>
        <w:rPr>
          <w:rFonts w:hint="eastAsia" w:ascii="仿宋" w:hAnsi="仿宋" w:eastAsia="仿宋"/>
          <w:sz w:val="32"/>
          <w:szCs w:val="32"/>
          <w:lang w:eastAsia="zh-CN"/>
        </w:rPr>
        <w:t>与</w:t>
      </w:r>
      <w:r>
        <w:rPr>
          <w:rFonts w:hint="eastAsia" w:ascii="仿宋" w:hAnsi="仿宋" w:eastAsia="仿宋"/>
          <w:sz w:val="32"/>
          <w:szCs w:val="32"/>
          <w:lang w:val="en-US" w:eastAsia="zh-CN"/>
        </w:rPr>
        <w:t>2022年度</w:t>
      </w:r>
      <w:r>
        <w:rPr>
          <w:rFonts w:hint="eastAsia" w:ascii="仿宋" w:hAnsi="仿宋" w:eastAsia="仿宋"/>
          <w:sz w:val="32"/>
          <w:szCs w:val="32"/>
          <w:lang w:eastAsia="zh-CN"/>
        </w:rPr>
        <w:t>持平</w:t>
      </w:r>
      <w:r>
        <w:rPr>
          <w:rFonts w:hint="eastAsia" w:ascii="仿宋" w:hAnsi="仿宋" w:eastAsia="仿宋"/>
          <w:sz w:val="32"/>
          <w:szCs w:val="32"/>
        </w:rPr>
        <w:t>。决算数与预算数持平。</w:t>
      </w:r>
    </w:p>
    <w:p w14:paraId="5CA775AF">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7B967C1E">
      <w:pPr>
        <w:spacing w:line="600" w:lineRule="exact"/>
        <w:ind w:firstLine="640"/>
        <w:rPr>
          <w:rFonts w:ascii="仿宋" w:hAnsi="仿宋" w:eastAsia="仿宋"/>
          <w:sz w:val="32"/>
          <w:szCs w:val="32"/>
        </w:rPr>
      </w:pPr>
      <w:bookmarkStart w:id="40" w:name="_Toc15377218"/>
      <w:bookmarkStart w:id="41" w:name="_Toc15396610"/>
      <w:r>
        <w:rPr>
          <w:rFonts w:hint="eastAsia" w:ascii="仿宋" w:hAnsi="仿宋" w:eastAsia="仿宋"/>
          <w:sz w:val="32"/>
          <w:szCs w:val="32"/>
        </w:rPr>
        <w:t>2023年度“三公”经费财政拨款支出决算中，因公出国（境）费支出决算</w:t>
      </w:r>
      <w:r>
        <w:rPr>
          <w:rFonts w:hint="eastAsia" w:ascii="仿宋" w:hAnsi="仿宋" w:eastAsia="仿宋"/>
          <w:b/>
          <w:sz w:val="32"/>
          <w:szCs w:val="32"/>
          <w:lang w:val="en-US" w:eastAsia="zh-CN"/>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b/>
          <w:sz w:val="32"/>
          <w:szCs w:val="32"/>
          <w:lang w:val="en-US" w:eastAsia="zh-CN"/>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b/>
          <w:sz w:val="32"/>
          <w:szCs w:val="32"/>
          <w:lang w:val="en-US" w:eastAsia="zh-CN"/>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。具体情况如下：</w:t>
      </w:r>
    </w:p>
    <w:p w14:paraId="27387AA3">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 w:hAnsi="仿宋" w:eastAsia="仿宋"/>
          <w:b/>
          <w:sz w:val="32"/>
          <w:szCs w:val="32"/>
          <w:lang w:val="en-US" w:eastAsia="zh-CN"/>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Fonts w:hint="eastAsia" w:ascii="仿宋" w:hAnsi="仿宋" w:eastAsia="仿宋"/>
          <w:b/>
          <w:sz w:val="32"/>
          <w:szCs w:val="32"/>
          <w:lang w:val="en-US" w:eastAsia="zh-CN"/>
        </w:rPr>
        <w:t>0%</w:t>
      </w:r>
      <w:r>
        <w:rPr>
          <w:rStyle w:val="18"/>
          <w:rFonts w:hint="eastAsia" w:ascii="仿宋" w:hAnsi="仿宋" w:eastAsia="仿宋"/>
          <w:b w:val="0"/>
          <w:bCs/>
          <w:sz w:val="32"/>
          <w:szCs w:val="32"/>
        </w:rPr>
        <w:t>。</w:t>
      </w:r>
      <w:r>
        <w:rPr>
          <w:rFonts w:hint="eastAsia" w:ascii="仿宋_GB2312" w:eastAsia="仿宋_GB2312"/>
          <w:sz w:val="32"/>
          <w:szCs w:val="32"/>
        </w:rPr>
        <w:t>全年安排因公出国（境）团组</w:t>
      </w:r>
      <w:r>
        <w:rPr>
          <w:sz w:val="32"/>
          <w:szCs w:val="32"/>
        </w:rPr>
        <w:t>0</w:t>
      </w:r>
      <w:r>
        <w:rPr>
          <w:rFonts w:hint="eastAsia" w:ascii="仿宋_GB2312" w:eastAsia="仿宋_GB2312"/>
          <w:sz w:val="32"/>
          <w:szCs w:val="32"/>
        </w:rPr>
        <w:t>次，出国（境）</w:t>
      </w:r>
      <w:r>
        <w:rPr>
          <w:sz w:val="32"/>
          <w:szCs w:val="32"/>
        </w:rPr>
        <w:t>0</w:t>
      </w:r>
      <w:r>
        <w:rPr>
          <w:rFonts w:hint="eastAsia" w:ascii="仿宋_GB2312" w:eastAsia="仿宋_GB2312"/>
          <w:sz w:val="32"/>
          <w:szCs w:val="32"/>
        </w:rPr>
        <w:t>人。因公出国（境）支出决算</w:t>
      </w:r>
      <w:r>
        <w:rPr>
          <w:rFonts w:hint="eastAsia" w:ascii="仿宋_GB2312" w:eastAsia="仿宋_GB2312"/>
          <w:sz w:val="32"/>
          <w:szCs w:val="32"/>
          <w:lang w:eastAsia="zh-CN"/>
        </w:rPr>
        <w:t>与</w:t>
      </w:r>
      <w:r>
        <w:rPr>
          <w:rFonts w:hint="eastAsia" w:ascii="仿宋_GB2312" w:eastAsia="仿宋_GB2312"/>
          <w:sz w:val="32"/>
          <w:szCs w:val="32"/>
        </w:rPr>
        <w:t>2022年</w:t>
      </w:r>
      <w:r>
        <w:rPr>
          <w:rFonts w:hint="eastAsia" w:ascii="仿宋_GB2312" w:eastAsia="仿宋_GB2312"/>
          <w:sz w:val="32"/>
          <w:szCs w:val="32"/>
          <w:lang w:eastAsia="zh-CN"/>
        </w:rPr>
        <w:t>持平</w:t>
      </w:r>
      <w:r>
        <w:rPr>
          <w:rFonts w:hint="eastAsia" w:ascii="仿宋_GB2312" w:eastAsia="仿宋_GB2312"/>
          <w:sz w:val="32"/>
          <w:szCs w:val="32"/>
        </w:rPr>
        <w:t>。</w:t>
      </w:r>
    </w:p>
    <w:p w14:paraId="7BB8B435">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 w:hAnsi="仿宋" w:eastAsia="仿宋"/>
          <w:b/>
          <w:sz w:val="32"/>
          <w:szCs w:val="32"/>
          <w:lang w:val="en-US" w:eastAsia="zh-CN"/>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sz w:val="32"/>
          <w:szCs w:val="32"/>
        </w:rPr>
        <w:t>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公务用车购置及运行维护费支出决算</w:t>
      </w:r>
      <w:r>
        <w:rPr>
          <w:rFonts w:hint="eastAsia" w:ascii="仿宋_GB2312" w:eastAsia="仿宋_GB2312"/>
          <w:sz w:val="32"/>
          <w:szCs w:val="32"/>
          <w:lang w:eastAsia="zh-CN"/>
        </w:rPr>
        <w:t>与</w:t>
      </w:r>
      <w:r>
        <w:rPr>
          <w:rFonts w:hint="eastAsia" w:ascii="仿宋_GB2312" w:eastAsia="仿宋_GB2312"/>
          <w:sz w:val="32"/>
          <w:szCs w:val="32"/>
        </w:rPr>
        <w:t>2022年度</w:t>
      </w:r>
      <w:r>
        <w:rPr>
          <w:rFonts w:hint="eastAsia" w:ascii="仿宋_GB2312" w:eastAsia="仿宋_GB2312"/>
          <w:sz w:val="32"/>
          <w:szCs w:val="32"/>
          <w:lang w:eastAsia="zh-CN"/>
        </w:rPr>
        <w:t>持平</w:t>
      </w:r>
      <w:r>
        <w:rPr>
          <w:rFonts w:hint="eastAsia" w:ascii="仿宋_GB2312" w:eastAsia="仿宋_GB2312"/>
          <w:sz w:val="32"/>
          <w:szCs w:val="32"/>
        </w:rPr>
        <w:t>。</w:t>
      </w:r>
    </w:p>
    <w:p w14:paraId="03D25EB9">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 w:hAnsi="仿宋" w:eastAsia="仿宋"/>
          <w:b/>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14:paraId="2A391CB9">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hint="eastAsia" w:ascii="仿宋" w:hAnsi="仿宋" w:eastAsia="仿宋"/>
          <w:b/>
          <w:sz w:val="32"/>
          <w:szCs w:val="32"/>
          <w:lang w:val="en-US" w:eastAsia="zh-CN"/>
        </w:rPr>
        <w:t>0</w:t>
      </w:r>
      <w:r>
        <w:rPr>
          <w:rFonts w:hint="eastAsia" w:ascii="仿宋_GB2312" w:eastAsia="仿宋_GB2312"/>
          <w:sz w:val="32"/>
          <w:szCs w:val="32"/>
        </w:rPr>
        <w:t>万元。</w:t>
      </w:r>
    </w:p>
    <w:p w14:paraId="538005EF">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 w:hAnsi="仿宋" w:eastAsia="仿宋"/>
          <w:b/>
          <w:sz w:val="32"/>
          <w:szCs w:val="32"/>
          <w:lang w:val="en-US" w:eastAsia="zh-CN"/>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sz w:val="32"/>
          <w:szCs w:val="32"/>
        </w:rPr>
        <w:t>0%</w:t>
      </w:r>
      <w:r>
        <w:rPr>
          <w:rStyle w:val="18"/>
          <w:rFonts w:hint="eastAsia" w:ascii="仿宋" w:hAnsi="仿宋" w:eastAsia="仿宋"/>
          <w:b w:val="0"/>
          <w:bCs/>
          <w:sz w:val="32"/>
          <w:szCs w:val="32"/>
        </w:rPr>
        <w:t>。</w:t>
      </w:r>
      <w:r>
        <w:rPr>
          <w:rFonts w:hint="eastAsia" w:ascii="仿宋_GB2312" w:eastAsia="仿宋_GB2312"/>
          <w:sz w:val="32"/>
          <w:szCs w:val="32"/>
        </w:rPr>
        <w:t>公务接待费支出决算</w:t>
      </w:r>
      <w:r>
        <w:rPr>
          <w:rFonts w:hint="eastAsia" w:ascii="仿宋_GB2312" w:eastAsia="仿宋_GB2312"/>
          <w:sz w:val="32"/>
          <w:szCs w:val="32"/>
          <w:lang w:eastAsia="zh-CN"/>
        </w:rPr>
        <w:t>与</w:t>
      </w:r>
      <w:r>
        <w:rPr>
          <w:rFonts w:hint="eastAsia" w:ascii="仿宋_GB2312" w:eastAsia="仿宋_GB2312"/>
          <w:sz w:val="32"/>
          <w:szCs w:val="32"/>
        </w:rPr>
        <w:t>2022年度</w:t>
      </w:r>
      <w:r>
        <w:rPr>
          <w:rFonts w:hint="eastAsia" w:ascii="仿宋_GB2312" w:eastAsia="仿宋_GB2312"/>
          <w:sz w:val="32"/>
          <w:szCs w:val="32"/>
          <w:lang w:eastAsia="zh-CN"/>
        </w:rPr>
        <w:t>持平</w:t>
      </w:r>
      <w:r>
        <w:rPr>
          <w:rFonts w:hint="eastAsia" w:ascii="仿宋_GB2312" w:eastAsia="仿宋_GB2312"/>
          <w:sz w:val="32"/>
          <w:szCs w:val="32"/>
        </w:rPr>
        <w:t>。其中：</w:t>
      </w:r>
    </w:p>
    <w:p w14:paraId="4E711EB4">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b/>
          <w:sz w:val="32"/>
          <w:szCs w:val="32"/>
          <w:lang w:val="en-US" w:eastAsia="zh-CN"/>
        </w:rPr>
        <w:t>0</w:t>
      </w:r>
      <w:r>
        <w:rPr>
          <w:rFonts w:hint="eastAsia" w:ascii="仿宋_GB2312" w:eastAsia="仿宋_GB2312"/>
          <w:sz w:val="32"/>
          <w:szCs w:val="32"/>
        </w:rPr>
        <w:t>万元。国内公务接待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0E116C5E">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b/>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0FB5BEDE">
      <w:pPr>
        <w:spacing w:line="600" w:lineRule="exact"/>
        <w:ind w:firstLine="640"/>
        <w:outlineLvl w:val="1"/>
        <w:rPr>
          <w:rStyle w:val="30"/>
          <w:rFonts w:ascii="黑体" w:hAnsi="黑体" w:eastAsia="黑体"/>
        </w:rPr>
      </w:pPr>
      <w:r>
        <w:rPr>
          <w:rFonts w:hint="eastAsia" w:ascii="黑体" w:eastAsia="黑体"/>
          <w:sz w:val="32"/>
          <w:szCs w:val="32"/>
        </w:rPr>
        <w:t>八、</w:t>
      </w:r>
      <w:r>
        <w:rPr>
          <w:rStyle w:val="30"/>
          <w:rFonts w:hint="eastAsia" w:ascii="黑体" w:hAnsi="黑体" w:eastAsia="黑体"/>
          <w:b w:val="0"/>
        </w:rPr>
        <w:t>政府性基金预算支出决算情况说明</w:t>
      </w:r>
      <w:bookmarkEnd w:id="40"/>
      <w:bookmarkEnd w:id="41"/>
    </w:p>
    <w:p w14:paraId="122F6B2A">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5.33</w:t>
      </w:r>
      <w:r>
        <w:rPr>
          <w:rFonts w:hint="eastAsia" w:ascii="仿宋_GB2312" w:eastAsia="仿宋_GB2312"/>
          <w:sz w:val="32"/>
          <w:szCs w:val="32"/>
        </w:rPr>
        <w:t>万元。</w:t>
      </w:r>
    </w:p>
    <w:p w14:paraId="5AB41F8C">
      <w:pPr>
        <w:numPr>
          <w:ilvl w:val="0"/>
          <w:numId w:val="2"/>
        </w:numPr>
        <w:spacing w:line="600" w:lineRule="exact"/>
        <w:ind w:firstLine="640"/>
        <w:outlineLvl w:val="1"/>
        <w:rPr>
          <w:rStyle w:val="30"/>
          <w:rFonts w:ascii="黑体" w:hAnsi="黑体" w:eastAsia="黑体"/>
          <w:b w:val="0"/>
        </w:rPr>
      </w:pPr>
      <w:bookmarkStart w:id="42" w:name="_Toc15377219"/>
      <w:bookmarkStart w:id="43" w:name="_Toc15396611"/>
      <w:r>
        <w:rPr>
          <w:rStyle w:val="30"/>
          <w:rFonts w:hint="eastAsia" w:ascii="黑体" w:hAnsi="黑体" w:eastAsia="黑体"/>
          <w:b w:val="0"/>
        </w:rPr>
        <w:t>国有资本经营预算支出决算情况说明</w:t>
      </w:r>
      <w:bookmarkEnd w:id="42"/>
      <w:bookmarkEnd w:id="43"/>
    </w:p>
    <w:p w14:paraId="7B9F0D47">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7F3F4C6F">
      <w:pPr>
        <w:numPr>
          <w:ilvl w:val="0"/>
          <w:numId w:val="2"/>
        </w:numPr>
        <w:spacing w:line="600" w:lineRule="exact"/>
        <w:ind w:firstLine="640"/>
        <w:outlineLvl w:val="1"/>
        <w:rPr>
          <w:rStyle w:val="30"/>
          <w:rFonts w:ascii="黑体" w:hAnsi="黑体" w:eastAsia="黑体"/>
          <w:b w:val="0"/>
        </w:rPr>
      </w:pPr>
      <w:bookmarkStart w:id="44" w:name="_Toc15396612"/>
      <w:bookmarkStart w:id="45" w:name="_Toc15377221"/>
      <w:r>
        <w:rPr>
          <w:rStyle w:val="30"/>
          <w:rFonts w:hint="eastAsia" w:ascii="黑体" w:hAnsi="黑体" w:eastAsia="黑体"/>
          <w:b w:val="0"/>
        </w:rPr>
        <w:t>其他重要事项的情况说明</w:t>
      </w:r>
      <w:bookmarkEnd w:id="44"/>
      <w:bookmarkEnd w:id="45"/>
    </w:p>
    <w:p w14:paraId="2A026E14">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54BEE780">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攀枝花市西区科学技术局</w:t>
      </w:r>
      <w:r>
        <w:rPr>
          <w:rFonts w:hint="eastAsia" w:ascii="仿宋_GB2312" w:eastAsia="仿宋_GB2312"/>
          <w:sz w:val="32"/>
          <w:szCs w:val="32"/>
        </w:rPr>
        <w:t>机关运行经费支出</w:t>
      </w:r>
      <w:r>
        <w:rPr>
          <w:rFonts w:ascii="仿宋" w:hAnsi="仿宋" w:eastAsia="仿宋"/>
          <w:b/>
          <w:sz w:val="32"/>
          <w:szCs w:val="32"/>
        </w:rPr>
        <w:t>9.26</w:t>
      </w:r>
      <w:r>
        <w:rPr>
          <w:rFonts w:hint="eastAsia" w:ascii="仿宋_GB2312" w:eastAsia="仿宋_GB2312"/>
          <w:sz w:val="32"/>
          <w:szCs w:val="32"/>
        </w:rPr>
        <w:t>万元，比2022年度增加</w:t>
      </w:r>
      <w:r>
        <w:rPr>
          <w:rFonts w:hint="eastAsia" w:ascii="仿宋" w:hAnsi="仿宋" w:eastAsia="仿宋" w:cs="Times New Roman"/>
          <w:b/>
          <w:sz w:val="32"/>
          <w:szCs w:val="32"/>
          <w:lang w:val="en-US" w:eastAsia="zh-CN"/>
        </w:rPr>
        <w:t>1.30</w:t>
      </w:r>
      <w:r>
        <w:rPr>
          <w:rFonts w:hint="eastAsia" w:ascii="仿宋_GB2312" w:eastAsia="仿宋_GB2312"/>
          <w:sz w:val="32"/>
          <w:szCs w:val="32"/>
        </w:rPr>
        <w:t>万元，增长</w:t>
      </w:r>
      <w:r>
        <w:rPr>
          <w:rFonts w:hint="eastAsia" w:ascii="仿宋" w:hAnsi="仿宋" w:eastAsia="仿宋" w:cs="Times New Roman"/>
          <w:b/>
          <w:sz w:val="32"/>
          <w:szCs w:val="32"/>
          <w:lang w:val="en-US" w:eastAsia="zh-CN"/>
        </w:rPr>
        <w:t>16.33%</w:t>
      </w:r>
      <w:r>
        <w:rPr>
          <w:rFonts w:hint="eastAsia" w:ascii="仿宋_GB2312" w:eastAsia="仿宋_GB2312"/>
          <w:sz w:val="32"/>
          <w:szCs w:val="32"/>
        </w:rPr>
        <w:t>。主要原因是</w:t>
      </w:r>
      <w:r>
        <w:rPr>
          <w:rFonts w:hint="eastAsia" w:ascii="仿宋_GB2312" w:hAnsi="Times New Roman" w:eastAsia="仿宋_GB2312" w:cs="Times New Roman"/>
          <w:sz w:val="32"/>
          <w:szCs w:val="32"/>
        </w:rPr>
        <w:t>办公费、其他交通费增加</w:t>
      </w:r>
      <w:r>
        <w:rPr>
          <w:rFonts w:hint="eastAsia" w:ascii="仿宋_GB2312" w:eastAsia="仿宋_GB2312"/>
          <w:sz w:val="32"/>
          <w:szCs w:val="32"/>
        </w:rPr>
        <w:t>。</w:t>
      </w:r>
    </w:p>
    <w:p w14:paraId="2190A7D8">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3B0DCB81">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攀枝花市西区科学技术局</w:t>
      </w:r>
      <w:r>
        <w:rPr>
          <w:rFonts w:hint="eastAsia" w:ascii="仿宋_GB2312" w:eastAsia="仿宋_GB2312"/>
          <w:sz w:val="32"/>
          <w:szCs w:val="32"/>
        </w:rPr>
        <w:t>政府采购支出总额</w:t>
      </w:r>
      <w:r>
        <w:rPr>
          <w:rFonts w:ascii="仿宋" w:hAnsi="仿宋" w:eastAsia="仿宋"/>
          <w:b/>
          <w:sz w:val="32"/>
          <w:szCs w:val="32"/>
        </w:rPr>
        <w:t>5.59</w:t>
      </w:r>
      <w:r>
        <w:rPr>
          <w:rFonts w:hint="eastAsia" w:ascii="仿宋_GB2312" w:eastAsia="仿宋_GB2312"/>
          <w:sz w:val="32"/>
          <w:szCs w:val="32"/>
        </w:rPr>
        <w:t>万元，其中：政府采购货物支出</w:t>
      </w:r>
      <w:r>
        <w:rPr>
          <w:sz w:val="32"/>
          <w:szCs w:val="32"/>
        </w:rPr>
        <w:t>5.59</w:t>
      </w:r>
      <w:r>
        <w:rPr>
          <w:rFonts w:hint="eastAsia" w:ascii="仿宋_GB2312" w:eastAsia="仿宋_GB2312"/>
          <w:sz w:val="32"/>
          <w:szCs w:val="32"/>
        </w:rPr>
        <w:t>万元、政府采购工程支出</w:t>
      </w:r>
      <w:r>
        <w:rPr>
          <w:sz w:val="32"/>
          <w:szCs w:val="32"/>
        </w:rPr>
        <w:t>0</w:t>
      </w:r>
      <w:r>
        <w:rPr>
          <w:rFonts w:hint="eastAsia" w:ascii="仿宋_GB2312" w:eastAsia="仿宋_GB2312"/>
          <w:sz w:val="32"/>
          <w:szCs w:val="32"/>
        </w:rPr>
        <w:t>万元、政府采购服务支出</w:t>
      </w:r>
      <w:r>
        <w:rPr>
          <w:sz w:val="32"/>
          <w:szCs w:val="32"/>
        </w:rPr>
        <w:t>0</w:t>
      </w:r>
      <w:r>
        <w:rPr>
          <w:rFonts w:hint="eastAsia" w:ascii="仿宋_GB2312" w:eastAsia="仿宋_GB2312"/>
          <w:sz w:val="32"/>
          <w:szCs w:val="32"/>
        </w:rPr>
        <w:t>万元。主要用于</w:t>
      </w:r>
      <w:r>
        <w:rPr>
          <w:rFonts w:hint="eastAsia" w:ascii="仿宋_GB2312" w:eastAsia="仿宋_GB2312"/>
          <w:sz w:val="32"/>
          <w:szCs w:val="32"/>
          <w:lang w:eastAsia="zh-CN"/>
        </w:rPr>
        <w:t>科普活动、科技成果转化等工作办公设备更新及补充</w:t>
      </w:r>
      <w:r>
        <w:rPr>
          <w:rFonts w:hint="eastAsia" w:ascii="仿宋_GB2312" w:eastAsia="仿宋_GB2312"/>
          <w:sz w:val="32"/>
          <w:szCs w:val="32"/>
        </w:rPr>
        <w:t>。授予中小企业合同金额</w:t>
      </w:r>
      <w:r>
        <w:rPr>
          <w:sz w:val="32"/>
          <w:szCs w:val="32"/>
        </w:rPr>
        <w:t>5.59</w:t>
      </w:r>
      <w:r>
        <w:rPr>
          <w:rFonts w:hint="eastAsia" w:ascii="仿宋_GB2312" w:eastAsia="仿宋_GB2312"/>
          <w:sz w:val="32"/>
          <w:szCs w:val="32"/>
        </w:rPr>
        <w:t>万元，占政府采购支出总额的</w:t>
      </w:r>
      <w:r>
        <w:rPr>
          <w:sz w:val="32"/>
          <w:szCs w:val="32"/>
        </w:rPr>
        <w:t>100</w:t>
      </w:r>
      <w:r>
        <w:rPr>
          <w:rFonts w:ascii="仿宋_GB2312" w:eastAsia="仿宋_GB2312"/>
          <w:sz w:val="32"/>
          <w:szCs w:val="32"/>
        </w:rPr>
        <w:t>%</w:t>
      </w:r>
      <w:r>
        <w:rPr>
          <w:rFonts w:hint="eastAsia" w:ascii="仿宋_GB2312" w:eastAsia="仿宋_GB2312"/>
          <w:sz w:val="32"/>
          <w:szCs w:val="32"/>
        </w:rPr>
        <w:t>，其中：授予小微企业合同金额</w:t>
      </w:r>
      <w:r>
        <w:rPr>
          <w:sz w:val="32"/>
          <w:szCs w:val="32"/>
        </w:rPr>
        <w:t>5.59</w:t>
      </w:r>
      <w:r>
        <w:rPr>
          <w:rFonts w:hint="eastAsia" w:ascii="仿宋_GB2312" w:eastAsia="仿宋_GB2312"/>
          <w:sz w:val="32"/>
          <w:szCs w:val="32"/>
        </w:rPr>
        <w:t>万元，占政府采购支出总额的</w:t>
      </w:r>
      <w:r>
        <w:rPr>
          <w:sz w:val="32"/>
          <w:szCs w:val="32"/>
        </w:rPr>
        <w:t>100</w:t>
      </w:r>
      <w:r>
        <w:rPr>
          <w:rFonts w:ascii="仿宋_GB2312" w:eastAsia="仿宋_GB2312"/>
          <w:sz w:val="32"/>
          <w:szCs w:val="32"/>
        </w:rPr>
        <w:t>%</w:t>
      </w:r>
      <w:r>
        <w:rPr>
          <w:rFonts w:hint="eastAsia" w:ascii="仿宋_GB2312" w:eastAsia="仿宋_GB2312"/>
          <w:sz w:val="32"/>
          <w:szCs w:val="32"/>
        </w:rPr>
        <w:t>。</w:t>
      </w:r>
    </w:p>
    <w:p w14:paraId="4074923E">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728B14C8">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攀枝花市西区科学技术局</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万元以上设备（不含车辆）</w:t>
      </w:r>
      <w:r>
        <w:rPr>
          <w:sz w:val="32"/>
          <w:szCs w:val="32"/>
        </w:rPr>
        <w:t>0</w:t>
      </w:r>
      <w:r>
        <w:rPr>
          <w:rFonts w:hint="eastAsia" w:ascii="仿宋_GB2312" w:eastAsia="仿宋_GB2312"/>
          <w:sz w:val="32"/>
          <w:szCs w:val="32"/>
        </w:rPr>
        <w:t>台（套）。</w:t>
      </w:r>
    </w:p>
    <w:p w14:paraId="6A3B966C">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7CA97476">
      <w:pPr>
        <w:pageBreakBefore w:val="0"/>
        <w:kinsoku/>
        <w:wordWrap/>
        <w:overflowPunct/>
        <w:topLinePunct w:val="0"/>
        <w:bidi w:val="0"/>
        <w:adjustRightInd/>
        <w:snapToGrid/>
        <w:spacing w:line="58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根据预算绩效管理要求，本部门在2023年度预算编制阶段，组织对</w:t>
      </w:r>
      <w:r>
        <w:rPr>
          <w:rFonts w:hint="default" w:ascii="Times New Roman" w:hAnsi="Times New Roman" w:eastAsia="仿宋_GB2312" w:cs="Times New Roman"/>
          <w:color w:val="auto"/>
          <w:sz w:val="32"/>
          <w:szCs w:val="32"/>
        </w:rPr>
        <w:t>科技招商、科博会、科技特派员、大众创业万众创新、科普等</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个项目</w:t>
      </w:r>
      <w:r>
        <w:rPr>
          <w:rFonts w:hint="eastAsia" w:ascii="仿宋_GB2312" w:hAnsi="仿宋_GB2312" w:eastAsia="仿宋_GB2312" w:cs="仿宋_GB2312"/>
          <w:sz w:val="32"/>
          <w:szCs w:val="32"/>
        </w:rPr>
        <w:t>开展了预算事前绩效评估，对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个项目</w:t>
      </w:r>
      <w:r>
        <w:rPr>
          <w:rFonts w:hint="eastAsia" w:ascii="仿宋_GB2312" w:hAnsi="Times New Roman" w:eastAsia="仿宋_GB2312" w:cs="Times New Roman"/>
          <w:color w:val="auto"/>
          <w:sz w:val="32"/>
          <w:szCs w:val="32"/>
          <w:highlight w:val="none"/>
          <w:lang w:eastAsia="zh-CN"/>
        </w:rPr>
        <w:t>开展绩效监控，</w:t>
      </w:r>
      <w:r>
        <w:rPr>
          <w:rFonts w:hint="eastAsia" w:ascii="仿宋_GB2312" w:hAnsi="Times New Roman" w:eastAsia="仿宋_GB2312" w:cs="Times New Roman"/>
          <w:color w:val="auto"/>
          <w:sz w:val="32"/>
          <w:szCs w:val="32"/>
          <w:highlight w:val="none"/>
          <w:lang w:val="en-US" w:eastAsia="zh-CN"/>
        </w:rPr>
        <w:t>组织对8个项目</w:t>
      </w:r>
      <w:r>
        <w:rPr>
          <w:rFonts w:hint="eastAsia" w:ascii="仿宋_GB2312" w:hAnsi="仿宋_GB2312" w:eastAsia="仿宋_GB2312" w:cs="仿宋_GB2312"/>
          <w:sz w:val="32"/>
          <w:szCs w:val="32"/>
        </w:rPr>
        <w:t>开展绩效</w:t>
      </w:r>
      <w:r>
        <w:rPr>
          <w:rFonts w:hint="eastAsia" w:ascii="仿宋_GB2312" w:hAnsi="仿宋_GB2312" w:eastAsia="仿宋_GB2312" w:cs="仿宋_GB2312"/>
          <w:sz w:val="32"/>
          <w:szCs w:val="32"/>
          <w:lang w:val="en-US" w:eastAsia="zh-CN"/>
        </w:rPr>
        <w:t>自评，</w:t>
      </w:r>
      <w:r>
        <w:rPr>
          <w:rFonts w:hint="eastAsia" w:ascii="仿宋_GB2312" w:eastAsia="仿宋_GB2312"/>
          <w:sz w:val="32"/>
          <w:szCs w:val="32"/>
        </w:rPr>
        <w:t>绩效自评表详见第四部分附件。</w:t>
      </w:r>
    </w:p>
    <w:p w14:paraId="23171B96">
      <w:pPr>
        <w:spacing w:line="600" w:lineRule="exact"/>
        <w:ind w:firstLine="640" w:firstLineChars="200"/>
        <w:rPr>
          <w:rFonts w:ascii="仿宋_GB2312" w:eastAsia="仿宋_GB2312"/>
          <w:sz w:val="32"/>
          <w:szCs w:val="32"/>
        </w:rPr>
      </w:pPr>
    </w:p>
    <w:p w14:paraId="0E2E2F79">
      <w:pPr>
        <w:pStyle w:val="2"/>
      </w:pPr>
    </w:p>
    <w:p w14:paraId="6EC5FC95">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5E6873FE">
      <w:pPr>
        <w:numPr>
          <w:ilvl w:val="0"/>
          <w:numId w:val="3"/>
        </w:numPr>
        <w:spacing w:line="600" w:lineRule="exact"/>
        <w:ind w:firstLine="660" w:firstLineChars="150"/>
        <w:jc w:val="center"/>
        <w:outlineLvl w:val="0"/>
        <w:rPr>
          <w:rStyle w:val="29"/>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9"/>
          <w:rFonts w:hint="eastAsia" w:ascii="黑体" w:hAnsi="黑体" w:eastAsia="黑体"/>
          <w:b w:val="0"/>
        </w:rPr>
        <w:t>词解释</w:t>
      </w:r>
      <w:bookmarkEnd w:id="49"/>
      <w:bookmarkEnd w:id="50"/>
    </w:p>
    <w:p w14:paraId="3E724AA6">
      <w:pPr>
        <w:spacing w:line="600" w:lineRule="exact"/>
        <w:jc w:val="left"/>
        <w:rPr>
          <w:rFonts w:ascii="宋体"/>
          <w:b/>
          <w:sz w:val="44"/>
          <w:szCs w:val="44"/>
        </w:rPr>
      </w:pPr>
    </w:p>
    <w:p w14:paraId="2E047096">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100A9F85">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632C8D5A">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其他收入：指单位取得的除上述收入以外的各项收入。主要是</w:t>
      </w:r>
      <w:r>
        <w:rPr>
          <w:rFonts w:hint="eastAsia" w:ascii="仿宋_GB2312" w:eastAsia="仿宋_GB2312"/>
          <w:sz w:val="32"/>
          <w:szCs w:val="32"/>
          <w:lang w:eastAsia="zh-CN"/>
        </w:rPr>
        <w:t>银行存款利息收入</w:t>
      </w:r>
      <w:r>
        <w:rPr>
          <w:rFonts w:hint="eastAsia" w:ascii="仿宋_GB2312" w:eastAsia="仿宋_GB2312"/>
          <w:sz w:val="32"/>
          <w:szCs w:val="32"/>
        </w:rPr>
        <w:t>。</w:t>
      </w:r>
      <w:r>
        <w:rPr>
          <w:rFonts w:ascii="仿宋_GB2312" w:eastAsia="仿宋_GB2312"/>
          <w:color w:val="auto"/>
          <w:sz w:val="32"/>
          <w:szCs w:val="32"/>
        </w:rPr>
        <w:t xml:space="preserve"> </w:t>
      </w:r>
    </w:p>
    <w:p w14:paraId="504A3F99">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ascii="仿宋_GB2312" w:eastAsia="仿宋_GB2312"/>
          <w:color w:val="auto"/>
          <w:sz w:val="32"/>
          <w:szCs w:val="32"/>
        </w:rPr>
        <w:t>.</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7E3DBBB8">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07A57BA0">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6</w:t>
      </w:r>
      <w:r>
        <w:rPr>
          <w:rFonts w:ascii="仿宋_GB2312" w:eastAsia="仿宋_GB2312"/>
          <w:color w:val="auto"/>
          <w:sz w:val="32"/>
          <w:szCs w:val="32"/>
        </w:rPr>
        <w:t>.</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2E3E50AA">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7</w:t>
      </w:r>
      <w:r>
        <w:rPr>
          <w:rFonts w:hint="eastAsia" w:ascii="仿宋_GB2312" w:eastAsia="仿宋_GB2312"/>
          <w:color w:val="auto"/>
          <w:sz w:val="32"/>
          <w:szCs w:val="32"/>
        </w:rPr>
        <w:t>.年末结转和结余：指单位按有关规定结转到下年或以后年度继续使用的资金。</w:t>
      </w:r>
    </w:p>
    <w:p w14:paraId="42C93A6C">
      <w:pPr>
        <w:ind w:firstLine="640" w:firstLineChars="200"/>
        <w:rPr>
          <w:rFonts w:hint="eastAsia" w:ascii="仿宋_GB2312" w:hAnsi="Calibri" w:eastAsia="仿宋_GB2312" w:cs="仿宋"/>
          <w:kern w:val="0"/>
          <w:sz w:val="32"/>
          <w:szCs w:val="32"/>
          <w:lang w:eastAsia="zh-CN"/>
        </w:rPr>
      </w:pPr>
      <w:r>
        <w:rPr>
          <w:rFonts w:hint="eastAsia" w:ascii="仿宋_GB2312" w:eastAsia="仿宋_GB2312"/>
          <w:sz w:val="32"/>
          <w:szCs w:val="32"/>
          <w:lang w:val="en-US" w:eastAsia="zh-CN"/>
        </w:rPr>
        <w:t>8</w:t>
      </w:r>
      <w:r>
        <w:rPr>
          <w:rFonts w:ascii="仿宋_GB2312" w:eastAsia="仿宋_GB2312"/>
          <w:sz w:val="32"/>
          <w:szCs w:val="32"/>
        </w:rPr>
        <w:t>.</w:t>
      </w:r>
      <w:r>
        <w:rPr>
          <w:rFonts w:hint="eastAsia" w:ascii="仿宋_GB2312" w:hAnsi="Calibri" w:eastAsia="仿宋_GB2312" w:cs="仿宋"/>
          <w:kern w:val="0"/>
          <w:sz w:val="32"/>
          <w:szCs w:val="32"/>
        </w:rPr>
        <w:t>科学技术支出（类）科学技术管理事务（款）行政运行（项）：反映行政单位（包括实行公务员管理的事业单位）的基本支出；其他科学技术管理事务支出（项）：反映其他用于科学技术管理事务方面的支出。技术研究与开发（款）科技成果转化与扩散（项）：反映</w:t>
      </w:r>
      <w:r>
        <w:rPr>
          <w:rFonts w:hint="eastAsia" w:ascii="仿宋_GB2312" w:hAnsi="Calibri" w:eastAsia="仿宋_GB2312" w:cs="仿宋"/>
          <w:kern w:val="0"/>
          <w:sz w:val="32"/>
          <w:szCs w:val="32"/>
          <w:lang w:eastAsia="zh-CN"/>
        </w:rPr>
        <w:t>促进</w:t>
      </w:r>
      <w:r>
        <w:rPr>
          <w:rFonts w:hint="eastAsia" w:ascii="仿宋_GB2312" w:hAnsi="Calibri" w:eastAsia="仿宋_GB2312" w:cs="仿宋"/>
          <w:kern w:val="0"/>
          <w:sz w:val="32"/>
          <w:szCs w:val="32"/>
        </w:rPr>
        <w:t>科技成果转化</w:t>
      </w:r>
      <w:r>
        <w:rPr>
          <w:rFonts w:hint="eastAsia" w:ascii="仿宋_GB2312" w:hAnsi="Calibri" w:eastAsia="仿宋_GB2312" w:cs="仿宋"/>
          <w:kern w:val="0"/>
          <w:sz w:val="32"/>
          <w:szCs w:val="32"/>
          <w:lang w:eastAsia="zh-CN"/>
        </w:rPr>
        <w:t>为实现生产力的应用、推广和引导性支出，以及基本建设支出中用于支持企业科技自主创新的支出。其他科学技术支出</w:t>
      </w:r>
      <w:r>
        <w:rPr>
          <w:rFonts w:hint="eastAsia" w:ascii="仿宋_GB2312" w:hAnsi="Calibri" w:eastAsia="仿宋_GB2312" w:cs="仿宋"/>
          <w:kern w:val="0"/>
          <w:sz w:val="32"/>
          <w:szCs w:val="32"/>
        </w:rPr>
        <w:t>（款）其他科学技术支出（项）：反映其他科学技术支出</w:t>
      </w:r>
      <w:r>
        <w:rPr>
          <w:rFonts w:hint="eastAsia" w:ascii="仿宋_GB2312" w:hAnsi="Calibri" w:eastAsia="仿宋_GB2312" w:cs="仿宋"/>
          <w:kern w:val="0"/>
          <w:sz w:val="32"/>
          <w:szCs w:val="32"/>
          <w:lang w:eastAsia="zh-CN"/>
        </w:rPr>
        <w:t>中除以上各项外用于科技方面的支出。</w:t>
      </w:r>
    </w:p>
    <w:p w14:paraId="37826E79">
      <w:pPr>
        <w:spacing w:line="600" w:lineRule="exact"/>
        <w:ind w:firstLine="640" w:firstLineChars="200"/>
        <w:rPr>
          <w:rFonts w:ascii="仿宋" w:hAnsi="仿宋" w:eastAsia="仿宋"/>
          <w:sz w:val="32"/>
          <w:szCs w:val="32"/>
        </w:rPr>
      </w:pPr>
      <w:r>
        <w:rPr>
          <w:rFonts w:hint="eastAsia" w:ascii="仿宋_GB2312" w:eastAsia="仿宋_GB2312"/>
          <w:sz w:val="32"/>
          <w:szCs w:val="32"/>
          <w:lang w:val="en-US" w:eastAsia="zh-CN"/>
        </w:rPr>
        <w:t>9</w:t>
      </w:r>
      <w:r>
        <w:rPr>
          <w:rFonts w:hint="eastAsia" w:ascii="仿宋_GB2312" w:eastAsia="仿宋_GB2312"/>
          <w:sz w:val="32"/>
          <w:szCs w:val="32"/>
        </w:rPr>
        <w:t>.社会保障和就业支出（类）行政事业单位养老支出（款）</w:t>
      </w:r>
      <w:r>
        <w:rPr>
          <w:rFonts w:hint="eastAsia" w:ascii="仿宋" w:hAnsi="仿宋" w:eastAsia="仿宋"/>
          <w:sz w:val="32"/>
          <w:szCs w:val="32"/>
        </w:rPr>
        <w:t>行政单位离退休（项）：反映行政单位（包括实行公务员管理的事业单位）开支的离退休经费；</w:t>
      </w:r>
      <w:r>
        <w:rPr>
          <w:rFonts w:hint="eastAsia" w:ascii="仿宋_GB2312" w:eastAsia="仿宋_GB2312"/>
          <w:sz w:val="32"/>
          <w:szCs w:val="32"/>
        </w:rPr>
        <w:t>机关事业单位基本养老保险缴费支出（项）：反映机关事业单位实施养老保险制度由单位缴纳的基本养老保险费支出。</w:t>
      </w:r>
    </w:p>
    <w:p w14:paraId="1814CB70">
      <w:pPr>
        <w:ind w:firstLine="640" w:firstLineChars="200"/>
        <w:rPr>
          <w:rFonts w:hint="eastAsia" w:ascii="仿宋_GB2312" w:hAnsi="Calibri" w:eastAsia="仿宋_GB2312" w:cs="仿宋"/>
          <w:kern w:val="0"/>
          <w:sz w:val="32"/>
          <w:szCs w:val="32"/>
        </w:rPr>
      </w:pPr>
      <w:r>
        <w:rPr>
          <w:rFonts w:hint="eastAsia" w:ascii="仿宋_GB2312" w:hAnsi="Calibri" w:eastAsia="仿宋_GB2312" w:cs="仿宋"/>
          <w:kern w:val="0"/>
          <w:sz w:val="32"/>
          <w:szCs w:val="32"/>
          <w:lang w:val="en-US" w:eastAsia="zh-CN"/>
        </w:rPr>
        <w:t>10</w:t>
      </w:r>
      <w:r>
        <w:rPr>
          <w:rFonts w:hint="eastAsia" w:ascii="仿宋_GB2312" w:hAnsi="Calibri" w:eastAsia="仿宋_GB2312" w:cs="仿宋"/>
          <w:kern w:val="0"/>
          <w:sz w:val="32"/>
          <w:szCs w:val="32"/>
        </w:rPr>
        <w:t>.卫生健康支出（类）行政事业单位医疗（款）行政单位医疗（项）：反映财政部门集中安排的行政单位基本医疗保险缴费经费，未参加医疗保险的行政单位的公费医疗保险经费，按国家规定享受离休人员和红军老战士待遇人员的医疗经费；事业单位医疗（项）：反映财政部门集中安排的事业单位基本医疗保险缴费经费，未参加医疗保险的事业单位公费医疗经费，按国家规定享受离休人员待遇人员的医疗经费；公务员医疗补助（项）：反映财政部门集中安排的公务员医疗补助经费；其他行政事业单位医疗支出（项）：反映除上述项目以外其他用于行政事业单位医疗方面的支出。</w:t>
      </w:r>
    </w:p>
    <w:p w14:paraId="2B2A76D1">
      <w:pPr>
        <w:pStyle w:val="3"/>
        <w:ind w:firstLine="640" w:firstLineChars="200"/>
      </w:pPr>
      <w:r>
        <w:rPr>
          <w:rFonts w:hint="eastAsia" w:ascii="仿宋" w:hAnsi="仿宋" w:eastAsia="仿宋"/>
          <w:color w:val="000000"/>
          <w:sz w:val="32"/>
          <w:szCs w:val="32"/>
          <w:lang w:val="en-US" w:eastAsia="zh-CN"/>
        </w:rPr>
        <w:t>11.</w:t>
      </w:r>
      <w:r>
        <w:rPr>
          <w:rFonts w:hint="eastAsia" w:ascii="仿宋" w:hAnsi="仿宋" w:eastAsia="仿宋"/>
          <w:color w:val="000000"/>
          <w:sz w:val="32"/>
          <w:szCs w:val="32"/>
        </w:rPr>
        <w:t>城乡社区支出（类）国有土地使用权出让收入及对应专项债务收入安排的支出（款）土地开发支出（项）：反映新疆生产建设兵团和地方政府用于前期土地开发性支出以及与前期土地开发相关的费用等支出。</w:t>
      </w:r>
    </w:p>
    <w:p w14:paraId="431D709D">
      <w:pPr>
        <w:spacing w:line="600" w:lineRule="exact"/>
        <w:ind w:firstLine="640"/>
        <w:rPr>
          <w:rFonts w:ascii="仿宋" w:hAnsi="仿宋" w:eastAsia="仿宋"/>
          <w:b/>
          <w:sz w:val="32"/>
          <w:szCs w:val="32"/>
        </w:rPr>
      </w:pPr>
      <w:r>
        <w:rPr>
          <w:rFonts w:hint="eastAsia" w:ascii="仿宋_GB2312" w:hAnsi="Calibri" w:eastAsia="仿宋_GB2312" w:cs="仿宋"/>
          <w:kern w:val="0"/>
          <w:sz w:val="32"/>
          <w:szCs w:val="32"/>
          <w:lang w:val="en-US" w:eastAsia="zh-CN"/>
        </w:rPr>
        <w:t>12</w:t>
      </w:r>
      <w:r>
        <w:rPr>
          <w:rFonts w:hint="eastAsia" w:ascii="仿宋_GB2312" w:hAnsi="Calibri" w:eastAsia="仿宋_GB2312" w:cs="仿宋"/>
          <w:kern w:val="0"/>
          <w:sz w:val="32"/>
          <w:szCs w:val="32"/>
        </w:rPr>
        <w:t>.住房保障支出（类）住房改革支出（款）住房公积金（项）：指行政事业单位按人力资源和社会保障部、财政部规定的基本工资和津贴补贴以及规定比例为职工缴纳的住房公积金。</w:t>
      </w:r>
    </w:p>
    <w:p w14:paraId="4CC05D74">
      <w:pPr>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1F8EAEC6">
      <w:pPr>
        <w:ind w:firstLine="640" w:firstLineChars="200"/>
        <w:rPr>
          <w:rFonts w:ascii="仿宋_GB2312" w:eastAsia="仿宋_GB2312"/>
          <w:sz w:val="32"/>
          <w:szCs w:val="32"/>
        </w:rPr>
      </w:pPr>
      <w:r>
        <w:rPr>
          <w:rFonts w:hint="eastAsia" w:ascii="仿宋_GB2312" w:eastAsia="仿宋_GB2312"/>
          <w:sz w:val="32"/>
          <w:szCs w:val="32"/>
          <w:lang w:val="en-US" w:eastAsia="zh-CN"/>
        </w:rPr>
        <w:t>14</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3AC2804E">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15</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60CD2FB">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16</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5F95CB9">
      <w:pPr>
        <w:spacing w:line="600" w:lineRule="exact"/>
        <w:jc w:val="center"/>
        <w:outlineLvl w:val="0"/>
        <w:rPr>
          <w:rStyle w:val="29"/>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9"/>
          <w:rFonts w:hint="eastAsia" w:ascii="黑体" w:hAnsi="黑体" w:eastAsia="黑体"/>
          <w:b w:val="0"/>
        </w:rPr>
        <w:t>四部分 附件</w:t>
      </w:r>
      <w:bookmarkEnd w:id="52"/>
    </w:p>
    <w:p w14:paraId="0E3D2376">
      <w:pPr>
        <w:spacing w:line="572" w:lineRule="exact"/>
        <w:jc w:val="left"/>
        <w:outlineLvl w:val="0"/>
        <w:rPr>
          <w:rFonts w:ascii="仿宋_GB2312" w:hAnsi="仿宋_GB2312" w:eastAsia="仿宋_GB2312" w:cs="仿宋_GB2312"/>
          <w:sz w:val="32"/>
          <w:szCs w:val="32"/>
        </w:rPr>
      </w:pPr>
    </w:p>
    <w:p w14:paraId="505F5C09">
      <w:pPr>
        <w:spacing w:line="600" w:lineRule="exact"/>
        <w:ind w:firstLine="640"/>
        <w:rPr>
          <w:rFonts w:hint="eastAsia" w:ascii="仿宋_GB2312" w:hAnsi="Calibri" w:eastAsia="仿宋_GB2312" w:cs="仿宋"/>
          <w:kern w:val="0"/>
          <w:sz w:val="32"/>
          <w:szCs w:val="32"/>
        </w:rPr>
      </w:pPr>
      <w:bookmarkStart w:id="53" w:name="_Toc15396618"/>
      <w:r>
        <w:rPr>
          <w:rFonts w:hint="eastAsia" w:ascii="仿宋_GB2312" w:hAnsi="Calibri" w:eastAsia="仿宋_GB2312" w:cs="仿宋"/>
          <w:kern w:val="0"/>
          <w:sz w:val="32"/>
          <w:szCs w:val="32"/>
        </w:rPr>
        <w:t>部门预算项目支出绩效自评表（2023年度）</w:t>
      </w:r>
    </w:p>
    <w:p w14:paraId="43066D17">
      <w:pPr>
        <w:pStyle w:val="15"/>
        <w:spacing w:line="560" w:lineRule="exact"/>
        <w:ind w:left="0" w:leftChars="0" w:firstLine="640"/>
        <w:rPr>
          <w:sz w:val="32"/>
        </w:rPr>
      </w:pPr>
    </w:p>
    <w:p w14:paraId="1319E121">
      <w:pPr>
        <w:pStyle w:val="3"/>
        <w:spacing w:before="93"/>
        <w:rPr>
          <w:rFonts w:hAnsi="Calibri" w:cs="仿宋"/>
          <w:sz w:val="32"/>
          <w:szCs w:val="32"/>
        </w:rPr>
      </w:pPr>
      <w:bookmarkStart w:id="67" w:name="_GoBack"/>
      <w:bookmarkEnd w:id="67"/>
    </w:p>
    <w:p w14:paraId="6B0A37E7">
      <w:pPr>
        <w:pStyle w:val="3"/>
        <w:spacing w:before="93"/>
        <w:rPr>
          <w:rFonts w:hAnsi="Calibri" w:cs="仿宋"/>
          <w:sz w:val="32"/>
          <w:szCs w:val="32"/>
        </w:rPr>
      </w:pPr>
    </w:p>
    <w:p w14:paraId="1F3EE97D">
      <w:pPr>
        <w:pStyle w:val="3"/>
        <w:spacing w:before="93"/>
        <w:rPr>
          <w:rFonts w:hAnsi="Calibri" w:cs="仿宋"/>
          <w:sz w:val="32"/>
          <w:szCs w:val="32"/>
        </w:rPr>
      </w:pPr>
    </w:p>
    <w:p w14:paraId="1CE0FEC9">
      <w:pPr>
        <w:pStyle w:val="3"/>
        <w:spacing w:before="93"/>
        <w:rPr>
          <w:rFonts w:hAnsi="Calibri" w:cs="仿宋"/>
          <w:sz w:val="32"/>
          <w:szCs w:val="32"/>
        </w:rPr>
      </w:pPr>
    </w:p>
    <w:p w14:paraId="7F63AAC0">
      <w:pPr>
        <w:pStyle w:val="3"/>
        <w:spacing w:before="93"/>
        <w:rPr>
          <w:rFonts w:hAnsi="Calibri" w:cs="仿宋"/>
          <w:sz w:val="32"/>
          <w:szCs w:val="32"/>
        </w:rPr>
      </w:pPr>
    </w:p>
    <w:p w14:paraId="0D35E519">
      <w:pPr>
        <w:pStyle w:val="3"/>
        <w:spacing w:before="93"/>
        <w:rPr>
          <w:rFonts w:hAnsi="Calibri" w:cs="仿宋"/>
          <w:sz w:val="32"/>
          <w:szCs w:val="32"/>
        </w:rPr>
      </w:pPr>
    </w:p>
    <w:p w14:paraId="324F1B76">
      <w:pPr>
        <w:pStyle w:val="3"/>
        <w:spacing w:before="93"/>
        <w:rPr>
          <w:rFonts w:hAnsi="Calibri" w:cs="仿宋"/>
          <w:sz w:val="32"/>
          <w:szCs w:val="32"/>
        </w:rPr>
      </w:pPr>
    </w:p>
    <w:p w14:paraId="7FEBE6E2">
      <w:pPr>
        <w:pStyle w:val="3"/>
        <w:spacing w:before="93"/>
        <w:rPr>
          <w:rFonts w:hAnsi="Calibri" w:cs="仿宋"/>
          <w:sz w:val="32"/>
          <w:szCs w:val="32"/>
        </w:rPr>
      </w:pPr>
    </w:p>
    <w:p w14:paraId="14E2DA0A">
      <w:pPr>
        <w:pStyle w:val="3"/>
        <w:spacing w:before="93"/>
        <w:rPr>
          <w:rFonts w:hAnsi="Calibri" w:cs="仿宋"/>
          <w:sz w:val="32"/>
          <w:szCs w:val="32"/>
        </w:rPr>
      </w:pPr>
    </w:p>
    <w:p w14:paraId="07139DD3">
      <w:pPr>
        <w:pStyle w:val="3"/>
        <w:spacing w:before="93"/>
        <w:rPr>
          <w:rFonts w:hAnsi="Calibri" w:cs="仿宋"/>
          <w:sz w:val="32"/>
          <w:szCs w:val="32"/>
        </w:rPr>
      </w:pPr>
    </w:p>
    <w:p w14:paraId="54FFCFF6">
      <w:pPr>
        <w:pStyle w:val="3"/>
        <w:spacing w:before="93"/>
        <w:rPr>
          <w:rFonts w:hAnsi="Calibri" w:cs="仿宋"/>
          <w:sz w:val="32"/>
          <w:szCs w:val="32"/>
        </w:rPr>
      </w:pPr>
    </w:p>
    <w:p w14:paraId="6DAC990F">
      <w:pPr>
        <w:pStyle w:val="3"/>
        <w:spacing w:before="93"/>
        <w:rPr>
          <w:rFonts w:hAnsi="Calibri" w:cs="仿宋"/>
          <w:sz w:val="32"/>
          <w:szCs w:val="32"/>
        </w:rPr>
      </w:pPr>
    </w:p>
    <w:p w14:paraId="290CBB7C">
      <w:pPr>
        <w:pStyle w:val="3"/>
        <w:spacing w:before="93"/>
        <w:rPr>
          <w:rFonts w:hAnsi="Calibri" w:cs="仿宋"/>
          <w:sz w:val="32"/>
          <w:szCs w:val="32"/>
        </w:rPr>
      </w:pPr>
    </w:p>
    <w:p w14:paraId="6DBB2878">
      <w:pPr>
        <w:pStyle w:val="3"/>
        <w:spacing w:before="93"/>
        <w:rPr>
          <w:rFonts w:hAnsi="Calibri" w:cs="仿宋"/>
          <w:sz w:val="32"/>
          <w:szCs w:val="32"/>
        </w:rPr>
      </w:pPr>
    </w:p>
    <w:p w14:paraId="40DBE53C">
      <w:pPr>
        <w:pStyle w:val="3"/>
        <w:spacing w:before="93"/>
        <w:rPr>
          <w:rFonts w:hAnsi="Calibri" w:cs="仿宋"/>
          <w:sz w:val="32"/>
          <w:szCs w:val="32"/>
        </w:rPr>
      </w:pPr>
    </w:p>
    <w:p w14:paraId="345583DA">
      <w:pPr>
        <w:pStyle w:val="3"/>
        <w:spacing w:before="93"/>
        <w:rPr>
          <w:rFonts w:hAnsi="Calibri" w:cs="仿宋"/>
          <w:sz w:val="32"/>
          <w:szCs w:val="32"/>
        </w:rPr>
      </w:pPr>
    </w:p>
    <w:p w14:paraId="5333FECA">
      <w:pPr>
        <w:spacing w:line="600" w:lineRule="exact"/>
        <w:jc w:val="center"/>
        <w:outlineLvl w:val="0"/>
        <w:rPr>
          <w:rFonts w:ascii="仿宋" w:hAnsi="仿宋" w:eastAsia="仿宋"/>
        </w:rPr>
      </w:pPr>
      <w:r>
        <w:rPr>
          <w:rFonts w:hint="eastAsia" w:ascii="黑体" w:hAnsi="黑体" w:eastAsia="黑体"/>
          <w:sz w:val="44"/>
          <w:szCs w:val="44"/>
        </w:rPr>
        <w:t>第</w:t>
      </w:r>
      <w:r>
        <w:rPr>
          <w:rStyle w:val="29"/>
          <w:rFonts w:hint="eastAsia" w:ascii="黑体" w:hAnsi="黑体" w:eastAsia="黑体"/>
          <w:b w:val="0"/>
        </w:rPr>
        <w:t>五部分 附表</w:t>
      </w:r>
      <w:bookmarkEnd w:id="51"/>
      <w:bookmarkEnd w:id="53"/>
      <w:bookmarkStart w:id="54" w:name="_Toc15396619"/>
    </w:p>
    <w:p w14:paraId="600A6DF8">
      <w:pPr>
        <w:pStyle w:val="5"/>
        <w:rPr>
          <w:rFonts w:ascii="仿宋" w:hAnsi="仿宋" w:eastAsia="仿宋"/>
        </w:rPr>
      </w:pPr>
      <w:r>
        <w:rPr>
          <w:rFonts w:hint="eastAsia" w:ascii="仿宋" w:hAnsi="仿宋" w:eastAsia="仿宋"/>
          <w:b w:val="0"/>
        </w:rPr>
        <w:t>一、收</w:t>
      </w:r>
      <w:r>
        <w:rPr>
          <w:rStyle w:val="30"/>
          <w:rFonts w:hint="eastAsia" w:ascii="仿宋" w:hAnsi="仿宋" w:eastAsia="仿宋"/>
          <w:b w:val="0"/>
          <w:bCs w:val="0"/>
        </w:rPr>
        <w:t>入支出决算总表</w:t>
      </w:r>
      <w:bookmarkEnd w:id="54"/>
    </w:p>
    <w:p w14:paraId="3AFF6DA1">
      <w:pPr>
        <w:pStyle w:val="5"/>
        <w:rPr>
          <w:rFonts w:ascii="仿宋" w:hAnsi="仿宋" w:eastAsia="仿宋"/>
        </w:rPr>
      </w:pPr>
      <w:bookmarkStart w:id="55" w:name="_Toc15396620"/>
      <w:r>
        <w:rPr>
          <w:rFonts w:hint="eastAsia" w:ascii="仿宋" w:hAnsi="仿宋" w:eastAsia="仿宋"/>
          <w:b w:val="0"/>
        </w:rPr>
        <w:t>二、收</w:t>
      </w:r>
      <w:r>
        <w:rPr>
          <w:rStyle w:val="30"/>
          <w:rFonts w:hint="eastAsia" w:ascii="仿宋" w:hAnsi="仿宋" w:eastAsia="仿宋"/>
          <w:b w:val="0"/>
          <w:bCs w:val="0"/>
        </w:rPr>
        <w:t>入决算表</w:t>
      </w:r>
      <w:bookmarkEnd w:id="55"/>
    </w:p>
    <w:p w14:paraId="7319D620">
      <w:pPr>
        <w:pStyle w:val="5"/>
        <w:rPr>
          <w:rFonts w:ascii="仿宋" w:hAnsi="仿宋" w:eastAsia="仿宋"/>
        </w:rPr>
      </w:pPr>
      <w:bookmarkStart w:id="56" w:name="_Toc15396621"/>
      <w:r>
        <w:rPr>
          <w:rStyle w:val="30"/>
          <w:rFonts w:hint="eastAsia" w:ascii="仿宋" w:hAnsi="仿宋" w:eastAsia="仿宋"/>
          <w:b w:val="0"/>
          <w:bCs w:val="0"/>
        </w:rPr>
        <w:t>三、</w:t>
      </w:r>
      <w:r>
        <w:rPr>
          <w:rFonts w:hint="eastAsia" w:ascii="仿宋" w:hAnsi="仿宋" w:eastAsia="仿宋"/>
          <w:b w:val="0"/>
        </w:rPr>
        <w:t>支</w:t>
      </w:r>
      <w:r>
        <w:rPr>
          <w:rStyle w:val="30"/>
          <w:rFonts w:hint="eastAsia" w:ascii="仿宋" w:hAnsi="仿宋" w:eastAsia="仿宋"/>
          <w:b w:val="0"/>
          <w:bCs w:val="0"/>
        </w:rPr>
        <w:t>出决算表</w:t>
      </w:r>
      <w:bookmarkEnd w:id="56"/>
    </w:p>
    <w:p w14:paraId="49D8FBFE">
      <w:pPr>
        <w:pStyle w:val="5"/>
        <w:rPr>
          <w:rFonts w:ascii="仿宋" w:hAnsi="仿宋" w:eastAsia="仿宋"/>
          <w:b w:val="0"/>
        </w:rPr>
      </w:pPr>
      <w:bookmarkStart w:id="57" w:name="_Toc15396622"/>
      <w:r>
        <w:rPr>
          <w:rStyle w:val="30"/>
          <w:rFonts w:hint="eastAsia" w:ascii="仿宋" w:hAnsi="仿宋" w:eastAsia="仿宋"/>
          <w:b w:val="0"/>
          <w:bCs w:val="0"/>
        </w:rPr>
        <w:t>四、</w:t>
      </w:r>
      <w:r>
        <w:rPr>
          <w:rFonts w:hint="eastAsia" w:ascii="仿宋" w:hAnsi="仿宋" w:eastAsia="仿宋"/>
          <w:b w:val="0"/>
        </w:rPr>
        <w:t>财</w:t>
      </w:r>
      <w:r>
        <w:rPr>
          <w:rStyle w:val="30"/>
          <w:rFonts w:hint="eastAsia" w:ascii="仿宋" w:hAnsi="仿宋" w:eastAsia="仿宋"/>
          <w:b w:val="0"/>
          <w:bCs w:val="0"/>
        </w:rPr>
        <w:t>政拨款收入支出决算总表</w:t>
      </w:r>
      <w:bookmarkEnd w:id="57"/>
    </w:p>
    <w:p w14:paraId="32B71AC6">
      <w:pPr>
        <w:pStyle w:val="5"/>
        <w:rPr>
          <w:rStyle w:val="30"/>
          <w:rFonts w:ascii="仿宋" w:hAnsi="仿宋" w:eastAsia="仿宋"/>
          <w:b w:val="0"/>
          <w:bCs w:val="0"/>
        </w:rPr>
      </w:pPr>
      <w:bookmarkStart w:id="58" w:name="_Toc15396623"/>
      <w:r>
        <w:rPr>
          <w:rStyle w:val="30"/>
          <w:rFonts w:hint="eastAsia" w:ascii="仿宋" w:hAnsi="仿宋" w:eastAsia="仿宋"/>
          <w:b w:val="0"/>
          <w:bCs w:val="0"/>
        </w:rPr>
        <w:t>五、</w:t>
      </w:r>
      <w:r>
        <w:rPr>
          <w:rFonts w:hint="eastAsia" w:ascii="仿宋" w:hAnsi="仿宋" w:eastAsia="仿宋"/>
          <w:b w:val="0"/>
        </w:rPr>
        <w:t>财</w:t>
      </w:r>
      <w:r>
        <w:rPr>
          <w:rStyle w:val="30"/>
          <w:rFonts w:hint="eastAsia" w:ascii="仿宋" w:hAnsi="仿宋" w:eastAsia="仿宋"/>
          <w:b w:val="0"/>
          <w:bCs w:val="0"/>
        </w:rPr>
        <w:t>政拨款支出决算明细表</w:t>
      </w:r>
      <w:bookmarkEnd w:id="58"/>
      <w:bookmarkStart w:id="59" w:name="_Toc15396624"/>
    </w:p>
    <w:p w14:paraId="39B7F34E">
      <w:pPr>
        <w:pStyle w:val="5"/>
        <w:rPr>
          <w:rFonts w:ascii="仿宋" w:hAnsi="仿宋" w:eastAsia="仿宋"/>
        </w:rPr>
      </w:pPr>
      <w:r>
        <w:rPr>
          <w:rStyle w:val="30"/>
          <w:rFonts w:hint="eastAsia" w:ascii="仿宋" w:hAnsi="仿宋" w:eastAsia="仿宋"/>
          <w:b w:val="0"/>
          <w:bCs w:val="0"/>
        </w:rPr>
        <w:t>六、</w:t>
      </w:r>
      <w:r>
        <w:rPr>
          <w:rFonts w:hint="eastAsia" w:ascii="仿宋" w:hAnsi="仿宋" w:eastAsia="仿宋"/>
          <w:b w:val="0"/>
        </w:rPr>
        <w:t>一</w:t>
      </w:r>
      <w:r>
        <w:rPr>
          <w:rStyle w:val="30"/>
          <w:rFonts w:hint="eastAsia" w:ascii="仿宋" w:hAnsi="仿宋" w:eastAsia="仿宋"/>
          <w:b w:val="0"/>
          <w:bCs w:val="0"/>
        </w:rPr>
        <w:t>般公共预算财政拨款支出决算表</w:t>
      </w:r>
      <w:bookmarkEnd w:id="59"/>
    </w:p>
    <w:p w14:paraId="4D5DB4AA">
      <w:pPr>
        <w:pStyle w:val="5"/>
        <w:rPr>
          <w:rFonts w:ascii="仿宋" w:hAnsi="仿宋" w:eastAsia="仿宋"/>
        </w:rPr>
      </w:pPr>
      <w:bookmarkStart w:id="60" w:name="_Toc15396625"/>
      <w:r>
        <w:rPr>
          <w:rStyle w:val="30"/>
          <w:rFonts w:hint="eastAsia" w:ascii="仿宋" w:hAnsi="仿宋" w:eastAsia="仿宋"/>
          <w:b w:val="0"/>
          <w:bCs w:val="0"/>
        </w:rPr>
        <w:t>七、</w:t>
      </w:r>
      <w:r>
        <w:rPr>
          <w:rFonts w:hint="eastAsia" w:ascii="仿宋" w:hAnsi="仿宋" w:eastAsia="仿宋"/>
          <w:b w:val="0"/>
        </w:rPr>
        <w:t>一</w:t>
      </w:r>
      <w:r>
        <w:rPr>
          <w:rStyle w:val="30"/>
          <w:rFonts w:hint="eastAsia" w:ascii="仿宋" w:hAnsi="仿宋" w:eastAsia="仿宋"/>
          <w:b w:val="0"/>
          <w:bCs w:val="0"/>
        </w:rPr>
        <w:t>般公共预算财政拨款支出决算明细表</w:t>
      </w:r>
      <w:bookmarkEnd w:id="60"/>
    </w:p>
    <w:p w14:paraId="195D1CDB">
      <w:pPr>
        <w:pStyle w:val="5"/>
        <w:rPr>
          <w:rFonts w:ascii="仿宋" w:hAnsi="仿宋" w:eastAsia="仿宋"/>
        </w:rPr>
      </w:pPr>
      <w:bookmarkStart w:id="61" w:name="_Toc15396626"/>
      <w:r>
        <w:rPr>
          <w:rStyle w:val="30"/>
          <w:rFonts w:hint="eastAsia" w:ascii="仿宋" w:hAnsi="仿宋" w:eastAsia="仿宋"/>
          <w:b w:val="0"/>
          <w:bCs w:val="0"/>
        </w:rPr>
        <w:t>八、</w:t>
      </w:r>
      <w:r>
        <w:rPr>
          <w:rFonts w:hint="eastAsia" w:ascii="仿宋" w:hAnsi="仿宋" w:eastAsia="仿宋"/>
          <w:b w:val="0"/>
        </w:rPr>
        <w:t>一</w:t>
      </w:r>
      <w:r>
        <w:rPr>
          <w:rStyle w:val="30"/>
          <w:rFonts w:hint="eastAsia" w:ascii="仿宋" w:hAnsi="仿宋" w:eastAsia="仿宋"/>
          <w:b w:val="0"/>
          <w:bCs w:val="0"/>
        </w:rPr>
        <w:t>般公共预算财政拨款基本支出决算表</w:t>
      </w:r>
      <w:bookmarkEnd w:id="61"/>
    </w:p>
    <w:p w14:paraId="5E756591">
      <w:pPr>
        <w:pStyle w:val="5"/>
        <w:rPr>
          <w:rFonts w:ascii="仿宋" w:hAnsi="仿宋" w:eastAsia="仿宋"/>
        </w:rPr>
      </w:pPr>
      <w:bookmarkStart w:id="62" w:name="_Toc15396627"/>
      <w:r>
        <w:rPr>
          <w:rStyle w:val="30"/>
          <w:rFonts w:hint="eastAsia" w:ascii="仿宋" w:hAnsi="仿宋" w:eastAsia="仿宋"/>
          <w:b w:val="0"/>
          <w:bCs w:val="0"/>
        </w:rPr>
        <w:t>九、</w:t>
      </w:r>
      <w:r>
        <w:rPr>
          <w:rFonts w:hint="eastAsia" w:ascii="仿宋" w:hAnsi="仿宋" w:eastAsia="仿宋"/>
          <w:b w:val="0"/>
        </w:rPr>
        <w:t>一</w:t>
      </w:r>
      <w:r>
        <w:rPr>
          <w:rStyle w:val="30"/>
          <w:rFonts w:hint="eastAsia" w:ascii="仿宋" w:hAnsi="仿宋" w:eastAsia="仿宋"/>
          <w:b w:val="0"/>
          <w:bCs w:val="0"/>
        </w:rPr>
        <w:t>般公共预算财政拨款项目支出决算表</w:t>
      </w:r>
      <w:bookmarkEnd w:id="62"/>
    </w:p>
    <w:p w14:paraId="2629F569">
      <w:pPr>
        <w:pStyle w:val="5"/>
        <w:rPr>
          <w:rFonts w:ascii="仿宋" w:hAnsi="仿宋" w:eastAsia="仿宋"/>
        </w:rPr>
      </w:pPr>
      <w:bookmarkStart w:id="63" w:name="_Toc15396628"/>
      <w:r>
        <w:rPr>
          <w:rStyle w:val="30"/>
          <w:rFonts w:hint="eastAsia" w:ascii="仿宋" w:hAnsi="仿宋" w:eastAsia="仿宋"/>
          <w:b w:val="0"/>
          <w:bCs w:val="0"/>
        </w:rPr>
        <w:t>十、</w:t>
      </w:r>
      <w:bookmarkEnd w:id="63"/>
      <w:r>
        <w:rPr>
          <w:rFonts w:hint="eastAsia" w:ascii="仿宋" w:hAnsi="仿宋" w:eastAsia="仿宋"/>
          <w:b w:val="0"/>
        </w:rPr>
        <w:t>政</w:t>
      </w:r>
      <w:r>
        <w:rPr>
          <w:rStyle w:val="30"/>
          <w:rFonts w:hint="eastAsia" w:ascii="仿宋" w:hAnsi="仿宋" w:eastAsia="仿宋"/>
          <w:b w:val="0"/>
          <w:bCs w:val="0"/>
        </w:rPr>
        <w:t>府性基金预算财政拨款收入支出决算表</w:t>
      </w:r>
    </w:p>
    <w:p w14:paraId="4829BD23">
      <w:pPr>
        <w:pStyle w:val="5"/>
        <w:rPr>
          <w:rFonts w:ascii="仿宋" w:hAnsi="仿宋" w:eastAsia="仿宋"/>
        </w:rPr>
      </w:pPr>
      <w:bookmarkStart w:id="64" w:name="_Toc15396629"/>
      <w:r>
        <w:rPr>
          <w:rStyle w:val="30"/>
          <w:rFonts w:hint="eastAsia" w:ascii="仿宋" w:hAnsi="仿宋" w:eastAsia="仿宋"/>
          <w:b w:val="0"/>
          <w:bCs w:val="0"/>
        </w:rPr>
        <w:t>十一、</w:t>
      </w:r>
      <w:bookmarkEnd w:id="64"/>
      <w:r>
        <w:rPr>
          <w:rFonts w:hint="eastAsia" w:ascii="仿宋" w:hAnsi="仿宋" w:eastAsia="仿宋"/>
          <w:b w:val="0"/>
        </w:rPr>
        <w:t>国</w:t>
      </w:r>
      <w:r>
        <w:rPr>
          <w:rStyle w:val="30"/>
          <w:rFonts w:hint="eastAsia" w:ascii="仿宋" w:hAnsi="仿宋" w:eastAsia="仿宋"/>
          <w:b w:val="0"/>
          <w:bCs w:val="0"/>
        </w:rPr>
        <w:t>有资本经营预算财政拨款收入支出决算表</w:t>
      </w:r>
    </w:p>
    <w:p w14:paraId="6BD4C34D">
      <w:pPr>
        <w:pStyle w:val="5"/>
        <w:rPr>
          <w:rFonts w:ascii="仿宋" w:hAnsi="仿宋" w:eastAsia="仿宋"/>
        </w:rPr>
      </w:pPr>
      <w:bookmarkStart w:id="65" w:name="_Toc15396630"/>
      <w:r>
        <w:rPr>
          <w:rStyle w:val="30"/>
          <w:rFonts w:hint="eastAsia" w:ascii="仿宋" w:hAnsi="仿宋" w:eastAsia="仿宋"/>
          <w:b w:val="0"/>
          <w:bCs w:val="0"/>
        </w:rPr>
        <w:t>十二、</w:t>
      </w:r>
      <w:bookmarkEnd w:id="65"/>
      <w:r>
        <w:rPr>
          <w:rStyle w:val="30"/>
          <w:rFonts w:hint="eastAsia" w:ascii="仿宋" w:hAnsi="仿宋" w:eastAsia="仿宋"/>
          <w:b w:val="0"/>
          <w:bCs w:val="0"/>
        </w:rPr>
        <w:t>国有资本经营预算财政拨款支出决算表</w:t>
      </w:r>
    </w:p>
    <w:p w14:paraId="7DCCA70D">
      <w:pPr>
        <w:pStyle w:val="5"/>
        <w:rPr>
          <w:rFonts w:eastAsia="仿宋"/>
        </w:rPr>
      </w:pPr>
      <w:bookmarkStart w:id="66" w:name="_Toc15396631"/>
      <w:r>
        <w:rPr>
          <w:rStyle w:val="30"/>
          <w:rFonts w:hint="eastAsia" w:ascii="仿宋" w:hAnsi="仿宋" w:eastAsia="仿宋"/>
          <w:b w:val="0"/>
          <w:bCs w:val="0"/>
        </w:rPr>
        <w:t>十三、</w:t>
      </w:r>
      <w:bookmarkEnd w:id="66"/>
      <w:r>
        <w:rPr>
          <w:rStyle w:val="30"/>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1A96F189">
        <w:pPr>
          <w:pStyle w:val="10"/>
          <w:jc w:val="center"/>
        </w:pPr>
        <w:r>
          <w:fldChar w:fldCharType="begin"/>
        </w:r>
        <w:r>
          <w:instrText xml:space="preserve">PAGE   \* MERGEFORMAT</w:instrText>
        </w:r>
        <w:r>
          <w:fldChar w:fldCharType="separate"/>
        </w:r>
        <w:r>
          <w:rPr>
            <w:lang w:val="zh-CN"/>
          </w:rPr>
          <w:t>15</w:t>
        </w:r>
        <w:r>
          <w:fldChar w:fldCharType="end"/>
        </w:r>
      </w:p>
    </w:sdtContent>
  </w:sdt>
  <w:p w14:paraId="3E5FEBD5">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45FC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NmI2Zjc4NTBkMjc4YTcxZDEwZGMxNGM4NTc4MG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A2032A3"/>
    <w:rsid w:val="0B8A37D8"/>
    <w:rsid w:val="0F5FFB2F"/>
    <w:rsid w:val="0FFFCF60"/>
    <w:rsid w:val="10C055FF"/>
    <w:rsid w:val="118107EC"/>
    <w:rsid w:val="11DD6519"/>
    <w:rsid w:val="16BB723D"/>
    <w:rsid w:val="18015F3F"/>
    <w:rsid w:val="1BE8440E"/>
    <w:rsid w:val="1D155CEE"/>
    <w:rsid w:val="1FDBBF84"/>
    <w:rsid w:val="20F57F95"/>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926865"/>
    <w:rsid w:val="42FF6694"/>
    <w:rsid w:val="48BF60AB"/>
    <w:rsid w:val="493C27E9"/>
    <w:rsid w:val="496F39ED"/>
    <w:rsid w:val="49FF41D3"/>
    <w:rsid w:val="4BE068DB"/>
    <w:rsid w:val="4BF6002B"/>
    <w:rsid w:val="4BFFC6BE"/>
    <w:rsid w:val="4ECE2238"/>
    <w:rsid w:val="504208A4"/>
    <w:rsid w:val="50DA3100"/>
    <w:rsid w:val="51DB4B86"/>
    <w:rsid w:val="51F64DB0"/>
    <w:rsid w:val="55333C3E"/>
    <w:rsid w:val="5E5A6D00"/>
    <w:rsid w:val="5F67802D"/>
    <w:rsid w:val="5F7DC4F2"/>
    <w:rsid w:val="5FB36814"/>
    <w:rsid w:val="5FBB8E56"/>
    <w:rsid w:val="5FFB5535"/>
    <w:rsid w:val="64CA39A1"/>
    <w:rsid w:val="69630ADE"/>
    <w:rsid w:val="69BD5F13"/>
    <w:rsid w:val="69FB0B4B"/>
    <w:rsid w:val="6BFFE1FB"/>
    <w:rsid w:val="6C4A05C8"/>
    <w:rsid w:val="6D3B1A89"/>
    <w:rsid w:val="6DB7D8A3"/>
    <w:rsid w:val="6EC78701"/>
    <w:rsid w:val="6F7A5481"/>
    <w:rsid w:val="6FFE07A9"/>
    <w:rsid w:val="715B5C57"/>
    <w:rsid w:val="71BF4EC2"/>
    <w:rsid w:val="72734D90"/>
    <w:rsid w:val="73E75B71"/>
    <w:rsid w:val="7412278C"/>
    <w:rsid w:val="752124FA"/>
    <w:rsid w:val="75B637D0"/>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style>
  <w:style w:type="paragraph" w:styleId="3">
    <w:name w:val="Body Text"/>
    <w:basedOn w:val="1"/>
    <w:link w:val="26"/>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Title"/>
    <w:basedOn w:val="1"/>
    <w:qFormat/>
    <w:uiPriority w:val="0"/>
    <w:pPr>
      <w:spacing w:before="240" w:after="60"/>
      <w:jc w:val="center"/>
      <w:outlineLvl w:val="0"/>
    </w:pPr>
    <w:rPr>
      <w:rFonts w:ascii="Arial" w:hAnsi="Arial" w:cs="Arial"/>
      <w:b/>
      <w:bCs/>
      <w:sz w:val="32"/>
      <w:szCs w:val="32"/>
    </w:rPr>
  </w:style>
  <w:style w:type="paragraph" w:styleId="15">
    <w:name w:val="Body Text First Indent 2"/>
    <w:basedOn w:val="7"/>
    <w:unhideWhenUsed/>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字符"/>
    <w:link w:val="11"/>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字符"/>
    <w:link w:val="10"/>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字符"/>
    <w:link w:val="3"/>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字符"/>
    <w:basedOn w:val="17"/>
    <w:link w:val="4"/>
    <w:qFormat/>
    <w:uiPriority w:val="9"/>
    <w:rPr>
      <w:rFonts w:ascii="Times New Roman" w:hAnsi="Times New Roman"/>
      <w:b/>
      <w:bCs/>
      <w:kern w:val="44"/>
      <w:sz w:val="44"/>
      <w:szCs w:val="44"/>
    </w:rPr>
  </w:style>
  <w:style w:type="character" w:customStyle="1" w:styleId="30">
    <w:name w:val="标题 2 字符"/>
    <w:basedOn w:val="17"/>
    <w:link w:val="5"/>
    <w:qFormat/>
    <w:uiPriority w:val="9"/>
    <w:rPr>
      <w:rFonts w:asciiTheme="majorHAnsi" w:hAnsiTheme="majorHAnsi" w:eastAsiaTheme="majorEastAsia" w:cstheme="majorBidi"/>
      <w:b/>
      <w:bCs/>
      <w:kern w:val="2"/>
      <w:sz w:val="32"/>
      <w:szCs w:val="32"/>
    </w:rPr>
  </w:style>
  <w:style w:type="paragraph" w:customStyle="1" w:styleId="31">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字符"/>
    <w:basedOn w:val="17"/>
    <w:link w:val="9"/>
    <w:semiHidden/>
    <w:qFormat/>
    <w:uiPriority w:val="99"/>
    <w:rPr>
      <w:rFonts w:ascii="Times New Roman" w:hAnsi="Times New Roman"/>
      <w:kern w:val="2"/>
      <w:sz w:val="18"/>
      <w:szCs w:val="18"/>
    </w:rPr>
  </w:style>
  <w:style w:type="character" w:customStyle="1" w:styleId="33">
    <w:name w:val="标题 3 字符"/>
    <w:basedOn w:val="17"/>
    <w:link w:val="6"/>
    <w:qFormat/>
    <w:uiPriority w:val="9"/>
    <w:rPr>
      <w:rFonts w:ascii="Times New Roman" w:hAnsi="Times New Roman"/>
      <w:b/>
      <w:bCs/>
      <w:kern w:val="2"/>
      <w:sz w:val="32"/>
      <w:szCs w:val="32"/>
    </w:rPr>
  </w:style>
  <w:style w:type="paragraph" w:customStyle="1" w:styleId="34">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5925</Words>
  <Characters>6368</Characters>
  <Lines>54</Lines>
  <Paragraphs>15</Paragraphs>
  <TotalTime>0</TotalTime>
  <ScaleCrop>false</ScaleCrop>
  <LinksUpToDate>false</LinksUpToDate>
  <CharactersWithSpaces>6442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孙丽敏</cp:lastModifiedBy>
  <cp:lastPrinted>2023-08-03T02:35:00Z</cp:lastPrinted>
  <dcterms:modified xsi:type="dcterms:W3CDTF">2024-10-25T02:23:11Z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E17A50119BA44CC1BAFEFDFE57C285E1</vt:lpwstr>
  </property>
</Properties>
</file>