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511CA">
      <w:pPr>
        <w:pageBreakBefore w:val="0"/>
        <w:kinsoku/>
        <w:wordWrap/>
        <w:overflowPunct/>
        <w:topLinePunct w:val="0"/>
        <w:bidi w:val="0"/>
        <w:adjustRightInd/>
        <w:snapToGrid/>
        <w:spacing w:line="600" w:lineRule="exact"/>
        <w:jc w:val="both"/>
        <w:textAlignment w:val="auto"/>
        <w:outlineLvl w:val="0"/>
        <w:rPr>
          <w:rFonts w:ascii="方正小标宋简体" w:hAnsi="宋体" w:eastAsia="方正小标宋简体"/>
          <w:sz w:val="72"/>
          <w:szCs w:val="72"/>
        </w:rPr>
      </w:pPr>
      <w:bookmarkStart w:id="0" w:name="_Toc15396475"/>
      <w:bookmarkStart w:id="1" w:name="_Toc15377425"/>
      <w:bookmarkStart w:id="2" w:name="_Toc15378441"/>
      <w:bookmarkStart w:id="3" w:name="_Toc15396597"/>
      <w:bookmarkStart w:id="4" w:name="_Toc15377193"/>
      <w:bookmarkStart w:id="5" w:name="_Toc15306267"/>
    </w:p>
    <w:p w14:paraId="2710FECE">
      <w:pPr>
        <w:pStyle w:val="3"/>
        <w:pageBreakBefore w:val="0"/>
        <w:kinsoku/>
        <w:wordWrap/>
        <w:overflowPunct/>
        <w:topLinePunct w:val="0"/>
        <w:bidi w:val="0"/>
        <w:adjustRightInd/>
        <w:snapToGrid/>
        <w:spacing w:beforeLines="0"/>
        <w:jc w:val="both"/>
        <w:textAlignment w:val="auto"/>
      </w:pPr>
    </w:p>
    <w:p w14:paraId="51AF792D">
      <w:pPr>
        <w:pageBreakBefore w:val="0"/>
        <w:kinsoku/>
        <w:wordWrap/>
        <w:overflowPunct/>
        <w:topLinePunct w:val="0"/>
        <w:bidi w:val="0"/>
        <w:adjustRightInd/>
        <w:snapToGrid/>
        <w:spacing w:line="600" w:lineRule="exact"/>
        <w:jc w:val="both"/>
        <w:textAlignment w:val="auto"/>
        <w:outlineLvl w:val="0"/>
        <w:rPr>
          <w:rFonts w:ascii="方正小标宋简体" w:hAnsi="宋体" w:eastAsia="方正小标宋简体"/>
          <w:sz w:val="72"/>
          <w:szCs w:val="72"/>
        </w:rPr>
      </w:pPr>
    </w:p>
    <w:p w14:paraId="4C024993">
      <w:pPr>
        <w:pageBreakBefore w:val="0"/>
        <w:kinsoku/>
        <w:wordWrap/>
        <w:overflowPunct/>
        <w:topLinePunct w:val="0"/>
        <w:bidi w:val="0"/>
        <w:adjustRightInd/>
        <w:snapToGrid/>
        <w:spacing w:line="600" w:lineRule="exact"/>
        <w:jc w:val="both"/>
        <w:textAlignment w:val="auto"/>
        <w:outlineLvl w:val="0"/>
        <w:rPr>
          <w:rFonts w:ascii="方正小标宋简体" w:hAnsi="宋体" w:eastAsia="方正小标宋简体"/>
          <w:sz w:val="72"/>
          <w:szCs w:val="72"/>
        </w:rPr>
      </w:pPr>
    </w:p>
    <w:p w14:paraId="44D044A1">
      <w:pPr>
        <w:pageBreakBefore w:val="0"/>
        <w:kinsoku/>
        <w:wordWrap/>
        <w:overflowPunct/>
        <w:topLinePunct w:val="0"/>
        <w:bidi w:val="0"/>
        <w:adjustRightInd/>
        <w:snapToGrid/>
        <w:spacing w:line="360" w:lineRule="auto"/>
        <w:jc w:val="center"/>
        <w:textAlignment w:val="auto"/>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14:paraId="5E86AFB6">
      <w:pPr>
        <w:pageBreakBefore w:val="0"/>
        <w:kinsoku/>
        <w:wordWrap/>
        <w:overflowPunct/>
        <w:topLinePunct w:val="0"/>
        <w:bidi w:val="0"/>
        <w:adjustRightInd/>
        <w:snapToGrid/>
        <w:spacing w:line="360" w:lineRule="auto"/>
        <w:jc w:val="center"/>
        <w:textAlignment w:val="auto"/>
        <w:outlineLvl w:val="0"/>
        <w:rPr>
          <w:rFonts w:hint="eastAsia" w:ascii="方正小标宋简体" w:hAnsi="方正小标宋简体" w:eastAsia="方正小标宋简体" w:cs="方正小标宋简体"/>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攀枝花市西区科学</w:t>
      </w:r>
    </w:p>
    <w:p w14:paraId="4E3A5B7B">
      <w:pPr>
        <w:pageBreakBefore w:val="0"/>
        <w:kinsoku/>
        <w:wordWrap/>
        <w:overflowPunct/>
        <w:topLinePunct w:val="0"/>
        <w:bidi w:val="0"/>
        <w:adjustRightInd/>
        <w:snapToGrid/>
        <w:spacing w:line="360" w:lineRule="auto"/>
        <w:jc w:val="center"/>
        <w:textAlignment w:val="auto"/>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技术局部门决算</w:t>
      </w:r>
      <w:bookmarkEnd w:id="6"/>
      <w:bookmarkEnd w:id="7"/>
      <w:bookmarkEnd w:id="8"/>
      <w:bookmarkEnd w:id="9"/>
      <w:bookmarkEnd w:id="10"/>
      <w:bookmarkEnd w:id="11"/>
    </w:p>
    <w:p w14:paraId="0B676903">
      <w:pPr>
        <w:pageBreakBefore w:val="0"/>
        <w:widowControl/>
        <w:kinsoku/>
        <w:wordWrap/>
        <w:overflowPunct/>
        <w:topLinePunct w:val="0"/>
        <w:bidi w:val="0"/>
        <w:adjustRightInd/>
        <w:snapToGrid/>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320AFA4">
      <w:pPr>
        <w:pageBreakBefore w:val="0"/>
        <w:widowControl/>
        <w:kinsoku/>
        <w:wordWrap/>
        <w:overflowPunct/>
        <w:topLinePunct w:val="0"/>
        <w:bidi w:val="0"/>
        <w:adjustRightInd/>
        <w:snapToGrid/>
        <w:jc w:val="both"/>
        <w:textAlignment w:val="auto"/>
        <w:rPr>
          <w:rFonts w:ascii="黑体" w:hAnsi="黑体" w:eastAsia="黑体" w:cstheme="minorBidi"/>
          <w:sz w:val="28"/>
          <w:szCs w:val="28"/>
        </w:rPr>
      </w:pPr>
    </w:p>
    <w:p w14:paraId="29C9B07E">
      <w:pPr>
        <w:pStyle w:val="13"/>
        <w:pageBreakBefore w:val="0"/>
        <w:kinsoku/>
        <w:wordWrap/>
        <w:overflowPunct/>
        <w:topLinePunct w:val="0"/>
        <w:bidi w:val="0"/>
        <w:adjustRightInd/>
        <w:snapToGrid/>
        <w:spacing w:before="0"/>
        <w:jc w:val="center"/>
        <w:textAlignment w:val="auto"/>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14:paraId="0F815D3F">
      <w:pPr>
        <w:pageBreakBefore w:val="0"/>
        <w:kinsoku/>
        <w:wordWrap/>
        <w:overflowPunct/>
        <w:topLinePunct w:val="0"/>
        <w:bidi w:val="0"/>
        <w:adjustRightInd/>
        <w:snapToGrid/>
        <w:jc w:val="both"/>
        <w:textAlignment w:val="auto"/>
      </w:pPr>
    </w:p>
    <w:p w14:paraId="25F8B0FE">
      <w:pPr>
        <w:pStyle w:val="13"/>
        <w:pageBreakBefore w:val="0"/>
        <w:kinsoku/>
        <w:wordWrap/>
        <w:overflowPunct/>
        <w:topLinePunct w:val="0"/>
        <w:bidi w:val="0"/>
        <w:adjustRightInd/>
        <w:snapToGrid/>
        <w:spacing w:before="0" w:line="440" w:lineRule="exact"/>
        <w:jc w:val="both"/>
        <w:textAlignment w:val="auto"/>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lang w:val="en-US" w:eastAsia="zh-CN"/>
        </w:rPr>
        <w:t>4</w:t>
      </w:r>
    </w:p>
    <w:p w14:paraId="2C8BE1F8">
      <w:pPr>
        <w:pStyle w:val="14"/>
        <w:pageBreakBefore w:val="0"/>
        <w:kinsoku/>
        <w:wordWrap/>
        <w:overflowPunct/>
        <w:topLinePunct w:val="0"/>
        <w:bidi w:val="0"/>
        <w:adjustRightInd/>
        <w:snapToGrid/>
        <w:spacing w:line="440" w:lineRule="exact"/>
        <w:jc w:val="both"/>
        <w:textAlignment w:val="auto"/>
        <w:rPr>
          <w:rFonts w:ascii="仿宋" w:hAnsi="仿宋" w:eastAsia="仿宋"/>
          <w:sz w:val="24"/>
        </w:rPr>
      </w:pPr>
      <w:r>
        <w:rPr>
          <w:rFonts w:hint="eastAsia"/>
          <w:sz w:val="24"/>
        </w:rPr>
        <w:t>一、部门职责</w:t>
      </w:r>
      <w:r>
        <w:rPr>
          <w:rFonts w:cstheme="minorBidi"/>
          <w:sz w:val="24"/>
          <w:szCs w:val="24"/>
        </w:rPr>
        <w:tab/>
      </w:r>
      <w:r>
        <w:rPr>
          <w:rFonts w:hint="eastAsia" w:cstheme="minorBidi"/>
          <w:sz w:val="24"/>
          <w:szCs w:val="24"/>
          <w:lang w:val="en-US" w:eastAsia="zh-CN"/>
        </w:rPr>
        <w:t>4</w:t>
      </w:r>
    </w:p>
    <w:p w14:paraId="00B71016">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lang w:val="en-US" w:eastAsia="zh-CN"/>
        </w:rPr>
        <w:t>6</w:t>
      </w:r>
    </w:p>
    <w:p w14:paraId="5CC62399">
      <w:pPr>
        <w:pStyle w:val="13"/>
        <w:pageBreakBefore w:val="0"/>
        <w:kinsoku/>
        <w:wordWrap/>
        <w:overflowPunct/>
        <w:topLinePunct w:val="0"/>
        <w:bidi w:val="0"/>
        <w:adjustRightInd/>
        <w:snapToGrid/>
        <w:spacing w:before="0" w:line="440" w:lineRule="exact"/>
        <w:jc w:val="both"/>
        <w:textAlignment w:val="auto"/>
        <w:rPr>
          <w:sz w:val="24"/>
          <w:szCs w:val="24"/>
        </w:rPr>
      </w:pPr>
      <w:r>
        <w:rPr>
          <w:rFonts w:hint="eastAsia"/>
          <w:sz w:val="24"/>
        </w:rPr>
        <w:t>第二部分 2023年度部门决算情况说明</w:t>
      </w:r>
      <w:r>
        <w:rPr>
          <w:rFonts w:cstheme="minorBidi"/>
          <w:sz w:val="24"/>
        </w:rPr>
        <w:tab/>
      </w:r>
      <w:r>
        <w:rPr>
          <w:rFonts w:hint="eastAsia" w:cstheme="minorBidi"/>
          <w:sz w:val="24"/>
          <w:lang w:val="en-US" w:eastAsia="zh-CN"/>
        </w:rPr>
        <w:t>7</w:t>
      </w:r>
    </w:p>
    <w:p w14:paraId="4239CF98">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7</w:t>
      </w:r>
    </w:p>
    <w:p w14:paraId="76FD1021">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7</w:t>
      </w:r>
    </w:p>
    <w:p w14:paraId="2DA6231C">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lang w:val="en-US" w:eastAsia="zh-CN"/>
        </w:rPr>
        <w:t>8</w:t>
      </w:r>
    </w:p>
    <w:p w14:paraId="1FDF9117">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lang w:val="en-US" w:eastAsia="zh-CN"/>
        </w:rPr>
        <w:t>8</w:t>
      </w:r>
    </w:p>
    <w:p w14:paraId="7B183551">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lang w:val="en-US" w:eastAsia="zh-CN"/>
        </w:rPr>
        <w:t>9</w:t>
      </w:r>
    </w:p>
    <w:p w14:paraId="253AB02F">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11</w:t>
      </w:r>
    </w:p>
    <w:p w14:paraId="36CB3D80">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lang w:val="en-US" w:eastAsia="zh-CN"/>
        </w:rPr>
        <w:t>11</w:t>
      </w:r>
    </w:p>
    <w:p w14:paraId="096927E8">
      <w:pPr>
        <w:pStyle w:val="14"/>
        <w:pageBreakBefore w:val="0"/>
        <w:kinsoku/>
        <w:wordWrap/>
        <w:overflowPunct/>
        <w:topLinePunct w:val="0"/>
        <w:bidi w:val="0"/>
        <w:adjustRightInd/>
        <w:snapToGrid/>
        <w:spacing w:line="440" w:lineRule="exact"/>
        <w:jc w:val="both"/>
        <w:textAlignment w:val="auto"/>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lang w:val="en-US" w:eastAsia="zh-CN"/>
        </w:rPr>
        <w:t>13</w:t>
      </w:r>
    </w:p>
    <w:p w14:paraId="60861EBB">
      <w:pPr>
        <w:pStyle w:val="14"/>
        <w:pageBreakBefore w:val="0"/>
        <w:kinsoku/>
        <w:wordWrap/>
        <w:overflowPunct/>
        <w:topLinePunct w:val="0"/>
        <w:bidi w:val="0"/>
        <w:adjustRightInd/>
        <w:snapToGrid/>
        <w:spacing w:line="440" w:lineRule="exact"/>
        <w:ind w:leftChars="0"/>
        <w:jc w:val="both"/>
        <w:textAlignment w:val="auto"/>
        <w:rPr>
          <w:rFonts w:hint="default" w:eastAsia="宋体" w:asciiTheme="minorEastAsia" w:hAnsi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lang w:val="en-US" w:eastAsia="zh-CN"/>
        </w:rPr>
        <w:t>13</w:t>
      </w:r>
    </w:p>
    <w:p w14:paraId="0B95D5EB">
      <w:pPr>
        <w:pStyle w:val="14"/>
        <w:pageBreakBefore w:val="0"/>
        <w:kinsoku/>
        <w:wordWrap/>
        <w:overflowPunct/>
        <w:topLinePunct w:val="0"/>
        <w:bidi w:val="0"/>
        <w:adjustRightInd/>
        <w:snapToGrid/>
        <w:spacing w:line="440" w:lineRule="exact"/>
        <w:jc w:val="both"/>
        <w:textAlignment w:val="auto"/>
        <w:rPr>
          <w:rFonts w:hint="default" w:ascii="仿宋" w:hAnsi="仿宋" w:eastAsia="宋体" w:cstheme="minorBidi"/>
          <w:sz w:val="24"/>
          <w:lang w:val="en-US" w:eastAsia="zh-CN"/>
        </w:rPr>
      </w:pPr>
      <w:r>
        <w:rPr>
          <w:rStyle w:val="21"/>
          <w:rFonts w:hint="eastAsia" w:asciiTheme="minorEastAsia" w:hAnsiTheme="minorEastAsia" w:eastAsiaTheme="minorEastAsia" w:cstheme="minorEastAsia"/>
          <w:color w:val="auto"/>
          <w:sz w:val="24"/>
          <w:u w:val="none"/>
        </w:rPr>
        <w:t>十、</w:t>
      </w:r>
      <w:r>
        <w:rPr>
          <w:rFonts w:hint="eastAsia" w:ascii="Times New Roman" w:hAnsi="Times New Roman" w:eastAsia="宋体" w:cs="Times New Roman"/>
          <w:kern w:val="2"/>
          <w:sz w:val="24"/>
          <w:szCs w:val="24"/>
          <w:lang w:val="en-US" w:eastAsia="zh-CN" w:bidi="ar-SA"/>
        </w:rPr>
        <w:t>其他重要事项的情况说明</w:t>
      </w:r>
      <w:r>
        <w:rPr>
          <w:rFonts w:cstheme="minorBidi"/>
          <w:sz w:val="24"/>
        </w:rPr>
        <w:tab/>
      </w:r>
      <w:r>
        <w:rPr>
          <w:rFonts w:hint="eastAsia" w:cstheme="minorBidi"/>
          <w:sz w:val="24"/>
          <w:lang w:val="en-US" w:eastAsia="zh-CN"/>
        </w:rPr>
        <w:t>13</w:t>
      </w:r>
    </w:p>
    <w:p w14:paraId="59892BC8">
      <w:pPr>
        <w:pStyle w:val="13"/>
        <w:pageBreakBefore w:val="0"/>
        <w:kinsoku/>
        <w:wordWrap/>
        <w:overflowPunct/>
        <w:topLinePunct w:val="0"/>
        <w:bidi w:val="0"/>
        <w:adjustRightInd/>
        <w:snapToGrid/>
        <w:spacing w:before="0" w:line="440" w:lineRule="exact"/>
        <w:jc w:val="both"/>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15</w:t>
      </w:r>
    </w:p>
    <w:p w14:paraId="583BA181">
      <w:pPr>
        <w:pStyle w:val="13"/>
        <w:pageBreakBefore w:val="0"/>
        <w:kinsoku/>
        <w:wordWrap/>
        <w:overflowPunct/>
        <w:topLinePunct w:val="0"/>
        <w:bidi w:val="0"/>
        <w:adjustRightInd/>
        <w:snapToGrid/>
        <w:spacing w:before="0" w:line="440" w:lineRule="exact"/>
        <w:jc w:val="both"/>
        <w:textAlignment w:val="auto"/>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19</w:t>
      </w:r>
    </w:p>
    <w:p w14:paraId="69AFD1CD">
      <w:pPr>
        <w:pStyle w:val="13"/>
        <w:pageBreakBefore w:val="0"/>
        <w:kinsoku/>
        <w:wordWrap/>
        <w:overflowPunct/>
        <w:topLinePunct w:val="0"/>
        <w:bidi w:val="0"/>
        <w:adjustRightInd/>
        <w:snapToGrid/>
        <w:spacing w:before="0" w:line="440" w:lineRule="exact"/>
        <w:jc w:val="both"/>
        <w:textAlignment w:val="auto"/>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53</w:t>
      </w:r>
    </w:p>
    <w:p w14:paraId="14FF5430">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53</w:t>
      </w:r>
    </w:p>
    <w:p w14:paraId="5549DCC8">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53</w:t>
      </w:r>
    </w:p>
    <w:p w14:paraId="0DC6ECD2">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53</w:t>
      </w:r>
    </w:p>
    <w:p w14:paraId="7469EDAA">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53</w:t>
      </w:r>
    </w:p>
    <w:p w14:paraId="2650466C">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53</w:t>
      </w:r>
    </w:p>
    <w:p w14:paraId="4F122C34">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53</w:t>
      </w:r>
    </w:p>
    <w:p w14:paraId="06309103">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53</w:t>
      </w:r>
    </w:p>
    <w:p w14:paraId="52FA3D27">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53</w:t>
      </w:r>
    </w:p>
    <w:p w14:paraId="7B4822B7">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53</w:t>
      </w:r>
    </w:p>
    <w:p w14:paraId="79EE8F60">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53</w:t>
      </w:r>
    </w:p>
    <w:p w14:paraId="3D6D4C9F">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53</w:t>
      </w:r>
    </w:p>
    <w:p w14:paraId="3A2141D2">
      <w:pPr>
        <w:pStyle w:val="14"/>
        <w:pageBreakBefore w:val="0"/>
        <w:kinsoku/>
        <w:wordWrap/>
        <w:overflowPunct/>
        <w:topLinePunct w:val="0"/>
        <w:bidi w:val="0"/>
        <w:adjustRightInd/>
        <w:snapToGrid/>
        <w:spacing w:line="440" w:lineRule="exact"/>
        <w:jc w:val="both"/>
        <w:textAlignment w:val="auto"/>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53</w:t>
      </w:r>
    </w:p>
    <w:p w14:paraId="44443E86">
      <w:pPr>
        <w:pStyle w:val="14"/>
        <w:pageBreakBefore w:val="0"/>
        <w:kinsoku/>
        <w:wordWrap/>
        <w:overflowPunct/>
        <w:topLinePunct w:val="0"/>
        <w:bidi w:val="0"/>
        <w:adjustRightInd/>
        <w:snapToGrid/>
        <w:spacing w:line="440" w:lineRule="exact"/>
        <w:jc w:val="both"/>
        <w:textAlignment w:val="auto"/>
        <w:rPr>
          <w:rFonts w:hint="default" w:eastAsia="宋体" w:asciiTheme="minorEastAsia" w:hAnsiTheme="minorEastAsia" w:cstheme="minorEastAsia"/>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54</w:t>
      </w:r>
    </w:p>
    <w:p w14:paraId="7E412EDB">
      <w:pPr>
        <w:pageBreakBefore w:val="0"/>
        <w:widowControl/>
        <w:kinsoku/>
        <w:wordWrap/>
        <w:overflowPunct/>
        <w:topLinePunct w:val="0"/>
        <w:bidi w:val="0"/>
        <w:adjustRightInd/>
        <w:snapToGrid/>
        <w:spacing w:line="440" w:lineRule="exact"/>
        <w:ind w:firstLine="1320" w:firstLineChars="550"/>
        <w:jc w:val="both"/>
        <w:textAlignment w:val="auto"/>
        <w:rPr>
          <w:rFonts w:ascii="仿宋" w:hAnsi="仿宋" w:eastAsia="仿宋"/>
          <w:sz w:val="24"/>
        </w:rPr>
      </w:pPr>
    </w:p>
    <w:p w14:paraId="1E88F199">
      <w:pPr>
        <w:pageBreakBefore w:val="0"/>
        <w:widowControl/>
        <w:kinsoku/>
        <w:wordWrap/>
        <w:overflowPunct/>
        <w:topLinePunct w:val="0"/>
        <w:bidi w:val="0"/>
        <w:adjustRightInd/>
        <w:snapToGrid/>
        <w:spacing w:line="440" w:lineRule="exact"/>
        <w:jc w:val="both"/>
        <w:textAlignment w:val="auto"/>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7B88BC10">
      <w:pPr>
        <w:pStyle w:val="5"/>
        <w:pageBreakBefore w:val="0"/>
        <w:kinsoku/>
        <w:wordWrap/>
        <w:overflowPunct/>
        <w:topLinePunct w:val="0"/>
        <w:bidi w:val="0"/>
        <w:adjustRightInd/>
        <w:snapToGrid/>
        <w:spacing w:before="0" w:after="0"/>
        <w:jc w:val="center"/>
        <w:textAlignment w:val="auto"/>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14:paraId="23540B78">
      <w:pPr>
        <w:pStyle w:val="6"/>
        <w:pageBreakBefore w:val="0"/>
        <w:numPr>
          <w:ilvl w:val="0"/>
          <w:numId w:val="0"/>
        </w:numPr>
        <w:kinsoku/>
        <w:wordWrap/>
        <w:overflowPunct/>
        <w:topLinePunct w:val="0"/>
        <w:bidi w:val="0"/>
        <w:adjustRightInd/>
        <w:snapToGrid/>
        <w:spacing w:before="0" w:after="0"/>
        <w:ind w:firstLine="640" w:firstLineChars="200"/>
        <w:jc w:val="both"/>
        <w:textAlignment w:val="auto"/>
        <w:rPr>
          <w:rFonts w:hint="eastAsia" w:ascii="黑体" w:hAnsi="黑体" w:eastAsia="黑体"/>
          <w:b w:val="0"/>
          <w:lang w:eastAsia="zh-CN"/>
        </w:rPr>
      </w:pPr>
    </w:p>
    <w:p w14:paraId="038D04CA">
      <w:pPr>
        <w:pStyle w:val="6"/>
        <w:pageBreakBefore w:val="0"/>
        <w:numPr>
          <w:ilvl w:val="0"/>
          <w:numId w:val="0"/>
        </w:numPr>
        <w:kinsoku/>
        <w:wordWrap/>
        <w:overflowPunct/>
        <w:topLinePunct w:val="0"/>
        <w:bidi w:val="0"/>
        <w:adjustRightInd/>
        <w:snapToGrid/>
        <w:spacing w:before="0" w:after="0"/>
        <w:ind w:firstLine="640" w:firstLineChars="200"/>
        <w:jc w:val="both"/>
        <w:textAlignment w:val="auto"/>
        <w:rPr>
          <w:rFonts w:hint="eastAsia" w:ascii="黑体" w:hAnsi="黑体" w:eastAsia="黑体"/>
          <w:b w:val="0"/>
        </w:rPr>
      </w:pPr>
      <w:r>
        <w:rPr>
          <w:rFonts w:hint="eastAsia" w:ascii="黑体" w:hAnsi="黑体" w:eastAsia="黑体"/>
          <w:b w:val="0"/>
          <w:lang w:eastAsia="zh-CN"/>
        </w:rPr>
        <w:t>一、</w:t>
      </w:r>
      <w:r>
        <w:rPr>
          <w:rFonts w:hint="eastAsia" w:ascii="黑体" w:hAnsi="黑体" w:eastAsia="黑体"/>
          <w:b w:val="0"/>
        </w:rPr>
        <w:t>部门职责</w:t>
      </w:r>
    </w:p>
    <w:p w14:paraId="0505C9AE">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1.拟订全区创新驱动发展战略以及科技发展、引进国外智力规划和政策措施并组织实施。起草有关科技发展的政策措施并组织实施。</w:t>
      </w:r>
    </w:p>
    <w:p w14:paraId="5FB556EE">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14:paraId="50F86533">
      <w:pPr>
        <w:pageBreakBefore w:val="0"/>
        <w:kinsoku/>
        <w:wordWrap/>
        <w:overflowPunct/>
        <w:topLinePunct w:val="0"/>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3.牵头建立全区科研项目资金协调、实施、评估、监管机制。会同有关部门提出优化配置科技资源的政策</w:t>
      </w:r>
      <w:r>
        <w:rPr>
          <w:rFonts w:hint="eastAsia" w:ascii="仿宋_GB2312" w:hAnsi="仿宋" w:eastAsia="仿宋_GB2312"/>
          <w:color w:val="auto"/>
          <w:sz w:val="32"/>
          <w:szCs w:val="32"/>
        </w:rPr>
        <w:t>措施建议，推</w:t>
      </w:r>
      <w:r>
        <w:rPr>
          <w:rFonts w:hint="eastAsia" w:ascii="仿宋_GB2312" w:hAnsi="仿宋" w:eastAsia="仿宋_GB2312"/>
          <w:sz w:val="32"/>
          <w:szCs w:val="32"/>
        </w:rPr>
        <w:t>动多元化科技投入体系建设。组织拟订区级财政科技计划（专项、基金）并监督和实施。负责本部门预算中的科技经费预决算及经费使用的监督管理。</w:t>
      </w:r>
    </w:p>
    <w:p w14:paraId="3F7378F0">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4.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14:paraId="55BA9249">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5.拟订推进攀西国家战略资源创新开发试验</w:t>
      </w:r>
      <w:r>
        <w:rPr>
          <w:rFonts w:hint="eastAsia" w:ascii="仿宋_GB2312" w:hAnsi="仿宋" w:eastAsia="仿宋_GB2312"/>
          <w:color w:val="auto"/>
          <w:sz w:val="32"/>
          <w:szCs w:val="32"/>
        </w:rPr>
        <w:t>区建设</w:t>
      </w:r>
      <w:r>
        <w:rPr>
          <w:rFonts w:hint="eastAsia" w:ascii="仿宋_GB2312" w:hAnsi="仿宋" w:eastAsia="仿宋_GB2312"/>
          <w:color w:val="auto"/>
          <w:sz w:val="32"/>
          <w:szCs w:val="32"/>
          <w:lang w:val="en-US" w:eastAsia="zh-CN"/>
        </w:rPr>
        <w:t>发</w:t>
      </w:r>
      <w:r>
        <w:rPr>
          <w:rFonts w:hint="eastAsia" w:ascii="仿宋_GB2312" w:hAnsi="仿宋" w:eastAsia="仿宋_GB2312"/>
          <w:color w:val="auto"/>
          <w:sz w:val="32"/>
          <w:szCs w:val="32"/>
        </w:rPr>
        <w:t>展的</w:t>
      </w:r>
      <w:r>
        <w:rPr>
          <w:rFonts w:hint="eastAsia" w:ascii="仿宋_GB2312" w:hAnsi="仿宋" w:eastAsia="仿宋_GB2312"/>
          <w:sz w:val="32"/>
          <w:szCs w:val="32"/>
        </w:rPr>
        <w:t>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14:paraId="50C1DBEA">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6.组织拟订高新技术发展及产业化的规划和政策</w:t>
      </w:r>
      <w:r>
        <w:rPr>
          <w:rFonts w:hint="eastAsia" w:ascii="仿宋_GB2312" w:hAnsi="仿宋" w:eastAsia="仿宋_GB2312" w:cs="Times New Roman"/>
          <w:sz w:val="32"/>
          <w:szCs w:val="32"/>
        </w:rPr>
        <w:t>措施并组织实施。指导</w:t>
      </w:r>
      <w:r>
        <w:rPr>
          <w:rFonts w:hint="eastAsia" w:ascii="仿宋_GB2312" w:hAnsi="仿宋" w:eastAsia="仿宋_GB2312"/>
          <w:sz w:val="32"/>
          <w:szCs w:val="32"/>
        </w:rPr>
        <w:t>高新技术企业、创新型企业申报和创新平台建设，负责区级创新平台认定管理工作。组织开展科技型中小企业评价的初审工作。</w:t>
      </w:r>
    </w:p>
    <w:p w14:paraId="470298B4">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7.组织拟订科技促进农业农村和社会发展的规划、政策和措施，指导现代农业示范基地建设，推进科技服务民生工作。拟订科学普及和科学传播规划，政策措施并组织实施。</w:t>
      </w:r>
    </w:p>
    <w:p w14:paraId="65BAFF43">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8.牵头全区技术转移体系建设，拟订科技成果转移转化和促进产学研结合的相关政策措施并组织实施。指导科技服务业、技术市场和科技中介组织发展。</w:t>
      </w:r>
    </w:p>
    <w:p w14:paraId="1F998B67">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9.统筹区域科技创新体系建设，指导区域创新发展、科技资源合理布局和协同创新能力建设，推动高新技术园区建设。</w:t>
      </w:r>
    </w:p>
    <w:p w14:paraId="319396E7">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10.会同有关部门拟订科技人才队伍建设规划和政策，建立健全科技人才评价和激励机制，组织实施科技人才计划，推动高端科技创新人才队伍建设。</w:t>
      </w:r>
    </w:p>
    <w:p w14:paraId="280871E1">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11.负责科技监督评价体系建设和相关科技评估管理，指导科技评价机制改革，统筹科研诚信建设。组织实施全区创新调查和科技报告制度，指导全区科技保密相关工作。</w:t>
      </w:r>
    </w:p>
    <w:p w14:paraId="0C013934">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12.拟订科技对外交流与创新能力开放合作的规划和政策措施，组织开展对外科技合作与科技人才交流。指导相关部门对外科技合作与科技人才交流工作。负责有关科技博览展会参展推广的组织协调工作。</w:t>
      </w:r>
    </w:p>
    <w:p w14:paraId="18E6814A">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13.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14:paraId="5D6AA963">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14.负责职责范围内的安全生产和职业健康、生态环境保护、审批服务便民化等工作。</w:t>
      </w:r>
    </w:p>
    <w:p w14:paraId="375248D8">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15.完成区委、区政府交办的其他任务。</w:t>
      </w:r>
    </w:p>
    <w:p w14:paraId="17913E4F">
      <w:pPr>
        <w:pStyle w:val="6"/>
        <w:pageBreakBefore w:val="0"/>
        <w:kinsoku/>
        <w:wordWrap/>
        <w:overflowPunct/>
        <w:topLinePunct w:val="0"/>
        <w:bidi w:val="0"/>
        <w:adjustRightInd/>
        <w:snapToGrid/>
        <w:spacing w:before="0" w:after="0"/>
        <w:ind w:firstLine="640" w:firstLineChars="200"/>
        <w:jc w:val="both"/>
        <w:textAlignment w:val="auto"/>
        <w:rPr>
          <w:rStyle w:val="31"/>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14:paraId="4EDF52B3">
      <w:pPr>
        <w:pageBreakBefore w:val="0"/>
        <w:kinsoku/>
        <w:wordWrap/>
        <w:overflowPunct/>
        <w:topLinePunct w:val="0"/>
        <w:autoSpaceDE w:val="0"/>
        <w:autoSpaceDN w:val="0"/>
        <w:bidi w:val="0"/>
        <w:adjustRightInd/>
        <w:snapToGrid/>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攀枝花市西区科学技术局下属二级预算单位</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个，其中行政单位</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个，参照公务员法管理的事业单位</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个，其他事业单位</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个</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攀枝花市西区</w:t>
      </w:r>
      <w:r>
        <w:rPr>
          <w:rFonts w:hint="eastAsia" w:ascii="仿宋_GB2312" w:hAnsi="仿宋" w:eastAsia="仿宋_GB2312" w:cs="Times New Roman"/>
          <w:sz w:val="32"/>
          <w:szCs w:val="32"/>
          <w:lang w:eastAsia="zh-CN"/>
        </w:rPr>
        <w:t>生产力促进中心）</w:t>
      </w:r>
      <w:r>
        <w:rPr>
          <w:rFonts w:hint="eastAsia" w:ascii="仿宋_GB2312" w:hAnsi="仿宋" w:eastAsia="仿宋_GB2312" w:cs="Times New Roman"/>
          <w:sz w:val="32"/>
          <w:szCs w:val="32"/>
        </w:rPr>
        <w:t>。</w:t>
      </w:r>
    </w:p>
    <w:p w14:paraId="51DDD3C5">
      <w:pPr>
        <w:pageBreakBefore w:val="0"/>
        <w:kinsoku/>
        <w:wordWrap/>
        <w:overflowPunct/>
        <w:topLinePunct w:val="0"/>
        <w:autoSpaceDE w:val="0"/>
        <w:autoSpaceDN w:val="0"/>
        <w:bidi w:val="0"/>
        <w:adjustRightInd/>
        <w:snapToGrid/>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纳入攀枝花市西区科学技术局2023年度部门决算编制范围的二级预算单位包括：</w:t>
      </w:r>
    </w:p>
    <w:p w14:paraId="0D7D79DB">
      <w:pPr>
        <w:pageBreakBefore w:val="0"/>
        <w:widowControl/>
        <w:kinsoku/>
        <w:wordWrap/>
        <w:overflowPunct/>
        <w:topLinePunct w:val="0"/>
        <w:bidi w:val="0"/>
        <w:adjustRightInd/>
        <w:snapToGrid/>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无。</w:t>
      </w:r>
    </w:p>
    <w:p w14:paraId="0821AEFD">
      <w:pPr>
        <w:pStyle w:val="3"/>
        <w:pageBreakBefore w:val="0"/>
        <w:kinsoku/>
        <w:wordWrap/>
        <w:overflowPunct/>
        <w:topLinePunct w:val="0"/>
        <w:bidi w:val="0"/>
        <w:adjustRightInd/>
        <w:snapToGrid/>
        <w:spacing w:beforeLines="0"/>
        <w:jc w:val="both"/>
        <w:textAlignment w:val="auto"/>
      </w:pPr>
    </w:p>
    <w:p w14:paraId="6C4FE1CE">
      <w:pPr>
        <w:pStyle w:val="3"/>
        <w:pageBreakBefore w:val="0"/>
        <w:kinsoku/>
        <w:wordWrap/>
        <w:overflowPunct/>
        <w:topLinePunct w:val="0"/>
        <w:bidi w:val="0"/>
        <w:adjustRightInd/>
        <w:snapToGrid/>
        <w:spacing w:beforeLines="0"/>
        <w:jc w:val="both"/>
        <w:textAlignment w:val="auto"/>
      </w:pPr>
    </w:p>
    <w:p w14:paraId="7C1D8303">
      <w:pPr>
        <w:pStyle w:val="5"/>
        <w:pageBreakBefore w:val="0"/>
        <w:kinsoku/>
        <w:wordWrap/>
        <w:overflowPunct/>
        <w:topLinePunct w:val="0"/>
        <w:bidi w:val="0"/>
        <w:adjustRightInd/>
        <w:snapToGrid/>
        <w:spacing w:before="0" w:after="0"/>
        <w:ind w:right="440"/>
        <w:jc w:val="both"/>
        <w:textAlignment w:val="auto"/>
        <w:rPr>
          <w:rStyle w:val="30"/>
          <w:rFonts w:ascii="黑体" w:hAnsi="黑体" w:eastAsia="黑体"/>
          <w:b w:val="0"/>
          <w:bCs/>
        </w:rPr>
      </w:pPr>
      <w:bookmarkStart w:id="16" w:name="_Toc15377204"/>
      <w:bookmarkStart w:id="17" w:name="_Toc15396602"/>
      <w:r>
        <w:rPr>
          <w:rFonts w:hint="eastAsia" w:ascii="黑体" w:hAnsi="黑体" w:eastAsia="黑体"/>
          <w:b w:val="0"/>
          <w:lang w:val="en-US" w:eastAsia="zh-CN"/>
        </w:rPr>
        <w:t xml:space="preserve">  </w:t>
      </w:r>
      <w:r>
        <w:rPr>
          <w:rFonts w:hint="eastAsia" w:ascii="黑体" w:hAnsi="黑体" w:eastAsia="黑体"/>
          <w:b w:val="0"/>
        </w:rPr>
        <w:t>第二部分 2023年度</w:t>
      </w:r>
      <w:r>
        <w:rPr>
          <w:rStyle w:val="30"/>
          <w:rFonts w:hint="eastAsia" w:ascii="黑体" w:hAnsi="黑体" w:eastAsia="黑体"/>
          <w:b w:val="0"/>
          <w:bCs/>
        </w:rPr>
        <w:t>部门决算情况说明</w:t>
      </w:r>
      <w:bookmarkEnd w:id="16"/>
      <w:bookmarkEnd w:id="17"/>
    </w:p>
    <w:p w14:paraId="08C2A6EA">
      <w:pPr>
        <w:pageBreakBefore w:val="0"/>
        <w:kinsoku/>
        <w:wordWrap/>
        <w:overflowPunct/>
        <w:topLinePunct w:val="0"/>
        <w:bidi w:val="0"/>
        <w:adjustRightInd/>
        <w:snapToGrid/>
        <w:jc w:val="both"/>
        <w:textAlignment w:val="auto"/>
      </w:pPr>
    </w:p>
    <w:p w14:paraId="7D76070F">
      <w:pPr>
        <w:pStyle w:val="29"/>
        <w:pageBreakBefore w:val="0"/>
        <w:numPr>
          <w:ilvl w:val="0"/>
          <w:numId w:val="1"/>
        </w:numPr>
        <w:kinsoku/>
        <w:wordWrap/>
        <w:overflowPunct/>
        <w:topLinePunct w:val="0"/>
        <w:bidi w:val="0"/>
        <w:adjustRightInd/>
        <w:snapToGrid/>
        <w:spacing w:line="600" w:lineRule="exact"/>
        <w:ind w:firstLineChars="0"/>
        <w:jc w:val="both"/>
        <w:textAlignment w:val="auto"/>
        <w:outlineLvl w:val="1"/>
        <w:rPr>
          <w:rStyle w:val="31"/>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14:paraId="2189D43F">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2023年度收、支总计均为</w:t>
      </w:r>
      <w:r>
        <w:rPr>
          <w:rFonts w:hint="eastAsia"/>
          <w:sz w:val="32"/>
          <w:szCs w:val="32"/>
        </w:rPr>
        <w:t>296.14</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148.17</w:t>
      </w:r>
      <w:r>
        <w:rPr>
          <w:rFonts w:hint="eastAsia" w:ascii="仿宋" w:hAnsi="仿宋" w:eastAsia="仿宋"/>
          <w:sz w:val="32"/>
          <w:szCs w:val="32"/>
        </w:rPr>
        <w:t>万元，增长</w:t>
      </w:r>
      <w:r>
        <w:rPr>
          <w:rFonts w:hint="eastAsia" w:ascii="仿宋" w:hAnsi="仿宋" w:eastAsia="仿宋"/>
          <w:sz w:val="32"/>
          <w:szCs w:val="32"/>
          <w:lang w:val="en-US" w:eastAsia="zh-CN"/>
        </w:rPr>
        <w:t>100.14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基本支出及</w:t>
      </w:r>
      <w:r>
        <w:rPr>
          <w:rFonts w:hint="eastAsia" w:ascii="仿宋_GB2312" w:hAnsi="仿宋" w:eastAsia="仿宋_GB2312"/>
          <w:sz w:val="32"/>
          <w:szCs w:val="32"/>
        </w:rPr>
        <w:t>项目支出</w:t>
      </w:r>
      <w:r>
        <w:rPr>
          <w:rFonts w:hint="eastAsia" w:ascii="仿宋_GB2312" w:hAnsi="仿宋" w:eastAsia="仿宋_GB2312"/>
          <w:sz w:val="32"/>
          <w:szCs w:val="32"/>
          <w:lang w:eastAsia="zh-CN"/>
        </w:rPr>
        <w:t>增加</w:t>
      </w:r>
      <w:r>
        <w:rPr>
          <w:rFonts w:hint="eastAsia" w:ascii="仿宋" w:hAnsi="仿宋" w:eastAsia="仿宋"/>
          <w:sz w:val="32"/>
          <w:szCs w:val="32"/>
        </w:rPr>
        <w:t>。</w:t>
      </w:r>
    </w:p>
    <w:p w14:paraId="3D010872">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414802FC">
      <w:pPr>
        <w:pStyle w:val="3"/>
        <w:pageBreakBefore w:val="0"/>
        <w:kinsoku/>
        <w:wordWrap/>
        <w:overflowPunct/>
        <w:topLinePunct w:val="0"/>
        <w:bidi w:val="0"/>
        <w:adjustRightInd/>
        <w:snapToGrid/>
        <w:spacing w:beforeLines="0"/>
        <w:jc w:val="both"/>
        <w:textAlignment w:val="auto"/>
        <w:rPr>
          <w:rFonts w:ascii="仿宋_GB2312" w:eastAsia="仿宋_GB2312"/>
          <w:sz w:val="32"/>
          <w:szCs w:val="32"/>
        </w:rPr>
      </w:pPr>
      <w:r>
        <w:rPr>
          <w:rFonts w:hint="eastAsia"/>
          <w:lang w:val="en-US" w:eastAsia="zh-CN"/>
        </w:rPr>
        <w:t xml:space="preserve">    </w:t>
      </w:r>
      <w:r>
        <w:drawing>
          <wp:inline distT="0" distB="0" distL="114300" distR="114300">
            <wp:extent cx="4596130" cy="22066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6130" cy="2206625"/>
                    </a:xfrm>
                    <a:prstGeom prst="rect">
                      <a:avLst/>
                    </a:prstGeom>
                    <a:noFill/>
                    <a:ln>
                      <a:noFill/>
                    </a:ln>
                  </pic:spPr>
                </pic:pic>
              </a:graphicData>
            </a:graphic>
          </wp:inline>
        </w:drawing>
      </w:r>
    </w:p>
    <w:p w14:paraId="78586F6D">
      <w:pPr>
        <w:pStyle w:val="29"/>
        <w:pageBreakBefore w:val="0"/>
        <w:numPr>
          <w:ilvl w:val="0"/>
          <w:numId w:val="1"/>
        </w:numPr>
        <w:kinsoku/>
        <w:wordWrap/>
        <w:overflowPunct/>
        <w:topLinePunct w:val="0"/>
        <w:bidi w:val="0"/>
        <w:adjustRightInd/>
        <w:snapToGrid/>
        <w:spacing w:line="600" w:lineRule="exact"/>
        <w:ind w:firstLineChars="0"/>
        <w:jc w:val="both"/>
        <w:textAlignment w:val="auto"/>
        <w:outlineLvl w:val="1"/>
        <w:rPr>
          <w:rStyle w:val="31"/>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14:paraId="72BC5469">
      <w:pPr>
        <w:pageBreakBefore w:val="0"/>
        <w:kinsoku/>
        <w:wordWrap/>
        <w:overflowPunct/>
        <w:topLinePunct w:val="0"/>
        <w:bidi w:val="0"/>
        <w:adjustRightInd/>
        <w:snapToGrid/>
        <w:spacing w:line="600" w:lineRule="exact"/>
        <w:ind w:firstLine="640" w:firstLineChars="200"/>
        <w:jc w:val="both"/>
        <w:textAlignment w:val="auto"/>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296.14</w:t>
      </w:r>
      <w:r>
        <w:rPr>
          <w:rFonts w:hint="eastAsia" w:ascii="仿宋" w:hAnsi="仿宋" w:eastAsia="仿宋"/>
          <w:sz w:val="32"/>
          <w:szCs w:val="32"/>
        </w:rPr>
        <w:t>万元，其中：一般公共预算财政拨款收入</w:t>
      </w:r>
      <w:r>
        <w:rPr>
          <w:sz w:val="32"/>
          <w:szCs w:val="32"/>
        </w:rPr>
        <w:t>290.8</w:t>
      </w:r>
      <w:r>
        <w:rPr>
          <w:rFonts w:hint="eastAsia"/>
          <w:sz w:val="32"/>
          <w:szCs w:val="32"/>
          <w:lang w:val="en-US" w:eastAsia="zh-CN"/>
        </w:rPr>
        <w:t>1</w:t>
      </w:r>
      <w:r>
        <w:rPr>
          <w:rFonts w:hint="eastAsia" w:ascii="仿宋" w:hAnsi="仿宋" w:eastAsia="仿宋"/>
          <w:sz w:val="32"/>
          <w:szCs w:val="32"/>
        </w:rPr>
        <w:t>万元，占</w:t>
      </w:r>
      <w:r>
        <w:rPr>
          <w:sz w:val="32"/>
          <w:szCs w:val="32"/>
        </w:rPr>
        <w:t>98</w:t>
      </w:r>
      <w:r>
        <w:rPr>
          <w:rFonts w:hint="eastAsia"/>
          <w:sz w:val="32"/>
          <w:szCs w:val="32"/>
          <w:lang w:val="en-US" w:eastAsia="zh-CN"/>
        </w:rPr>
        <w:t>.20</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5.3</w:t>
      </w:r>
      <w:r>
        <w:rPr>
          <w:rFonts w:hint="eastAsia"/>
          <w:sz w:val="32"/>
          <w:szCs w:val="32"/>
          <w:lang w:val="en-US" w:eastAsia="zh-CN"/>
        </w:rPr>
        <w:t>3</w:t>
      </w:r>
      <w:r>
        <w:rPr>
          <w:rFonts w:hint="eastAsia" w:ascii="仿宋" w:hAnsi="仿宋" w:eastAsia="仿宋"/>
          <w:sz w:val="32"/>
          <w:szCs w:val="32"/>
        </w:rPr>
        <w:t>万元，占</w:t>
      </w:r>
      <w:r>
        <w:rPr>
          <w:rFonts w:hint="eastAsia" w:eastAsia="仿宋"/>
          <w:sz w:val="32"/>
          <w:szCs w:val="32"/>
          <w:lang w:val="en-US" w:eastAsia="zh-CN"/>
        </w:rPr>
        <w:t>1.80</w:t>
      </w:r>
      <w:r>
        <w:rPr>
          <w:rFonts w:ascii="仿宋" w:hAnsi="仿宋" w:eastAsia="仿宋"/>
          <w:sz w:val="32"/>
          <w:szCs w:val="32"/>
        </w:rPr>
        <w:t>%</w:t>
      </w:r>
      <w:r>
        <w:rPr>
          <w:rFonts w:hint="eastAsia" w:ascii="仿宋" w:hAnsi="仿宋" w:eastAsia="仿宋"/>
          <w:sz w:val="32"/>
          <w:szCs w:val="32"/>
        </w:rPr>
        <w:t>。</w:t>
      </w:r>
    </w:p>
    <w:p w14:paraId="3FA63F56">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（图2：收入决算结构图）</w:t>
      </w:r>
    </w:p>
    <w:p w14:paraId="74811318">
      <w:pPr>
        <w:pStyle w:val="3"/>
        <w:pageBreakBefore w:val="0"/>
        <w:kinsoku/>
        <w:wordWrap/>
        <w:overflowPunct/>
        <w:topLinePunct w:val="0"/>
        <w:bidi w:val="0"/>
        <w:adjustRightInd/>
        <w:snapToGrid/>
        <w:spacing w:beforeLines="0"/>
        <w:jc w:val="both"/>
        <w:textAlignment w:val="auto"/>
        <w:rPr>
          <w:rFonts w:ascii="仿宋_GB2312" w:eastAsia="仿宋_GB2312"/>
          <w:sz w:val="32"/>
          <w:szCs w:val="32"/>
        </w:rPr>
      </w:pPr>
      <w:r>
        <w:rPr>
          <w:rFonts w:hint="eastAsia"/>
          <w:lang w:val="en-US" w:eastAsia="zh-CN"/>
        </w:rPr>
        <w:t xml:space="preserve">    </w:t>
      </w:r>
      <w:r>
        <w:drawing>
          <wp:inline distT="0" distB="0" distL="114300" distR="114300">
            <wp:extent cx="4596130" cy="2225040"/>
            <wp:effectExtent l="0" t="0" r="635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4596130" cy="2225040"/>
                    </a:xfrm>
                    <a:prstGeom prst="rect">
                      <a:avLst/>
                    </a:prstGeom>
                    <a:noFill/>
                    <a:ln>
                      <a:noFill/>
                    </a:ln>
                  </pic:spPr>
                </pic:pic>
              </a:graphicData>
            </a:graphic>
          </wp:inline>
        </w:drawing>
      </w:r>
    </w:p>
    <w:p w14:paraId="12A856AF">
      <w:pPr>
        <w:pStyle w:val="29"/>
        <w:pageBreakBefore w:val="0"/>
        <w:numPr>
          <w:ilvl w:val="0"/>
          <w:numId w:val="1"/>
        </w:numPr>
        <w:kinsoku/>
        <w:wordWrap/>
        <w:overflowPunct/>
        <w:topLinePunct w:val="0"/>
        <w:bidi w:val="0"/>
        <w:adjustRightInd/>
        <w:snapToGrid/>
        <w:spacing w:line="600" w:lineRule="exact"/>
        <w:ind w:firstLineChars="0"/>
        <w:jc w:val="both"/>
        <w:textAlignment w:val="auto"/>
        <w:outlineLvl w:val="1"/>
        <w:rPr>
          <w:rStyle w:val="31"/>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14:paraId="248050BA">
      <w:pPr>
        <w:pageBreakBefore w:val="0"/>
        <w:kinsoku/>
        <w:wordWrap/>
        <w:overflowPunct/>
        <w:topLinePunct w:val="0"/>
        <w:bidi w:val="0"/>
        <w:adjustRightInd/>
        <w:snapToGrid/>
        <w:spacing w:line="600" w:lineRule="exact"/>
        <w:ind w:firstLine="640" w:firstLineChars="200"/>
        <w:jc w:val="both"/>
        <w:textAlignment w:val="auto"/>
        <w:outlineLvl w:val="1"/>
        <w:rPr>
          <w:rFonts w:ascii="仿宋" w:hAnsi="仿宋" w:eastAsia="仿宋"/>
          <w:color w:val="auto"/>
          <w:sz w:val="32"/>
          <w:szCs w:val="32"/>
        </w:rPr>
      </w:pPr>
      <w:r>
        <w:rPr>
          <w:rFonts w:hint="eastAsia" w:ascii="仿宋" w:hAnsi="仿宋" w:eastAsia="仿宋"/>
          <w:sz w:val="32"/>
          <w:szCs w:val="32"/>
        </w:rPr>
        <w:t>2023年度本年支出合计</w:t>
      </w:r>
      <w:r>
        <w:rPr>
          <w:sz w:val="32"/>
          <w:szCs w:val="32"/>
        </w:rPr>
        <w:t>296.14</w:t>
      </w:r>
      <w:r>
        <w:rPr>
          <w:rFonts w:hint="eastAsia" w:ascii="仿宋" w:hAnsi="仿宋" w:eastAsia="仿宋"/>
          <w:sz w:val="32"/>
          <w:szCs w:val="32"/>
        </w:rPr>
        <w:t>万元，其中：基本支出</w:t>
      </w:r>
      <w:r>
        <w:rPr>
          <w:sz w:val="32"/>
          <w:szCs w:val="32"/>
        </w:rPr>
        <w:t>152.2</w:t>
      </w:r>
      <w:r>
        <w:rPr>
          <w:rFonts w:hint="eastAsia"/>
          <w:sz w:val="32"/>
          <w:szCs w:val="32"/>
          <w:lang w:val="en-US" w:eastAsia="zh-CN"/>
        </w:rPr>
        <w:t>2</w:t>
      </w:r>
      <w:r>
        <w:rPr>
          <w:rFonts w:hint="eastAsia" w:ascii="仿宋" w:hAnsi="仿宋" w:eastAsia="仿宋"/>
          <w:sz w:val="32"/>
          <w:szCs w:val="32"/>
        </w:rPr>
        <w:t>万元，占</w:t>
      </w:r>
      <w:r>
        <w:rPr>
          <w:sz w:val="32"/>
          <w:szCs w:val="32"/>
        </w:rPr>
        <w:t>51</w:t>
      </w:r>
      <w:r>
        <w:rPr>
          <w:rFonts w:hint="eastAsia"/>
          <w:sz w:val="32"/>
          <w:szCs w:val="32"/>
          <w:lang w:val="en-US" w:eastAsia="zh-CN"/>
        </w:rPr>
        <w:t>.40</w:t>
      </w:r>
      <w:r>
        <w:rPr>
          <w:rFonts w:ascii="仿宋" w:hAnsi="仿宋" w:eastAsia="仿宋"/>
          <w:sz w:val="32"/>
          <w:szCs w:val="32"/>
        </w:rPr>
        <w:t>%</w:t>
      </w:r>
      <w:r>
        <w:rPr>
          <w:rFonts w:hint="eastAsia" w:ascii="仿宋" w:hAnsi="仿宋" w:eastAsia="仿宋"/>
          <w:sz w:val="32"/>
          <w:szCs w:val="32"/>
        </w:rPr>
        <w:t>；项目支出</w:t>
      </w:r>
      <w:r>
        <w:rPr>
          <w:sz w:val="32"/>
          <w:szCs w:val="32"/>
        </w:rPr>
        <w:t>143.92</w:t>
      </w:r>
      <w:r>
        <w:rPr>
          <w:rFonts w:hint="eastAsia" w:ascii="仿宋" w:hAnsi="仿宋" w:eastAsia="仿宋"/>
          <w:sz w:val="32"/>
          <w:szCs w:val="32"/>
        </w:rPr>
        <w:t>万元，</w:t>
      </w:r>
      <w:r>
        <w:rPr>
          <w:rFonts w:hint="eastAsia" w:ascii="仿宋" w:hAnsi="仿宋" w:eastAsia="仿宋"/>
          <w:color w:val="auto"/>
          <w:sz w:val="32"/>
          <w:szCs w:val="32"/>
        </w:rPr>
        <w:t>占</w:t>
      </w:r>
      <w:r>
        <w:rPr>
          <w:color w:val="auto"/>
          <w:sz w:val="32"/>
          <w:szCs w:val="32"/>
        </w:rPr>
        <w:t>4</w:t>
      </w:r>
      <w:r>
        <w:rPr>
          <w:rFonts w:hint="eastAsia"/>
          <w:color w:val="auto"/>
          <w:sz w:val="32"/>
          <w:szCs w:val="32"/>
          <w:lang w:val="en-US" w:eastAsia="zh-CN"/>
        </w:rPr>
        <w:t>8.60</w:t>
      </w:r>
      <w:r>
        <w:rPr>
          <w:rFonts w:ascii="仿宋" w:hAnsi="仿宋" w:eastAsia="仿宋"/>
          <w:color w:val="auto"/>
          <w:sz w:val="32"/>
          <w:szCs w:val="32"/>
        </w:rPr>
        <w:t>%</w:t>
      </w:r>
      <w:r>
        <w:rPr>
          <w:rFonts w:hint="eastAsia" w:ascii="仿宋" w:hAnsi="仿宋" w:eastAsia="仿宋"/>
          <w:color w:val="auto"/>
          <w:sz w:val="32"/>
          <w:szCs w:val="32"/>
        </w:rPr>
        <w:t>。</w:t>
      </w:r>
    </w:p>
    <w:p w14:paraId="06C8C4AB">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（图3：支出决算结构图）</w:t>
      </w:r>
    </w:p>
    <w:p w14:paraId="0F2C78E8">
      <w:pPr>
        <w:pStyle w:val="3"/>
        <w:pageBreakBefore w:val="0"/>
        <w:kinsoku/>
        <w:wordWrap/>
        <w:overflowPunct/>
        <w:topLinePunct w:val="0"/>
        <w:bidi w:val="0"/>
        <w:adjustRightInd/>
        <w:snapToGrid/>
        <w:spacing w:beforeLines="0"/>
        <w:jc w:val="both"/>
        <w:textAlignment w:val="auto"/>
        <w:rPr>
          <w:rFonts w:ascii="仿宋_GB2312" w:eastAsia="仿宋_GB2312"/>
          <w:sz w:val="32"/>
          <w:szCs w:val="32"/>
        </w:rPr>
      </w:pPr>
      <w:r>
        <w:rPr>
          <w:rFonts w:hint="eastAsia"/>
          <w:lang w:val="en-US" w:eastAsia="zh-CN"/>
        </w:rPr>
        <w:t xml:space="preserve">    </w:t>
      </w:r>
      <w:r>
        <w:drawing>
          <wp:inline distT="0" distB="0" distL="114300" distR="114300">
            <wp:extent cx="4596130" cy="2206625"/>
            <wp:effectExtent l="0" t="0" r="6350"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4596130" cy="2206625"/>
                    </a:xfrm>
                    <a:prstGeom prst="rect">
                      <a:avLst/>
                    </a:prstGeom>
                    <a:noFill/>
                    <a:ln>
                      <a:noFill/>
                    </a:ln>
                  </pic:spPr>
                </pic:pic>
              </a:graphicData>
            </a:graphic>
          </wp:inline>
        </w:drawing>
      </w:r>
    </w:p>
    <w:p w14:paraId="505098B9">
      <w:pPr>
        <w:pageBreakBefore w:val="0"/>
        <w:kinsoku/>
        <w:wordWrap/>
        <w:overflowPunct/>
        <w:topLinePunct w:val="0"/>
        <w:bidi w:val="0"/>
        <w:adjustRightInd/>
        <w:snapToGrid/>
        <w:spacing w:line="600" w:lineRule="exact"/>
        <w:ind w:firstLine="640" w:firstLineChars="200"/>
        <w:jc w:val="both"/>
        <w:textAlignment w:val="auto"/>
        <w:outlineLvl w:val="1"/>
        <w:rPr>
          <w:rStyle w:val="31"/>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14:paraId="110CDADC">
      <w:pPr>
        <w:pageBreakBefore w:val="0"/>
        <w:kinsoku/>
        <w:wordWrap/>
        <w:overflowPunct/>
        <w:topLinePunct w:val="0"/>
        <w:bidi w:val="0"/>
        <w:adjustRightInd/>
        <w:snapToGrid/>
        <w:spacing w:line="600" w:lineRule="exact"/>
        <w:ind w:firstLine="640"/>
        <w:jc w:val="both"/>
        <w:textAlignment w:val="auto"/>
        <w:rPr>
          <w:rFonts w:hint="default" w:ascii="仿宋" w:hAnsi="仿宋" w:eastAsia="仿宋"/>
          <w:sz w:val="32"/>
          <w:szCs w:val="32"/>
          <w:lang w:val="en-US"/>
        </w:rPr>
      </w:pPr>
      <w:r>
        <w:rPr>
          <w:rFonts w:hint="eastAsia" w:ascii="仿宋" w:hAnsi="仿宋" w:eastAsia="仿宋"/>
          <w:sz w:val="32"/>
          <w:szCs w:val="32"/>
        </w:rPr>
        <w:t>2023年度财政拨款收、支总计均为</w:t>
      </w:r>
      <w:r>
        <w:rPr>
          <w:sz w:val="32"/>
          <w:szCs w:val="32"/>
        </w:rPr>
        <w:t>296.14</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148.17</w:t>
      </w:r>
      <w:r>
        <w:rPr>
          <w:rFonts w:hint="eastAsia" w:ascii="仿宋" w:hAnsi="仿宋" w:eastAsia="仿宋"/>
          <w:sz w:val="32"/>
          <w:szCs w:val="32"/>
        </w:rPr>
        <w:t>万元，增长</w:t>
      </w:r>
      <w:r>
        <w:rPr>
          <w:rFonts w:hint="eastAsia" w:ascii="仿宋" w:hAnsi="仿宋" w:eastAsia="仿宋"/>
          <w:sz w:val="32"/>
          <w:szCs w:val="32"/>
          <w:lang w:val="en-US" w:eastAsia="zh-CN"/>
        </w:rPr>
        <w:t>100.14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基本支出及</w:t>
      </w:r>
      <w:r>
        <w:rPr>
          <w:rFonts w:hint="eastAsia" w:ascii="仿宋_GB2312" w:hAnsi="仿宋" w:eastAsia="仿宋_GB2312"/>
          <w:sz w:val="32"/>
          <w:szCs w:val="32"/>
        </w:rPr>
        <w:t>项目支出</w:t>
      </w:r>
      <w:r>
        <w:rPr>
          <w:rFonts w:hint="eastAsia" w:ascii="仿宋_GB2312" w:hAnsi="仿宋" w:eastAsia="仿宋_GB2312"/>
          <w:sz w:val="32"/>
          <w:szCs w:val="32"/>
          <w:lang w:eastAsia="zh-CN"/>
        </w:rPr>
        <w:t>增加。</w:t>
      </w:r>
    </w:p>
    <w:p w14:paraId="028B9632">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（图4：财政拨款收、支决算总计变动情况）</w:t>
      </w:r>
    </w:p>
    <w:p w14:paraId="764E66FB">
      <w:pPr>
        <w:pStyle w:val="3"/>
        <w:pageBreakBefore w:val="0"/>
        <w:kinsoku/>
        <w:wordWrap/>
        <w:overflowPunct/>
        <w:topLinePunct w:val="0"/>
        <w:bidi w:val="0"/>
        <w:adjustRightInd/>
        <w:snapToGrid/>
        <w:spacing w:beforeLines="0"/>
        <w:jc w:val="both"/>
        <w:textAlignment w:val="auto"/>
        <w:rPr>
          <w:rFonts w:ascii="仿宋" w:hAnsi="仿宋" w:eastAsia="仿宋"/>
          <w:b/>
          <w:sz w:val="32"/>
          <w:szCs w:val="32"/>
        </w:rPr>
      </w:pPr>
      <w:r>
        <w:rPr>
          <w:rFonts w:hint="eastAsia"/>
          <w:lang w:val="en-US" w:eastAsia="zh-CN"/>
        </w:rPr>
        <w:t xml:space="preserve">    </w:t>
      </w:r>
      <w:r>
        <w:drawing>
          <wp:inline distT="0" distB="0" distL="114300" distR="114300">
            <wp:extent cx="4596130" cy="2206625"/>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596130" cy="2206625"/>
                    </a:xfrm>
                    <a:prstGeom prst="rect">
                      <a:avLst/>
                    </a:prstGeom>
                    <a:noFill/>
                    <a:ln>
                      <a:noFill/>
                    </a:ln>
                  </pic:spPr>
                </pic:pic>
              </a:graphicData>
            </a:graphic>
          </wp:inline>
        </w:drawing>
      </w:r>
    </w:p>
    <w:p w14:paraId="3CC372BB">
      <w:pPr>
        <w:pageBreakBefore w:val="0"/>
        <w:kinsoku/>
        <w:wordWrap/>
        <w:overflowPunct/>
        <w:topLinePunct w:val="0"/>
        <w:bidi w:val="0"/>
        <w:adjustRightInd/>
        <w:snapToGrid/>
        <w:spacing w:line="600" w:lineRule="exact"/>
        <w:ind w:firstLine="640" w:firstLineChars="200"/>
        <w:jc w:val="both"/>
        <w:textAlignment w:val="auto"/>
        <w:outlineLvl w:val="1"/>
        <w:rPr>
          <w:rStyle w:val="31"/>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14:paraId="1F14FA78">
      <w:pPr>
        <w:pageBreakBefore w:val="0"/>
        <w:kinsoku/>
        <w:wordWrap/>
        <w:overflowPunct/>
        <w:topLinePunct w:val="0"/>
        <w:bidi w:val="0"/>
        <w:adjustRightInd/>
        <w:snapToGrid/>
        <w:spacing w:line="600" w:lineRule="exact"/>
        <w:ind w:firstLine="643" w:firstLineChars="200"/>
        <w:jc w:val="both"/>
        <w:textAlignment w:val="auto"/>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D809513">
      <w:pPr>
        <w:pageBreakBefore w:val="0"/>
        <w:kinsoku/>
        <w:wordWrap/>
        <w:overflowPunct/>
        <w:topLinePunct w:val="0"/>
        <w:bidi w:val="0"/>
        <w:adjustRightInd/>
        <w:snapToGrid/>
        <w:spacing w:line="600" w:lineRule="exact"/>
        <w:ind w:firstLine="640" w:firstLineChars="200"/>
        <w:jc w:val="both"/>
        <w:textAlignment w:val="auto"/>
        <w:rPr>
          <w:rFonts w:hint="default" w:ascii="仿宋" w:hAnsi="仿宋" w:eastAsia="仿宋"/>
          <w:sz w:val="32"/>
          <w:szCs w:val="32"/>
          <w:lang w:val="en-US"/>
        </w:rPr>
      </w:pPr>
      <w:r>
        <w:rPr>
          <w:rFonts w:hint="eastAsia" w:ascii="仿宋" w:hAnsi="仿宋" w:eastAsia="仿宋"/>
          <w:sz w:val="32"/>
          <w:szCs w:val="32"/>
        </w:rPr>
        <w:t>2023年度一般公共预算财政拨款支出</w:t>
      </w:r>
      <w:r>
        <w:rPr>
          <w:sz w:val="32"/>
          <w:szCs w:val="32"/>
        </w:rPr>
        <w:t>290.8</w:t>
      </w:r>
      <w:r>
        <w:rPr>
          <w:rFonts w:hint="eastAsia"/>
          <w:sz w:val="32"/>
          <w:szCs w:val="32"/>
          <w:lang w:val="en-US" w:eastAsia="zh-CN"/>
        </w:rPr>
        <w:t>1</w:t>
      </w:r>
      <w:r>
        <w:rPr>
          <w:rFonts w:hint="eastAsia" w:ascii="仿宋" w:hAnsi="仿宋" w:eastAsia="仿宋"/>
          <w:sz w:val="32"/>
          <w:szCs w:val="32"/>
        </w:rPr>
        <w:t>万元，占本年支出合计的</w:t>
      </w:r>
      <w:r>
        <w:rPr>
          <w:sz w:val="32"/>
          <w:szCs w:val="32"/>
        </w:rPr>
        <w:t>98.</w:t>
      </w:r>
      <w:r>
        <w:rPr>
          <w:rFonts w:hint="eastAsia"/>
          <w:sz w:val="32"/>
          <w:szCs w:val="32"/>
          <w:lang w:val="en-US" w:eastAsia="zh-CN"/>
        </w:rPr>
        <w:t>20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142.84</w:t>
      </w:r>
      <w:r>
        <w:rPr>
          <w:rFonts w:hint="eastAsia" w:ascii="仿宋" w:hAnsi="仿宋" w:eastAsia="仿宋"/>
          <w:sz w:val="32"/>
          <w:szCs w:val="32"/>
        </w:rPr>
        <w:t>万元，增长</w:t>
      </w:r>
      <w:r>
        <w:rPr>
          <w:rFonts w:hint="eastAsia" w:ascii="仿宋" w:hAnsi="仿宋" w:eastAsia="仿宋"/>
          <w:sz w:val="32"/>
          <w:szCs w:val="32"/>
          <w:lang w:val="en-US" w:eastAsia="zh-CN"/>
        </w:rPr>
        <w:t>96.53</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基本支出及</w:t>
      </w:r>
      <w:r>
        <w:rPr>
          <w:rFonts w:hint="eastAsia" w:ascii="仿宋_GB2312" w:hAnsi="仿宋" w:eastAsia="仿宋_GB2312"/>
          <w:sz w:val="32"/>
          <w:szCs w:val="32"/>
        </w:rPr>
        <w:t>项目支出</w:t>
      </w:r>
      <w:r>
        <w:rPr>
          <w:rFonts w:hint="eastAsia" w:ascii="仿宋_GB2312" w:hAnsi="仿宋" w:eastAsia="仿宋_GB2312"/>
          <w:sz w:val="32"/>
          <w:szCs w:val="32"/>
          <w:lang w:eastAsia="zh-CN"/>
        </w:rPr>
        <w:t>增加。</w:t>
      </w:r>
    </w:p>
    <w:p w14:paraId="72936B00">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（图5：一般公共预算财政拨款支出决算变动情况）</w:t>
      </w:r>
    </w:p>
    <w:p w14:paraId="2C22DE03">
      <w:pPr>
        <w:pStyle w:val="3"/>
        <w:pageBreakBefore w:val="0"/>
        <w:kinsoku/>
        <w:wordWrap/>
        <w:overflowPunct/>
        <w:topLinePunct w:val="0"/>
        <w:bidi w:val="0"/>
        <w:adjustRightInd/>
        <w:snapToGrid/>
        <w:spacing w:beforeLines="0"/>
        <w:jc w:val="both"/>
        <w:textAlignment w:val="auto"/>
        <w:rPr>
          <w:rFonts w:ascii="仿宋" w:hAnsi="仿宋" w:eastAsia="仿宋"/>
          <w:sz w:val="32"/>
          <w:szCs w:val="32"/>
        </w:rPr>
      </w:pPr>
      <w:r>
        <w:rPr>
          <w:rFonts w:hint="eastAsia"/>
          <w:lang w:val="en-US" w:eastAsia="zh-CN"/>
        </w:rPr>
        <w:t xml:space="preserve">    </w:t>
      </w:r>
      <w:r>
        <w:drawing>
          <wp:inline distT="0" distB="0" distL="114300" distR="114300">
            <wp:extent cx="4596130" cy="2225040"/>
            <wp:effectExtent l="0" t="0" r="635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596130" cy="2225040"/>
                    </a:xfrm>
                    <a:prstGeom prst="rect">
                      <a:avLst/>
                    </a:prstGeom>
                    <a:noFill/>
                    <a:ln>
                      <a:noFill/>
                    </a:ln>
                  </pic:spPr>
                </pic:pic>
              </a:graphicData>
            </a:graphic>
          </wp:inline>
        </w:drawing>
      </w:r>
    </w:p>
    <w:p w14:paraId="08E5F7B4">
      <w:pPr>
        <w:pageBreakBefore w:val="0"/>
        <w:kinsoku/>
        <w:wordWrap/>
        <w:overflowPunct/>
        <w:topLinePunct w:val="0"/>
        <w:bidi w:val="0"/>
        <w:adjustRightInd/>
        <w:snapToGrid/>
        <w:spacing w:line="600" w:lineRule="exact"/>
        <w:ind w:firstLine="643" w:firstLineChars="200"/>
        <w:jc w:val="both"/>
        <w:textAlignment w:val="auto"/>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49D9411A">
      <w:pPr>
        <w:pageBreakBefore w:val="0"/>
        <w:kinsoku/>
        <w:wordWrap/>
        <w:overflowPunct/>
        <w:topLinePunct w:val="0"/>
        <w:bidi w:val="0"/>
        <w:adjustRightInd/>
        <w:snapToGrid/>
        <w:spacing w:line="600" w:lineRule="exact"/>
        <w:ind w:firstLine="640"/>
        <w:jc w:val="both"/>
        <w:textAlignment w:val="auto"/>
        <w:rPr>
          <w:rFonts w:ascii="仿宋" w:hAnsi="仿宋" w:eastAsia="仿宋"/>
          <w:sz w:val="32"/>
          <w:szCs w:val="32"/>
        </w:rPr>
      </w:pPr>
      <w:r>
        <w:rPr>
          <w:rFonts w:hint="eastAsia" w:ascii="仿宋" w:hAnsi="仿宋" w:eastAsia="仿宋"/>
          <w:sz w:val="32"/>
          <w:szCs w:val="32"/>
        </w:rPr>
        <w:t>2023年度一般公共预算财政拨款支出</w:t>
      </w:r>
      <w:r>
        <w:rPr>
          <w:sz w:val="32"/>
          <w:szCs w:val="32"/>
        </w:rPr>
        <w:t>290.8</w:t>
      </w:r>
      <w:r>
        <w:rPr>
          <w:rFonts w:hint="eastAsia"/>
          <w:sz w:val="32"/>
          <w:szCs w:val="32"/>
          <w:lang w:val="en-US" w:eastAsia="zh-CN"/>
        </w:rPr>
        <w:t>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253.29</w:t>
      </w:r>
      <w:r>
        <w:rPr>
          <w:rFonts w:hint="eastAsia" w:ascii="仿宋" w:hAnsi="仿宋" w:eastAsia="仿宋"/>
          <w:sz w:val="32"/>
          <w:szCs w:val="32"/>
        </w:rPr>
        <w:t>万元，占</w:t>
      </w:r>
      <w:r>
        <w:rPr>
          <w:rFonts w:hint="eastAsia" w:ascii="仿宋" w:hAnsi="仿宋" w:eastAsia="仿宋"/>
          <w:sz w:val="32"/>
          <w:szCs w:val="32"/>
          <w:lang w:val="en-US" w:eastAsia="zh-CN"/>
        </w:rPr>
        <w:t>87.10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16.16</w:t>
      </w:r>
      <w:r>
        <w:rPr>
          <w:rFonts w:hint="eastAsia" w:ascii="仿宋" w:hAnsi="仿宋" w:eastAsia="仿宋"/>
          <w:sz w:val="32"/>
          <w:szCs w:val="32"/>
        </w:rPr>
        <w:t>万元，占</w:t>
      </w:r>
      <w:r>
        <w:rPr>
          <w:rFonts w:hint="eastAsia" w:ascii="仿宋" w:hAnsi="仿宋" w:eastAsia="仿宋"/>
          <w:sz w:val="32"/>
          <w:szCs w:val="32"/>
          <w:lang w:val="en-US" w:eastAsia="zh-CN"/>
        </w:rPr>
        <w:t>5.56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10.73</w:t>
      </w:r>
      <w:r>
        <w:rPr>
          <w:rFonts w:hint="eastAsia" w:ascii="仿宋" w:hAnsi="仿宋" w:eastAsia="仿宋"/>
          <w:sz w:val="32"/>
          <w:szCs w:val="32"/>
        </w:rPr>
        <w:t>万元，占</w:t>
      </w:r>
      <w:r>
        <w:rPr>
          <w:rFonts w:hint="eastAsia" w:ascii="仿宋" w:hAnsi="仿宋" w:eastAsia="仿宋"/>
          <w:sz w:val="32"/>
          <w:szCs w:val="32"/>
          <w:lang w:val="en-US" w:eastAsia="zh-CN"/>
        </w:rPr>
        <w:t>3.69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10.63</w:t>
      </w:r>
      <w:r>
        <w:rPr>
          <w:rFonts w:hint="eastAsia" w:ascii="仿宋" w:hAnsi="仿宋" w:eastAsia="仿宋"/>
          <w:sz w:val="32"/>
          <w:szCs w:val="32"/>
        </w:rPr>
        <w:t>万元，占</w:t>
      </w:r>
      <w:r>
        <w:rPr>
          <w:rFonts w:hint="eastAsia" w:ascii="仿宋" w:hAnsi="仿宋" w:eastAsia="仿宋"/>
          <w:sz w:val="32"/>
          <w:szCs w:val="32"/>
          <w:lang w:val="en-US" w:eastAsia="zh-CN"/>
        </w:rPr>
        <w:t>3.65</w:t>
      </w:r>
      <w:r>
        <w:rPr>
          <w:rFonts w:ascii="仿宋" w:hAnsi="仿宋" w:eastAsia="仿宋"/>
          <w:sz w:val="32"/>
          <w:szCs w:val="32"/>
        </w:rPr>
        <w:t>%</w:t>
      </w:r>
      <w:r>
        <w:rPr>
          <w:rFonts w:hint="eastAsia" w:ascii="仿宋" w:hAnsi="仿宋" w:eastAsia="仿宋"/>
          <w:sz w:val="32"/>
          <w:szCs w:val="32"/>
        </w:rPr>
        <w:t>。</w:t>
      </w:r>
    </w:p>
    <w:p w14:paraId="4061EFE0">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（图6：一般公共预算财政拨款支出决算结构）</w:t>
      </w:r>
    </w:p>
    <w:p w14:paraId="285CA39F">
      <w:pPr>
        <w:pStyle w:val="3"/>
        <w:pageBreakBefore w:val="0"/>
        <w:kinsoku/>
        <w:wordWrap/>
        <w:overflowPunct/>
        <w:topLinePunct w:val="0"/>
        <w:bidi w:val="0"/>
        <w:adjustRightInd/>
        <w:snapToGrid/>
        <w:spacing w:beforeLines="0"/>
        <w:jc w:val="both"/>
        <w:textAlignment w:val="auto"/>
        <w:rPr>
          <w:rFonts w:ascii="仿宋" w:hAnsi="仿宋" w:eastAsia="仿宋"/>
          <w:sz w:val="32"/>
          <w:szCs w:val="32"/>
        </w:rPr>
      </w:pPr>
      <w:r>
        <w:rPr>
          <w:rFonts w:hint="eastAsia"/>
          <w:lang w:val="en-US" w:eastAsia="zh-CN"/>
        </w:rPr>
        <w:t xml:space="preserve">    </w:t>
      </w:r>
      <w:r>
        <w:drawing>
          <wp:inline distT="0" distB="0" distL="114300" distR="114300">
            <wp:extent cx="4596130" cy="2200910"/>
            <wp:effectExtent l="0" t="0" r="6350" b="889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4596130" cy="2200910"/>
                    </a:xfrm>
                    <a:prstGeom prst="rect">
                      <a:avLst/>
                    </a:prstGeom>
                    <a:noFill/>
                    <a:ln>
                      <a:noFill/>
                    </a:ln>
                  </pic:spPr>
                </pic:pic>
              </a:graphicData>
            </a:graphic>
          </wp:inline>
        </w:drawing>
      </w:r>
    </w:p>
    <w:p w14:paraId="547E7B92">
      <w:pPr>
        <w:pageBreakBefore w:val="0"/>
        <w:kinsoku/>
        <w:wordWrap/>
        <w:overflowPunct/>
        <w:topLinePunct w:val="0"/>
        <w:bidi w:val="0"/>
        <w:adjustRightInd/>
        <w:snapToGrid/>
        <w:spacing w:line="600" w:lineRule="exact"/>
        <w:ind w:firstLine="643" w:firstLineChars="200"/>
        <w:jc w:val="both"/>
        <w:textAlignment w:val="auto"/>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98D6A14">
      <w:pPr>
        <w:pageBreakBefore w:val="0"/>
        <w:kinsoku/>
        <w:wordWrap/>
        <w:overflowPunct/>
        <w:topLinePunct w:val="0"/>
        <w:bidi w:val="0"/>
        <w:adjustRightInd/>
        <w:snapToGrid/>
        <w:spacing w:line="600" w:lineRule="exact"/>
        <w:ind w:firstLine="643" w:firstLineChars="200"/>
        <w:jc w:val="both"/>
        <w:textAlignment w:val="auto"/>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sz w:val="32"/>
          <w:szCs w:val="32"/>
        </w:rPr>
        <w:t>290.8</w:t>
      </w:r>
      <w:r>
        <w:rPr>
          <w:rFonts w:hint="eastAsia"/>
          <w:sz w:val="32"/>
          <w:szCs w:val="32"/>
          <w:lang w:val="en-US" w:eastAsia="zh-CN"/>
        </w:rPr>
        <w:t>1万元</w:t>
      </w:r>
      <w:r>
        <w:rPr>
          <w:rFonts w:hint="eastAsia" w:ascii="仿宋" w:hAnsi="仿宋" w:eastAsia="仿宋"/>
          <w:sz w:val="32"/>
          <w:szCs w:val="32"/>
        </w:rPr>
        <w:t>，</w:t>
      </w:r>
      <w:r>
        <w:rPr>
          <w:rStyle w:val="20"/>
          <w:rFonts w:hint="eastAsia" w:ascii="仿宋" w:hAnsi="仿宋" w:eastAsia="仿宋"/>
          <w:bCs/>
          <w:sz w:val="32"/>
          <w:szCs w:val="32"/>
        </w:rPr>
        <w:t>完成预算</w:t>
      </w:r>
      <w:r>
        <w:rPr>
          <w:rStyle w:val="20"/>
          <w:rFonts w:hint="eastAsia" w:ascii="仿宋" w:hAnsi="仿宋" w:eastAsia="仿宋"/>
          <w:bCs/>
          <w:sz w:val="32"/>
          <w:szCs w:val="32"/>
          <w:lang w:val="en-US" w:eastAsia="zh-CN"/>
        </w:rPr>
        <w:t>100</w:t>
      </w:r>
      <w:r>
        <w:rPr>
          <w:rStyle w:val="20"/>
          <w:rFonts w:ascii="仿宋" w:hAnsi="仿宋" w:eastAsia="仿宋"/>
          <w:bCs/>
          <w:sz w:val="32"/>
          <w:szCs w:val="32"/>
        </w:rPr>
        <w:t>%</w:t>
      </w:r>
      <w:r>
        <w:rPr>
          <w:rStyle w:val="20"/>
          <w:rFonts w:hint="eastAsia" w:ascii="仿宋" w:hAnsi="仿宋" w:eastAsia="仿宋"/>
          <w:bCs/>
          <w:sz w:val="32"/>
          <w:szCs w:val="32"/>
        </w:rPr>
        <w:t>。其中：</w:t>
      </w:r>
      <w:bookmarkEnd w:id="31"/>
      <w:bookmarkEnd w:id="32"/>
      <w:bookmarkEnd w:id="33"/>
    </w:p>
    <w:p w14:paraId="0A215166">
      <w:pPr>
        <w:pageBreakBefore w:val="0"/>
        <w:numPr>
          <w:ilvl w:val="0"/>
          <w:numId w:val="0"/>
        </w:numPr>
        <w:kinsoku/>
        <w:wordWrap/>
        <w:overflowPunct/>
        <w:topLinePunct w:val="0"/>
        <w:bidi w:val="0"/>
        <w:adjustRightInd/>
        <w:snapToGrid/>
        <w:spacing w:line="600" w:lineRule="exact"/>
        <w:ind w:firstLine="643" w:firstLineChars="200"/>
        <w:jc w:val="both"/>
        <w:textAlignment w:val="auto"/>
        <w:rPr>
          <w:rStyle w:val="20"/>
          <w:rFonts w:ascii="仿宋" w:hAnsi="仿宋" w:eastAsia="仿宋"/>
          <w:b w:val="0"/>
          <w:bCs/>
          <w:sz w:val="32"/>
          <w:szCs w:val="32"/>
        </w:rPr>
      </w:pPr>
      <w:r>
        <w:rPr>
          <w:rStyle w:val="20"/>
          <w:rFonts w:hint="eastAsia" w:ascii="仿宋" w:hAnsi="仿宋" w:eastAsia="仿宋"/>
          <w:bCs/>
          <w:color w:val="0D0D0D" w:themeColor="text1" w:themeTint="F2"/>
          <w:sz w:val="32"/>
          <w:szCs w:val="32"/>
          <w:lang w:val="en-US" w:eastAsia="zh-CN"/>
          <w14:textFill>
            <w14:solidFill>
              <w14:schemeClr w14:val="tx1">
                <w14:lumMod w14:val="95000"/>
                <w14:lumOff w14:val="5000"/>
              </w14:schemeClr>
            </w14:solidFill>
          </w14:textFill>
        </w:rPr>
        <w:t>1.</w:t>
      </w:r>
      <w:r>
        <w:rPr>
          <w:rStyle w:val="20"/>
          <w:rFonts w:hint="eastAsia" w:ascii="仿宋" w:hAnsi="仿宋" w:eastAsia="仿宋"/>
          <w:bCs/>
          <w:color w:val="0D0D0D" w:themeColor="text1" w:themeTint="F2"/>
          <w:sz w:val="32"/>
          <w:szCs w:val="32"/>
          <w14:textFill>
            <w14:solidFill>
              <w14:schemeClr w14:val="tx1">
                <w14:lumMod w14:val="95000"/>
                <w14:lumOff w14:val="5000"/>
              </w14:schemeClr>
            </w14:solidFill>
          </w14:textFill>
        </w:rPr>
        <w:t>科学技术支出（类）科学技术管理事务（款）行政运行（项）</w:t>
      </w:r>
      <w:r>
        <w:rPr>
          <w:rStyle w:val="20"/>
          <w:rFonts w:ascii="仿宋" w:hAnsi="仿宋" w:eastAsia="仿宋"/>
          <w:bCs/>
          <w:color w:val="0D0D0D" w:themeColor="text1" w:themeTint="F2"/>
          <w:sz w:val="32"/>
          <w:szCs w:val="32"/>
          <w14:textFill>
            <w14:solidFill>
              <w14:schemeClr w14:val="tx1">
                <w14:lumMod w14:val="95000"/>
                <w14:lumOff w14:val="5000"/>
              </w14:schemeClr>
            </w14:solidFill>
          </w14:textFill>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80.05</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Cs/>
          <w:sz w:val="32"/>
          <w:szCs w:val="32"/>
        </w:rPr>
        <w:t>其他科学技术管理事务支出（项）</w:t>
      </w:r>
      <w:r>
        <w:rPr>
          <w:rStyle w:val="20"/>
          <w:rFonts w:ascii="仿宋" w:hAnsi="仿宋" w:eastAsia="仿宋"/>
          <w:bCs/>
          <w:sz w:val="32"/>
          <w:szCs w:val="32"/>
        </w:rPr>
        <w:t>:</w:t>
      </w:r>
      <w:r>
        <w:rPr>
          <w:rStyle w:val="20"/>
          <w:rFonts w:hint="eastAsia" w:ascii="仿宋" w:hAnsi="仿宋" w:eastAsia="仿宋"/>
          <w:b w:val="0"/>
          <w:bCs/>
          <w:sz w:val="32"/>
          <w:szCs w:val="32"/>
        </w:rPr>
        <w:t>支出决算为3</w:t>
      </w:r>
      <w:r>
        <w:rPr>
          <w:rStyle w:val="20"/>
          <w:rFonts w:hint="eastAsia" w:ascii="仿宋" w:hAnsi="仿宋" w:eastAsia="仿宋"/>
          <w:b w:val="0"/>
          <w:bCs/>
          <w:sz w:val="32"/>
          <w:szCs w:val="32"/>
          <w:lang w:val="en-US" w:eastAsia="zh-CN"/>
        </w:rPr>
        <w:t>4.65</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bCs/>
          <w:sz w:val="32"/>
          <w:szCs w:val="32"/>
        </w:rPr>
        <w:t>技术研究与开发（款）科技成果转化与扩散（项）</w:t>
      </w:r>
      <w:r>
        <w:rPr>
          <w:rStyle w:val="20"/>
          <w:rFonts w:ascii="仿宋" w:hAnsi="仿宋" w:eastAsia="仿宋"/>
          <w:bCs/>
          <w:sz w:val="32"/>
          <w:szCs w:val="32"/>
        </w:rPr>
        <w:t>:</w:t>
      </w:r>
      <w:r>
        <w:rPr>
          <w:rStyle w:val="20"/>
          <w:rFonts w:hint="eastAsia" w:ascii="仿宋" w:hAnsi="仿宋" w:eastAsia="仿宋"/>
          <w:b w:val="0"/>
          <w:bCs/>
          <w:sz w:val="32"/>
          <w:szCs w:val="32"/>
        </w:rPr>
        <w:t>支出决算为1</w:t>
      </w:r>
      <w:r>
        <w:rPr>
          <w:rStyle w:val="20"/>
          <w:rFonts w:hint="eastAsia" w:ascii="仿宋" w:hAnsi="仿宋" w:eastAsia="仿宋"/>
          <w:b w:val="0"/>
          <w:bCs/>
          <w:sz w:val="32"/>
          <w:szCs w:val="32"/>
          <w:lang w:val="en-US" w:eastAsia="zh-CN"/>
        </w:rPr>
        <w:t>19.43</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Style w:val="20"/>
          <w:rFonts w:hint="eastAsia" w:ascii="仿宋" w:hAnsi="仿宋" w:eastAsia="仿宋" w:cstheme="minorBidi"/>
          <w:bCs/>
          <w:sz w:val="32"/>
          <w:szCs w:val="32"/>
        </w:rPr>
        <w:t>其他科学技术支出（</w:t>
      </w:r>
      <w:r>
        <w:rPr>
          <w:rStyle w:val="20"/>
          <w:rFonts w:hint="eastAsia" w:ascii="仿宋" w:hAnsi="仿宋" w:eastAsia="仿宋"/>
          <w:bCs/>
          <w:sz w:val="32"/>
          <w:szCs w:val="32"/>
        </w:rPr>
        <w:t>款）其他科学技术支出（项）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19.16</w:t>
      </w:r>
      <w:r>
        <w:rPr>
          <w:rStyle w:val="20"/>
          <w:rFonts w:hint="eastAsia" w:ascii="仿宋" w:hAnsi="仿宋" w:eastAsia="仿宋"/>
          <w:b w:val="0"/>
          <w:bCs/>
          <w:sz w:val="32"/>
          <w:szCs w:val="32"/>
        </w:rPr>
        <w:t>万元，完成预算100</w:t>
      </w:r>
      <w:r>
        <w:rPr>
          <w:rStyle w:val="20"/>
          <w:rFonts w:ascii="仿宋" w:hAnsi="仿宋" w:eastAsia="仿宋"/>
          <w:b w:val="0"/>
          <w:bCs/>
          <w:sz w:val="32"/>
          <w:szCs w:val="32"/>
        </w:rPr>
        <w:t>%</w:t>
      </w:r>
      <w:r>
        <w:rPr>
          <w:rStyle w:val="20"/>
          <w:rFonts w:hint="eastAsia" w:ascii="仿宋" w:hAnsi="仿宋" w:eastAsia="仿宋"/>
          <w:b w:val="0"/>
          <w:bCs/>
          <w:sz w:val="32"/>
          <w:szCs w:val="32"/>
        </w:rPr>
        <w:t>。</w:t>
      </w:r>
    </w:p>
    <w:p w14:paraId="705EAF9B">
      <w:pPr>
        <w:pageBreakBefore w:val="0"/>
        <w:kinsoku/>
        <w:wordWrap/>
        <w:overflowPunct/>
        <w:topLinePunct w:val="0"/>
        <w:bidi w:val="0"/>
        <w:adjustRightInd/>
        <w:snapToGrid/>
        <w:spacing w:line="600" w:lineRule="exact"/>
        <w:ind w:firstLine="643" w:firstLineChars="200"/>
        <w:jc w:val="both"/>
        <w:textAlignment w:val="auto"/>
        <w:rPr>
          <w:rFonts w:ascii="仿宋" w:hAnsi="仿宋" w:eastAsia="仿宋"/>
          <w:b/>
          <w:sz w:val="32"/>
          <w:szCs w:val="32"/>
        </w:rPr>
      </w:pPr>
      <w:r>
        <w:rPr>
          <w:rStyle w:val="20"/>
          <w:rFonts w:hint="eastAsia" w:ascii="仿宋_GB2312" w:hAnsi="仿宋" w:eastAsia="仿宋_GB2312"/>
          <w:bCs/>
          <w:sz w:val="32"/>
          <w:szCs w:val="32"/>
        </w:rPr>
        <w:t>2.</w:t>
      </w:r>
      <w:r>
        <w:rPr>
          <w:rStyle w:val="20"/>
          <w:rFonts w:hint="eastAsia" w:ascii="仿宋_GB2312" w:hAnsi="仿宋" w:eastAsia="仿宋_GB2312"/>
          <w:bCs/>
          <w:color w:val="0D0D0D" w:themeColor="text1" w:themeTint="F2"/>
          <w:sz w:val="32"/>
          <w:szCs w:val="32"/>
          <w14:textFill>
            <w14:solidFill>
              <w14:schemeClr w14:val="tx1">
                <w14:lumMod w14:val="95000"/>
                <w14:lumOff w14:val="5000"/>
              </w14:schemeClr>
            </w14:solidFill>
          </w14:textFill>
        </w:rPr>
        <w:t>社会保障和就业支出（类）行政事业单位养老支出（款）行政单位离退休（项）</w:t>
      </w:r>
      <w:r>
        <w:rPr>
          <w:rStyle w:val="20"/>
          <w:rFonts w:hint="eastAsia" w:ascii="仿宋_GB2312" w:hAnsi="仿宋" w:eastAsia="仿宋_GB2312"/>
          <w:bCs/>
          <w:sz w:val="32"/>
          <w:szCs w:val="32"/>
        </w:rPr>
        <w:t xml:space="preserve">: </w:t>
      </w:r>
      <w:r>
        <w:rPr>
          <w:rStyle w:val="20"/>
          <w:rFonts w:hint="eastAsia" w:ascii="仿宋_GB2312" w:hAnsi="仿宋" w:eastAsia="仿宋_GB2312"/>
          <w:b w:val="0"/>
          <w:sz w:val="32"/>
          <w:szCs w:val="32"/>
        </w:rPr>
        <w:t>支出决算为</w:t>
      </w:r>
      <w:r>
        <w:rPr>
          <w:rStyle w:val="20"/>
          <w:rFonts w:hint="eastAsia" w:ascii="仿宋_GB2312" w:hAnsi="仿宋" w:eastAsia="仿宋_GB2312"/>
          <w:b w:val="0"/>
          <w:sz w:val="32"/>
          <w:szCs w:val="32"/>
          <w:lang w:val="en-US" w:eastAsia="zh-CN"/>
        </w:rPr>
        <w:t>1.02</w:t>
      </w:r>
      <w:r>
        <w:rPr>
          <w:rStyle w:val="20"/>
          <w:rFonts w:hint="eastAsia" w:ascii="仿宋_GB2312" w:hAnsi="仿宋" w:eastAsia="仿宋_GB2312"/>
          <w:b w:val="0"/>
          <w:sz w:val="32"/>
          <w:szCs w:val="32"/>
        </w:rPr>
        <w:t>万元，完成预算100%；</w:t>
      </w:r>
      <w:r>
        <w:rPr>
          <w:rStyle w:val="20"/>
          <w:rFonts w:hint="eastAsia" w:ascii="仿宋_GB2312" w:hAnsi="仿宋" w:eastAsia="仿宋_GB2312"/>
          <w:bCs/>
          <w:sz w:val="32"/>
          <w:szCs w:val="32"/>
        </w:rPr>
        <w:t xml:space="preserve">机关事业单位基本养老保险缴费支出（项）: </w:t>
      </w:r>
      <w:r>
        <w:rPr>
          <w:rStyle w:val="20"/>
          <w:rFonts w:hint="eastAsia" w:ascii="仿宋_GB2312" w:hAnsi="仿宋" w:eastAsia="仿宋_GB2312"/>
          <w:b w:val="0"/>
          <w:sz w:val="32"/>
          <w:szCs w:val="32"/>
        </w:rPr>
        <w:t>支出决算为</w:t>
      </w:r>
      <w:r>
        <w:rPr>
          <w:rStyle w:val="20"/>
          <w:rFonts w:hint="eastAsia" w:ascii="仿宋_GB2312" w:hAnsi="仿宋" w:eastAsia="仿宋_GB2312"/>
          <w:b w:val="0"/>
          <w:sz w:val="32"/>
          <w:szCs w:val="32"/>
          <w:lang w:val="en-US" w:eastAsia="zh-CN"/>
        </w:rPr>
        <w:t>15.14</w:t>
      </w:r>
      <w:r>
        <w:rPr>
          <w:rStyle w:val="20"/>
          <w:rFonts w:hint="eastAsia" w:ascii="仿宋_GB2312" w:hAnsi="仿宋" w:eastAsia="仿宋_GB2312"/>
          <w:b w:val="0"/>
          <w:sz w:val="32"/>
          <w:szCs w:val="32"/>
        </w:rPr>
        <w:t>万元，完成预算100%；</w:t>
      </w:r>
    </w:p>
    <w:p w14:paraId="40BA5D24">
      <w:pPr>
        <w:pageBreakBefore w:val="0"/>
        <w:kinsoku/>
        <w:wordWrap/>
        <w:overflowPunct/>
        <w:topLinePunct w:val="0"/>
        <w:bidi w:val="0"/>
        <w:adjustRightInd/>
        <w:snapToGrid/>
        <w:spacing w:line="600" w:lineRule="exact"/>
        <w:ind w:firstLine="643" w:firstLineChars="200"/>
        <w:jc w:val="both"/>
        <w:textAlignment w:val="auto"/>
        <w:rPr>
          <w:rStyle w:val="20"/>
          <w:rFonts w:ascii="仿宋_GB2312" w:hAnsi="仿宋" w:eastAsia="仿宋_GB2312"/>
          <w:b w:val="0"/>
          <w:sz w:val="32"/>
          <w:szCs w:val="32"/>
        </w:rPr>
      </w:pPr>
      <w:r>
        <w:rPr>
          <w:rStyle w:val="20"/>
          <w:rFonts w:hint="eastAsia" w:ascii="仿宋_GB2312" w:hAnsi="仿宋" w:eastAsia="仿宋_GB2312"/>
          <w:bCs/>
          <w:sz w:val="32"/>
          <w:szCs w:val="32"/>
        </w:rPr>
        <w:t>3.</w:t>
      </w:r>
      <w:r>
        <w:rPr>
          <w:rFonts w:hint="eastAsia" w:ascii="仿宋_GB2312" w:hAnsi="仿宋" w:eastAsia="仿宋_GB2312"/>
          <w:b/>
          <w:bCs/>
          <w:sz w:val="32"/>
          <w:szCs w:val="32"/>
        </w:rPr>
        <w:t>卫生健康支出</w:t>
      </w:r>
      <w:r>
        <w:rPr>
          <w:rStyle w:val="20"/>
          <w:rFonts w:hint="eastAsia" w:ascii="仿宋_GB2312" w:hAnsi="仿宋" w:eastAsia="仿宋_GB2312"/>
          <w:bCs/>
          <w:sz w:val="32"/>
          <w:szCs w:val="32"/>
        </w:rPr>
        <w:t>（类）行政事业单位医疗（款）行政单位医疗（项）:</w:t>
      </w:r>
      <w:r>
        <w:rPr>
          <w:rStyle w:val="20"/>
          <w:rFonts w:hint="eastAsia" w:ascii="仿宋_GB2312" w:hAnsi="仿宋" w:eastAsia="仿宋_GB2312"/>
          <w:b w:val="0"/>
          <w:sz w:val="32"/>
          <w:szCs w:val="32"/>
        </w:rPr>
        <w:t>支出决算为</w:t>
      </w:r>
      <w:r>
        <w:rPr>
          <w:rStyle w:val="20"/>
          <w:rFonts w:hint="eastAsia" w:ascii="仿宋_GB2312" w:hAnsi="仿宋" w:eastAsia="仿宋_GB2312"/>
          <w:b w:val="0"/>
          <w:sz w:val="32"/>
          <w:szCs w:val="32"/>
          <w:lang w:val="en-US" w:eastAsia="zh-CN"/>
        </w:rPr>
        <w:t>5.09</w:t>
      </w:r>
      <w:r>
        <w:rPr>
          <w:rStyle w:val="20"/>
          <w:rFonts w:hint="eastAsia" w:ascii="仿宋_GB2312" w:hAnsi="仿宋" w:eastAsia="仿宋_GB2312"/>
          <w:b w:val="0"/>
          <w:sz w:val="32"/>
          <w:szCs w:val="32"/>
        </w:rPr>
        <w:t>万元，完成预算100%；</w:t>
      </w:r>
      <w:r>
        <w:rPr>
          <w:rStyle w:val="20"/>
          <w:rFonts w:hint="eastAsia" w:ascii="仿宋_GB2312" w:hAnsi="仿宋" w:eastAsia="仿宋_GB2312"/>
          <w:sz w:val="32"/>
          <w:szCs w:val="32"/>
        </w:rPr>
        <w:t>事业单位医疗</w:t>
      </w:r>
      <w:r>
        <w:rPr>
          <w:rStyle w:val="20"/>
          <w:rFonts w:hint="eastAsia" w:ascii="仿宋_GB2312" w:hAnsi="仿宋" w:eastAsia="仿宋_GB2312"/>
          <w:bCs/>
          <w:sz w:val="32"/>
          <w:szCs w:val="32"/>
        </w:rPr>
        <w:t>（项）:</w:t>
      </w:r>
      <w:r>
        <w:rPr>
          <w:rStyle w:val="20"/>
          <w:rFonts w:hint="eastAsia" w:ascii="仿宋_GB2312" w:hAnsi="仿宋" w:eastAsia="仿宋_GB2312"/>
          <w:b w:val="0"/>
          <w:sz w:val="32"/>
          <w:szCs w:val="32"/>
        </w:rPr>
        <w:t>支出决算为1.</w:t>
      </w:r>
      <w:r>
        <w:rPr>
          <w:rStyle w:val="20"/>
          <w:rFonts w:hint="eastAsia" w:ascii="仿宋_GB2312" w:hAnsi="仿宋" w:eastAsia="仿宋_GB2312"/>
          <w:b w:val="0"/>
          <w:sz w:val="32"/>
          <w:szCs w:val="32"/>
          <w:lang w:val="en-US" w:eastAsia="zh-CN"/>
        </w:rPr>
        <w:t>80</w:t>
      </w:r>
      <w:r>
        <w:rPr>
          <w:rStyle w:val="20"/>
          <w:rFonts w:hint="eastAsia" w:ascii="仿宋_GB2312" w:hAnsi="仿宋" w:eastAsia="仿宋_GB2312"/>
          <w:b w:val="0"/>
          <w:sz w:val="32"/>
          <w:szCs w:val="32"/>
        </w:rPr>
        <w:t>万元，完成预算100%；</w:t>
      </w:r>
      <w:r>
        <w:rPr>
          <w:rStyle w:val="20"/>
          <w:rFonts w:hint="eastAsia" w:ascii="仿宋_GB2312" w:hAnsi="仿宋" w:eastAsia="仿宋_GB2312"/>
          <w:sz w:val="32"/>
          <w:szCs w:val="32"/>
        </w:rPr>
        <w:t>公务员医疗补助</w:t>
      </w:r>
      <w:r>
        <w:rPr>
          <w:rStyle w:val="20"/>
          <w:rFonts w:hint="eastAsia" w:ascii="仿宋_GB2312" w:hAnsi="仿宋" w:eastAsia="仿宋_GB2312"/>
          <w:bCs/>
          <w:sz w:val="32"/>
          <w:szCs w:val="32"/>
        </w:rPr>
        <w:t>（项）:</w:t>
      </w:r>
      <w:r>
        <w:rPr>
          <w:rStyle w:val="20"/>
          <w:rFonts w:hint="eastAsia" w:ascii="仿宋_GB2312" w:hAnsi="仿宋" w:eastAsia="仿宋_GB2312"/>
          <w:b w:val="0"/>
          <w:sz w:val="32"/>
          <w:szCs w:val="32"/>
        </w:rPr>
        <w:t>支出决算为</w:t>
      </w:r>
      <w:r>
        <w:rPr>
          <w:rStyle w:val="20"/>
          <w:rFonts w:hint="eastAsia" w:ascii="仿宋_GB2312" w:hAnsi="仿宋" w:eastAsia="仿宋_GB2312"/>
          <w:b w:val="0"/>
          <w:sz w:val="32"/>
          <w:szCs w:val="32"/>
          <w:lang w:val="en-US" w:eastAsia="zh-CN"/>
        </w:rPr>
        <w:t>2.84</w:t>
      </w:r>
      <w:r>
        <w:rPr>
          <w:rStyle w:val="20"/>
          <w:rFonts w:hint="eastAsia" w:ascii="仿宋_GB2312" w:hAnsi="仿宋" w:eastAsia="仿宋_GB2312"/>
          <w:b w:val="0"/>
          <w:sz w:val="32"/>
          <w:szCs w:val="32"/>
        </w:rPr>
        <w:t>万元，完成预算100%；</w:t>
      </w:r>
      <w:r>
        <w:rPr>
          <w:rStyle w:val="20"/>
          <w:rFonts w:hint="eastAsia" w:ascii="仿宋_GB2312" w:hAnsi="仿宋" w:eastAsia="仿宋_GB2312" w:cstheme="minorBidi"/>
          <w:bCs/>
          <w:sz w:val="32"/>
          <w:szCs w:val="32"/>
        </w:rPr>
        <w:t>其他行政事业单位医疗支出</w:t>
      </w:r>
      <w:r>
        <w:rPr>
          <w:rStyle w:val="20"/>
          <w:rFonts w:hint="eastAsia" w:ascii="仿宋_GB2312" w:hAnsi="仿宋" w:eastAsia="仿宋_GB2312"/>
          <w:bCs/>
          <w:sz w:val="32"/>
          <w:szCs w:val="32"/>
        </w:rPr>
        <w:t>（项）:</w:t>
      </w:r>
      <w:r>
        <w:rPr>
          <w:rStyle w:val="20"/>
          <w:rFonts w:hint="eastAsia" w:ascii="仿宋_GB2312" w:hAnsi="仿宋" w:eastAsia="仿宋_GB2312"/>
          <w:b w:val="0"/>
          <w:sz w:val="32"/>
          <w:szCs w:val="32"/>
        </w:rPr>
        <w:t>支出决算为</w:t>
      </w:r>
      <w:r>
        <w:rPr>
          <w:rStyle w:val="20"/>
          <w:rFonts w:hint="eastAsia" w:ascii="仿宋_GB2312" w:hAnsi="仿宋" w:eastAsia="仿宋_GB2312"/>
          <w:b w:val="0"/>
          <w:sz w:val="32"/>
          <w:szCs w:val="32"/>
          <w:lang w:val="en-US" w:eastAsia="zh-CN"/>
        </w:rPr>
        <w:t>1</w:t>
      </w:r>
      <w:r>
        <w:rPr>
          <w:rStyle w:val="20"/>
          <w:rFonts w:hint="eastAsia" w:ascii="仿宋_GB2312" w:hAnsi="仿宋" w:eastAsia="仿宋_GB2312"/>
          <w:b w:val="0"/>
          <w:sz w:val="32"/>
          <w:szCs w:val="32"/>
        </w:rPr>
        <w:t>万元，完成预算100%。</w:t>
      </w:r>
    </w:p>
    <w:p w14:paraId="768A78B9">
      <w:pPr>
        <w:pageBreakBefore w:val="0"/>
        <w:kinsoku/>
        <w:wordWrap/>
        <w:overflowPunct/>
        <w:topLinePunct w:val="0"/>
        <w:bidi w:val="0"/>
        <w:adjustRightInd/>
        <w:snapToGrid/>
        <w:spacing w:line="600" w:lineRule="exact"/>
        <w:ind w:firstLine="643" w:firstLineChars="200"/>
        <w:jc w:val="both"/>
        <w:textAlignment w:val="auto"/>
        <w:rPr>
          <w:rFonts w:ascii="仿宋" w:hAnsi="仿宋" w:eastAsia="仿宋"/>
          <w:b/>
          <w:sz w:val="32"/>
          <w:szCs w:val="32"/>
        </w:rPr>
      </w:pPr>
      <w:r>
        <w:rPr>
          <w:rStyle w:val="20"/>
          <w:rFonts w:hint="eastAsia" w:ascii="仿宋_GB2312" w:hAnsi="仿宋" w:eastAsia="仿宋_GB2312" w:cstheme="minorBidi"/>
          <w:bCs/>
          <w:sz w:val="32"/>
          <w:szCs w:val="32"/>
        </w:rPr>
        <w:t>4.</w:t>
      </w:r>
      <w:r>
        <w:rPr>
          <w:rStyle w:val="20"/>
          <w:rFonts w:hint="eastAsia" w:ascii="仿宋_GB2312" w:hAnsi="仿宋" w:eastAsia="仿宋_GB2312"/>
          <w:bCs/>
          <w:sz w:val="32"/>
          <w:szCs w:val="32"/>
        </w:rPr>
        <w:t>住房保障支出（类）住房改革支出（款）住房公积金（项）:</w:t>
      </w:r>
      <w:r>
        <w:rPr>
          <w:rStyle w:val="20"/>
          <w:rFonts w:hint="eastAsia" w:ascii="仿宋_GB2312" w:hAnsi="仿宋" w:eastAsia="仿宋_GB2312"/>
          <w:b w:val="0"/>
          <w:sz w:val="32"/>
          <w:szCs w:val="32"/>
        </w:rPr>
        <w:t>支出决算为</w:t>
      </w:r>
      <w:r>
        <w:rPr>
          <w:rStyle w:val="20"/>
          <w:rFonts w:hint="eastAsia" w:ascii="仿宋_GB2312" w:hAnsi="仿宋" w:eastAsia="仿宋_GB2312"/>
          <w:b w:val="0"/>
          <w:sz w:val="32"/>
          <w:szCs w:val="32"/>
          <w:lang w:val="en-US" w:eastAsia="zh-CN"/>
        </w:rPr>
        <w:t>10.63</w:t>
      </w:r>
      <w:r>
        <w:rPr>
          <w:rStyle w:val="20"/>
          <w:rFonts w:hint="eastAsia" w:ascii="仿宋_GB2312" w:hAnsi="仿宋" w:eastAsia="仿宋_GB2312"/>
          <w:b w:val="0"/>
          <w:sz w:val="32"/>
          <w:szCs w:val="32"/>
        </w:rPr>
        <w:t>万元，完成预算100%。</w:t>
      </w:r>
    </w:p>
    <w:p w14:paraId="5F51C2E6">
      <w:pPr>
        <w:pageBreakBefore w:val="0"/>
        <w:tabs>
          <w:tab w:val="right" w:pos="8306"/>
        </w:tabs>
        <w:kinsoku/>
        <w:wordWrap/>
        <w:overflowPunct/>
        <w:topLinePunct w:val="0"/>
        <w:bidi w:val="0"/>
        <w:adjustRightInd/>
        <w:snapToGrid/>
        <w:spacing w:line="600" w:lineRule="exact"/>
        <w:ind w:firstLine="640"/>
        <w:jc w:val="both"/>
        <w:textAlignment w:val="auto"/>
        <w:outlineLvl w:val="1"/>
        <w:rPr>
          <w:rStyle w:val="31"/>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14:paraId="6CF0280D">
      <w:pPr>
        <w:pageBreakBefore w:val="0"/>
        <w:kinsoku/>
        <w:wordWrap/>
        <w:overflowPunct/>
        <w:topLinePunct w:val="0"/>
        <w:bidi w:val="0"/>
        <w:adjustRightInd/>
        <w:snapToGrid/>
        <w:spacing w:line="600" w:lineRule="exact"/>
        <w:ind w:firstLine="645"/>
        <w:jc w:val="both"/>
        <w:textAlignment w:val="auto"/>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152.2</w:t>
      </w:r>
      <w:r>
        <w:rPr>
          <w:rFonts w:hint="eastAsia"/>
          <w:sz w:val="32"/>
          <w:szCs w:val="32"/>
          <w:lang w:val="en-US" w:eastAsia="zh-CN"/>
        </w:rPr>
        <w:t>2</w:t>
      </w:r>
      <w:r>
        <w:rPr>
          <w:rFonts w:hint="eastAsia" w:ascii="仿宋" w:hAnsi="仿宋" w:eastAsia="仿宋"/>
          <w:sz w:val="32"/>
          <w:szCs w:val="32"/>
        </w:rPr>
        <w:t>万元，其中：</w:t>
      </w:r>
    </w:p>
    <w:p w14:paraId="751C7AE6">
      <w:pPr>
        <w:pageBreakBefore w:val="0"/>
        <w:kinsoku/>
        <w:wordWrap/>
        <w:overflowPunct/>
        <w:topLinePunct w:val="0"/>
        <w:bidi w:val="0"/>
        <w:adjustRightInd/>
        <w:snapToGrid/>
        <w:spacing w:line="600" w:lineRule="exact"/>
        <w:ind w:firstLine="645"/>
        <w:jc w:val="both"/>
        <w:textAlignment w:val="auto"/>
        <w:rPr>
          <w:rFonts w:ascii="仿宋" w:hAnsi="仿宋" w:eastAsia="仿宋"/>
          <w:sz w:val="32"/>
          <w:szCs w:val="32"/>
        </w:rPr>
      </w:pPr>
      <w:r>
        <w:rPr>
          <w:rFonts w:hint="eastAsia" w:ascii="仿宋" w:hAnsi="仿宋" w:eastAsia="仿宋"/>
          <w:sz w:val="32"/>
          <w:szCs w:val="32"/>
        </w:rPr>
        <w:t>人员经费</w:t>
      </w:r>
      <w:r>
        <w:rPr>
          <w:sz w:val="32"/>
          <w:szCs w:val="32"/>
        </w:rPr>
        <w:t>142.9</w:t>
      </w:r>
      <w:r>
        <w:rPr>
          <w:rFonts w:hint="eastAsia"/>
          <w:sz w:val="32"/>
          <w:szCs w:val="32"/>
          <w:lang w:val="en-US" w:eastAsia="zh-CN"/>
        </w:rPr>
        <w:t>6</w:t>
      </w:r>
      <w:r>
        <w:rPr>
          <w:rFonts w:hint="eastAsia" w:ascii="仿宋" w:hAnsi="仿宋" w:eastAsia="仿宋"/>
          <w:sz w:val="32"/>
          <w:szCs w:val="32"/>
        </w:rPr>
        <w:t>万元，主要包括：基本工资、津贴补贴、奖金、绩效工资、机关事业单位基本养老保险缴费、职工基本医疗保险缴费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职业年金缴费、其他社会保障缴费、其他工资福利支出、生活补助、医疗费补助、住房公积金等。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9.26</w:t>
      </w:r>
      <w:r>
        <w:rPr>
          <w:rFonts w:hint="eastAsia" w:ascii="仿宋" w:hAnsi="仿宋" w:eastAsia="仿宋"/>
          <w:sz w:val="32"/>
          <w:szCs w:val="32"/>
        </w:rPr>
        <w:t>万元，主要包括：办公费、邮电费</w:t>
      </w:r>
      <w:r>
        <w:rPr>
          <w:rFonts w:hint="eastAsia" w:ascii="仿宋" w:hAnsi="仿宋" w:eastAsia="仿宋"/>
          <w:sz w:val="32"/>
          <w:szCs w:val="32"/>
          <w:lang w:eastAsia="zh-CN"/>
        </w:rPr>
        <w:t>、</w:t>
      </w:r>
      <w:r>
        <w:rPr>
          <w:rFonts w:hint="eastAsia" w:ascii="仿宋" w:hAnsi="仿宋" w:eastAsia="仿宋"/>
          <w:sz w:val="32"/>
          <w:szCs w:val="32"/>
        </w:rPr>
        <w:t>差旅费、维修（护）费</w:t>
      </w:r>
      <w:r>
        <w:rPr>
          <w:rFonts w:hint="eastAsia" w:ascii="仿宋" w:hAnsi="仿宋" w:eastAsia="仿宋"/>
          <w:sz w:val="32"/>
          <w:szCs w:val="32"/>
          <w:lang w:eastAsia="zh-CN"/>
        </w:rPr>
        <w:t>、</w:t>
      </w:r>
      <w:r>
        <w:rPr>
          <w:rFonts w:hint="eastAsia" w:ascii="仿宋" w:hAnsi="仿宋" w:eastAsia="仿宋"/>
          <w:sz w:val="32"/>
          <w:szCs w:val="32"/>
        </w:rPr>
        <w:t>工会经费、福利费、其他交通费、其他商品和服务支出等。</w:t>
      </w:r>
    </w:p>
    <w:p w14:paraId="692CA665">
      <w:pPr>
        <w:pageBreakBefore w:val="0"/>
        <w:kinsoku/>
        <w:wordWrap/>
        <w:overflowPunct/>
        <w:topLinePunct w:val="0"/>
        <w:bidi w:val="0"/>
        <w:adjustRightInd/>
        <w:snapToGrid/>
        <w:spacing w:line="600" w:lineRule="exact"/>
        <w:ind w:firstLine="640"/>
        <w:jc w:val="both"/>
        <w:textAlignment w:val="auto"/>
        <w:outlineLvl w:val="1"/>
        <w:rPr>
          <w:rStyle w:val="31"/>
          <w:rFonts w:ascii="黑体" w:hAnsi="黑体" w:eastAsia="黑体"/>
          <w:b w:val="0"/>
        </w:rPr>
      </w:pPr>
      <w:bookmarkStart w:id="36" w:name="_Toc15396609"/>
      <w:bookmarkStart w:id="37" w:name="_Toc15377215"/>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14:paraId="5BFCCD7F">
      <w:pPr>
        <w:pageBreakBefore w:val="0"/>
        <w:kinsoku/>
        <w:wordWrap/>
        <w:overflowPunct/>
        <w:topLinePunct w:val="0"/>
        <w:bidi w:val="0"/>
        <w:adjustRightInd/>
        <w:snapToGrid/>
        <w:spacing w:line="600" w:lineRule="exact"/>
        <w:ind w:firstLine="640"/>
        <w:jc w:val="both"/>
        <w:textAlignment w:val="auto"/>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DBD2D37">
      <w:pPr>
        <w:pageBreakBefore w:val="0"/>
        <w:kinsoku/>
        <w:wordWrap/>
        <w:overflowPunct/>
        <w:topLinePunct w:val="0"/>
        <w:bidi w:val="0"/>
        <w:adjustRightInd/>
        <w:snapToGrid/>
        <w:spacing w:line="600" w:lineRule="exact"/>
        <w:ind w:firstLine="640"/>
        <w:jc w:val="both"/>
        <w:textAlignment w:val="auto"/>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0</w:t>
      </w:r>
      <w:r>
        <w:rPr>
          <w:rFonts w:hint="eastAsia" w:ascii="仿宋" w:hAnsi="仿宋" w:eastAsia="仿宋"/>
          <w:sz w:val="32"/>
          <w:szCs w:val="32"/>
        </w:rPr>
        <w:t>万元，完成预算</w:t>
      </w:r>
      <w:r>
        <w:rPr>
          <w:sz w:val="32"/>
          <w:szCs w:val="32"/>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与</w:t>
      </w:r>
      <w:r>
        <w:rPr>
          <w:rFonts w:hint="eastAsia" w:ascii="仿宋" w:hAnsi="仿宋" w:eastAsia="仿宋"/>
          <w:sz w:val="32"/>
          <w:szCs w:val="32"/>
          <w:lang w:val="en-US" w:eastAsia="zh-CN"/>
        </w:rPr>
        <w:t>2022年度</w:t>
      </w:r>
      <w:r>
        <w:rPr>
          <w:rFonts w:hint="eastAsia" w:ascii="仿宋" w:hAnsi="仿宋" w:eastAsia="仿宋"/>
          <w:sz w:val="32"/>
          <w:szCs w:val="32"/>
          <w:lang w:eastAsia="zh-CN"/>
        </w:rPr>
        <w:t>持平</w:t>
      </w:r>
      <w:r>
        <w:rPr>
          <w:rFonts w:hint="eastAsia" w:ascii="仿宋" w:hAnsi="仿宋" w:eastAsia="仿宋"/>
          <w:sz w:val="32"/>
          <w:szCs w:val="32"/>
        </w:rPr>
        <w:t>。决算数与预算数持平。</w:t>
      </w:r>
    </w:p>
    <w:p w14:paraId="458FEF8D">
      <w:pPr>
        <w:pageBreakBefore w:val="0"/>
        <w:kinsoku/>
        <w:wordWrap/>
        <w:overflowPunct/>
        <w:topLinePunct w:val="0"/>
        <w:bidi w:val="0"/>
        <w:adjustRightInd/>
        <w:snapToGrid/>
        <w:spacing w:line="600" w:lineRule="exact"/>
        <w:ind w:firstLine="640"/>
        <w:jc w:val="both"/>
        <w:textAlignment w:val="auto"/>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7CA044B2">
      <w:pPr>
        <w:pageBreakBefore w:val="0"/>
        <w:kinsoku/>
        <w:wordWrap/>
        <w:overflowPunct/>
        <w:topLinePunct w:val="0"/>
        <w:bidi w:val="0"/>
        <w:adjustRightInd/>
        <w:snapToGrid/>
        <w:spacing w:line="600" w:lineRule="exact"/>
        <w:ind w:firstLine="640"/>
        <w:jc w:val="both"/>
        <w:textAlignment w:val="auto"/>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。具体情况如下：</w:t>
      </w:r>
    </w:p>
    <w:p w14:paraId="28E003F7">
      <w:pPr>
        <w:pageBreakBefore w:val="0"/>
        <w:kinsoku/>
        <w:wordWrap/>
        <w:overflowPunct/>
        <w:topLinePunct w:val="0"/>
        <w:bidi w:val="0"/>
        <w:adjustRightInd/>
        <w:snapToGrid/>
        <w:spacing w:line="600" w:lineRule="exact"/>
        <w:ind w:firstLine="640"/>
        <w:jc w:val="both"/>
        <w:textAlignment w:val="auto"/>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14:paraId="5B7BF33E">
      <w:pPr>
        <w:pageBreakBefore w:val="0"/>
        <w:kinsoku/>
        <w:wordWrap/>
        <w:overflowPunct/>
        <w:topLinePunct w:val="0"/>
        <w:bidi w:val="0"/>
        <w:adjustRightInd/>
        <w:snapToGrid/>
        <w:spacing w:line="600" w:lineRule="exact"/>
        <w:ind w:firstLine="640"/>
        <w:jc w:val="both"/>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w:t>
      </w:r>
    </w:p>
    <w:p w14:paraId="034843AA">
      <w:pPr>
        <w:pageBreakBefore w:val="0"/>
        <w:kinsoku/>
        <w:wordWrap/>
        <w:overflowPunct/>
        <w:topLinePunct w:val="0"/>
        <w:bidi w:val="0"/>
        <w:adjustRightInd/>
        <w:snapToGrid/>
        <w:spacing w:line="600" w:lineRule="exact"/>
        <w:ind w:firstLine="640" w:firstLineChars="200"/>
        <w:jc w:val="both"/>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02DCB490">
      <w:pPr>
        <w:pageBreakBefore w:val="0"/>
        <w:kinsoku/>
        <w:wordWrap/>
        <w:overflowPunct/>
        <w:topLinePunct w:val="0"/>
        <w:bidi w:val="0"/>
        <w:adjustRightInd/>
        <w:snapToGrid/>
        <w:spacing w:line="600" w:lineRule="exact"/>
        <w:ind w:firstLine="640"/>
        <w:jc w:val="both"/>
        <w:textAlignment w:val="auto"/>
        <w:rPr>
          <w:rFonts w:hint="eastAsia" w:ascii="仿宋_GB2312" w:eastAsia="仿宋_GB2312"/>
          <w:sz w:val="32"/>
          <w:szCs w:val="32"/>
        </w:rPr>
      </w:pPr>
      <w:r>
        <w:rPr>
          <w:rFonts w:hint="eastAsia" w:ascii="仿宋_GB2312" w:eastAsia="仿宋_GB2312"/>
          <w:b/>
          <w:sz w:val="32"/>
          <w:szCs w:val="32"/>
        </w:rPr>
        <w:t>公务用车运行维护费支出</w:t>
      </w:r>
      <w:r>
        <w:rPr>
          <w:sz w:val="32"/>
          <w:szCs w:val="32"/>
        </w:rPr>
        <w:t>0</w:t>
      </w:r>
      <w:r>
        <w:rPr>
          <w:rFonts w:hint="eastAsia" w:ascii="仿宋_GB2312" w:eastAsia="仿宋_GB2312"/>
          <w:sz w:val="32"/>
          <w:szCs w:val="32"/>
        </w:rPr>
        <w:t>万元。</w:t>
      </w:r>
    </w:p>
    <w:p w14:paraId="44B56584">
      <w:pPr>
        <w:pageBreakBefore w:val="0"/>
        <w:kinsoku/>
        <w:wordWrap/>
        <w:overflowPunct/>
        <w:topLinePunct w:val="0"/>
        <w:bidi w:val="0"/>
        <w:adjustRightInd/>
        <w:snapToGrid/>
        <w:spacing w:line="600" w:lineRule="exact"/>
        <w:ind w:firstLine="64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sz w:val="32"/>
          <w:szCs w:val="32"/>
        </w:rPr>
        <w:t>0%</w:t>
      </w:r>
      <w:r>
        <w:rPr>
          <w:rStyle w:val="20"/>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。其中：</w:t>
      </w:r>
    </w:p>
    <w:p w14:paraId="5A3BC6C9">
      <w:pPr>
        <w:pageBreakBefore w:val="0"/>
        <w:kinsoku/>
        <w:wordWrap/>
        <w:overflowPunct/>
        <w:topLinePunct w:val="0"/>
        <w:bidi w:val="0"/>
        <w:adjustRightInd/>
        <w:snapToGrid/>
        <w:spacing w:line="600" w:lineRule="exact"/>
        <w:ind w:firstLine="640"/>
        <w:jc w:val="both"/>
        <w:textAlignment w:val="auto"/>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25C2A07E">
      <w:pPr>
        <w:pageBreakBefore w:val="0"/>
        <w:kinsoku/>
        <w:wordWrap/>
        <w:overflowPunct/>
        <w:topLinePunct w:val="0"/>
        <w:bidi w:val="0"/>
        <w:adjustRightInd/>
        <w:snapToGrid/>
        <w:spacing w:line="600" w:lineRule="exact"/>
        <w:ind w:firstLine="643" w:firstLineChars="200"/>
        <w:jc w:val="both"/>
        <w:textAlignment w:val="auto"/>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5FCE6823">
      <w:pPr>
        <w:pageBreakBefore w:val="0"/>
        <w:kinsoku/>
        <w:wordWrap/>
        <w:overflowPunct/>
        <w:topLinePunct w:val="0"/>
        <w:bidi w:val="0"/>
        <w:adjustRightInd/>
        <w:snapToGrid/>
        <w:spacing w:line="600" w:lineRule="exact"/>
        <w:ind w:firstLine="640"/>
        <w:jc w:val="both"/>
        <w:textAlignment w:val="auto"/>
        <w:outlineLvl w:val="1"/>
        <w:rPr>
          <w:rStyle w:val="31"/>
          <w:rFonts w:ascii="黑体" w:hAnsi="黑体" w:eastAsia="黑体"/>
        </w:rPr>
      </w:pPr>
      <w:bookmarkStart w:id="40" w:name="_Toc15377218"/>
      <w:bookmarkStart w:id="41" w:name="_Toc15396610"/>
      <w:r>
        <w:rPr>
          <w:rFonts w:hint="eastAsia" w:ascii="黑体" w:eastAsia="黑体"/>
          <w:sz w:val="32"/>
          <w:szCs w:val="32"/>
        </w:rPr>
        <w:t>八、</w:t>
      </w:r>
      <w:r>
        <w:rPr>
          <w:rStyle w:val="31"/>
          <w:rFonts w:hint="eastAsia" w:ascii="黑体" w:hAnsi="黑体" w:eastAsia="黑体"/>
          <w:b w:val="0"/>
        </w:rPr>
        <w:t>政府性基金预算支出决算情况说明</w:t>
      </w:r>
      <w:bookmarkEnd w:id="40"/>
      <w:bookmarkEnd w:id="41"/>
    </w:p>
    <w:p w14:paraId="0D3066A8">
      <w:pPr>
        <w:pageBreakBefore w:val="0"/>
        <w:kinsoku/>
        <w:wordWrap/>
        <w:overflowPunct/>
        <w:topLinePunct w:val="0"/>
        <w:bidi w:val="0"/>
        <w:adjustRightInd/>
        <w:snapToGrid/>
        <w:spacing w:line="600" w:lineRule="exact"/>
        <w:ind w:firstLine="640"/>
        <w:jc w:val="both"/>
        <w:textAlignment w:val="auto"/>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5.33</w:t>
      </w:r>
      <w:r>
        <w:rPr>
          <w:rFonts w:hint="eastAsia" w:ascii="仿宋_GB2312" w:eastAsia="仿宋_GB2312"/>
          <w:sz w:val="32"/>
          <w:szCs w:val="32"/>
        </w:rPr>
        <w:t>万元。</w:t>
      </w:r>
    </w:p>
    <w:p w14:paraId="758AE2C5">
      <w:pPr>
        <w:pageBreakBefore w:val="0"/>
        <w:numPr>
          <w:ilvl w:val="0"/>
          <w:numId w:val="2"/>
        </w:numPr>
        <w:kinsoku/>
        <w:wordWrap/>
        <w:overflowPunct/>
        <w:topLinePunct w:val="0"/>
        <w:bidi w:val="0"/>
        <w:adjustRightInd/>
        <w:snapToGrid/>
        <w:spacing w:line="600" w:lineRule="exact"/>
        <w:ind w:firstLine="640"/>
        <w:jc w:val="both"/>
        <w:textAlignment w:val="auto"/>
        <w:outlineLvl w:val="1"/>
        <w:rPr>
          <w:rStyle w:val="31"/>
          <w:rFonts w:ascii="黑体" w:hAnsi="黑体" w:eastAsia="黑体"/>
          <w:b w:val="0"/>
        </w:rPr>
      </w:pPr>
      <w:bookmarkStart w:id="42" w:name="_Toc15396611"/>
      <w:bookmarkStart w:id="43" w:name="_Toc15377219"/>
      <w:r>
        <w:rPr>
          <w:rStyle w:val="31"/>
          <w:rFonts w:hint="eastAsia" w:ascii="黑体" w:hAnsi="黑体" w:eastAsia="黑体"/>
          <w:b w:val="0"/>
        </w:rPr>
        <w:t>国有资本经营预算支出决算情况说明</w:t>
      </w:r>
      <w:bookmarkEnd w:id="42"/>
      <w:bookmarkEnd w:id="43"/>
    </w:p>
    <w:p w14:paraId="0377FB3E">
      <w:pPr>
        <w:pageBreakBefore w:val="0"/>
        <w:kinsoku/>
        <w:wordWrap/>
        <w:overflowPunct/>
        <w:topLinePunct w:val="0"/>
        <w:bidi w:val="0"/>
        <w:adjustRightInd/>
        <w:snapToGrid/>
        <w:spacing w:line="600" w:lineRule="exact"/>
        <w:ind w:firstLine="640"/>
        <w:jc w:val="both"/>
        <w:textAlignment w:val="auto"/>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14:paraId="0B291C32">
      <w:pPr>
        <w:pageBreakBefore w:val="0"/>
        <w:numPr>
          <w:ilvl w:val="0"/>
          <w:numId w:val="2"/>
        </w:numPr>
        <w:kinsoku/>
        <w:wordWrap/>
        <w:overflowPunct/>
        <w:topLinePunct w:val="0"/>
        <w:bidi w:val="0"/>
        <w:adjustRightInd/>
        <w:snapToGrid/>
        <w:spacing w:line="600" w:lineRule="exact"/>
        <w:ind w:firstLine="640"/>
        <w:jc w:val="both"/>
        <w:textAlignment w:val="auto"/>
        <w:outlineLvl w:val="1"/>
        <w:rPr>
          <w:rStyle w:val="31"/>
          <w:rFonts w:ascii="黑体" w:hAnsi="黑体" w:eastAsia="黑体"/>
          <w:b w:val="0"/>
        </w:rPr>
      </w:pPr>
      <w:bookmarkStart w:id="44" w:name="_Toc15377221"/>
      <w:bookmarkStart w:id="45" w:name="_Toc15396612"/>
      <w:r>
        <w:rPr>
          <w:rStyle w:val="31"/>
          <w:rFonts w:hint="eastAsia" w:ascii="黑体" w:hAnsi="黑体" w:eastAsia="黑体"/>
          <w:b w:val="0"/>
        </w:rPr>
        <w:t>其他重要事项的情况说明</w:t>
      </w:r>
      <w:bookmarkEnd w:id="44"/>
      <w:bookmarkEnd w:id="45"/>
    </w:p>
    <w:p w14:paraId="7F3CD4C2">
      <w:pPr>
        <w:pageBreakBefore w:val="0"/>
        <w:kinsoku/>
        <w:wordWrap/>
        <w:overflowPunct/>
        <w:topLinePunct w:val="0"/>
        <w:bidi w:val="0"/>
        <w:adjustRightInd/>
        <w:snapToGrid/>
        <w:spacing w:line="600" w:lineRule="exact"/>
        <w:ind w:firstLine="643" w:firstLineChars="200"/>
        <w:jc w:val="both"/>
        <w:textAlignment w:val="auto"/>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5877317C">
      <w:pPr>
        <w:pageBreakBefore w:val="0"/>
        <w:kinsoku/>
        <w:wordWrap/>
        <w:overflowPunct/>
        <w:topLinePunct w:val="0"/>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2023年度，</w:t>
      </w:r>
      <w:r>
        <w:rPr>
          <w:rFonts w:hint="eastAsia" w:ascii="仿宋_GB2312" w:hAnsi="Times New Roman" w:eastAsia="仿宋_GB2312" w:cs="Times New Roman"/>
          <w:sz w:val="32"/>
          <w:szCs w:val="32"/>
        </w:rPr>
        <w:t>攀枝花市西区科学技术局</w:t>
      </w:r>
      <w:r>
        <w:rPr>
          <w:rFonts w:hint="eastAsia" w:ascii="仿宋_GB2312" w:eastAsia="仿宋_GB2312"/>
          <w:sz w:val="32"/>
          <w:szCs w:val="32"/>
        </w:rPr>
        <w:t>机关运行经费支出</w:t>
      </w:r>
      <w:r>
        <w:rPr>
          <w:sz w:val="32"/>
          <w:szCs w:val="32"/>
        </w:rPr>
        <w:t>9.26</w:t>
      </w:r>
      <w:r>
        <w:rPr>
          <w:rFonts w:hint="eastAsia" w:ascii="仿宋_GB2312" w:eastAsia="仿宋_GB2312"/>
          <w:sz w:val="32"/>
          <w:szCs w:val="32"/>
        </w:rPr>
        <w:t>万元，比2022年度增加</w:t>
      </w:r>
      <w:r>
        <w:rPr>
          <w:rFonts w:hint="eastAsia" w:ascii="仿宋_GB2312" w:eastAsia="仿宋_GB2312"/>
          <w:sz w:val="32"/>
          <w:szCs w:val="32"/>
          <w:lang w:val="en-US" w:eastAsia="zh-CN"/>
        </w:rPr>
        <w:t>1.30</w:t>
      </w:r>
      <w:r>
        <w:rPr>
          <w:rFonts w:hint="eastAsia" w:ascii="仿宋_GB2312" w:eastAsia="仿宋_GB2312"/>
          <w:sz w:val="32"/>
          <w:szCs w:val="32"/>
        </w:rPr>
        <w:t>万元，增长</w:t>
      </w:r>
      <w:r>
        <w:rPr>
          <w:rFonts w:hint="eastAsia" w:ascii="仿宋_GB2312" w:eastAsia="仿宋_GB2312"/>
          <w:sz w:val="32"/>
          <w:szCs w:val="32"/>
          <w:lang w:val="en-US" w:eastAsia="zh-CN"/>
        </w:rPr>
        <w:t>16.33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Times New Roman" w:eastAsia="仿宋_GB2312" w:cs="Times New Roman"/>
          <w:sz w:val="32"/>
          <w:szCs w:val="32"/>
        </w:rPr>
        <w:t>办公费、其他交通费增加</w:t>
      </w:r>
      <w:r>
        <w:rPr>
          <w:rFonts w:hint="eastAsia" w:ascii="仿宋_GB2312" w:eastAsia="仿宋_GB2312"/>
          <w:sz w:val="32"/>
          <w:szCs w:val="32"/>
        </w:rPr>
        <w:t>。</w:t>
      </w:r>
    </w:p>
    <w:p w14:paraId="5ED2CA85">
      <w:pPr>
        <w:pageBreakBefore w:val="0"/>
        <w:kinsoku/>
        <w:wordWrap/>
        <w:overflowPunct/>
        <w:topLinePunct w:val="0"/>
        <w:autoSpaceDE w:val="0"/>
        <w:autoSpaceDN w:val="0"/>
        <w:bidi w:val="0"/>
        <w:adjustRightInd/>
        <w:snapToGrid/>
        <w:spacing w:line="600" w:lineRule="exact"/>
        <w:ind w:firstLine="643" w:firstLineChars="200"/>
        <w:jc w:val="both"/>
        <w:textAlignment w:val="auto"/>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185D8CD4">
      <w:pPr>
        <w:pageBreakBefore w:val="0"/>
        <w:kinsoku/>
        <w:wordWrap/>
        <w:overflowPunct/>
        <w:topLinePunct w:val="0"/>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2023年度，</w:t>
      </w:r>
      <w:r>
        <w:rPr>
          <w:rFonts w:hint="eastAsia" w:ascii="仿宋_GB2312" w:hAnsi="Times New Roman" w:eastAsia="仿宋_GB2312" w:cs="Times New Roman"/>
          <w:sz w:val="32"/>
          <w:szCs w:val="32"/>
        </w:rPr>
        <w:t>攀枝花市西区科学技术局</w:t>
      </w:r>
      <w:r>
        <w:rPr>
          <w:rFonts w:hint="eastAsia" w:ascii="仿宋_GB2312" w:eastAsia="仿宋_GB2312"/>
          <w:sz w:val="32"/>
          <w:szCs w:val="32"/>
        </w:rPr>
        <w:t>政府采购支出总额</w:t>
      </w:r>
      <w:r>
        <w:rPr>
          <w:sz w:val="32"/>
          <w:szCs w:val="32"/>
        </w:rPr>
        <w:t>5.59</w:t>
      </w:r>
      <w:r>
        <w:rPr>
          <w:rFonts w:hint="eastAsia" w:ascii="仿宋_GB2312" w:eastAsia="仿宋_GB2312"/>
          <w:sz w:val="32"/>
          <w:szCs w:val="32"/>
        </w:rPr>
        <w:t>万元，其中：政府采购货物支出</w:t>
      </w:r>
      <w:r>
        <w:rPr>
          <w:sz w:val="32"/>
          <w:szCs w:val="32"/>
        </w:rPr>
        <w:t>5.59</w:t>
      </w:r>
      <w:r>
        <w:rPr>
          <w:rFonts w:hint="eastAsia" w:ascii="仿宋_GB2312" w:eastAsia="仿宋_GB2312"/>
          <w:sz w:val="32"/>
          <w:szCs w:val="32"/>
        </w:rPr>
        <w:t>万元、政府采购工程支出</w:t>
      </w:r>
      <w:r>
        <w:rPr>
          <w:sz w:val="32"/>
          <w:szCs w:val="32"/>
        </w:rPr>
        <w:t>0</w:t>
      </w:r>
      <w:r>
        <w:rPr>
          <w:rFonts w:hint="eastAsia" w:ascii="仿宋_GB2312" w:eastAsia="仿宋_GB2312"/>
          <w:sz w:val="32"/>
          <w:szCs w:val="32"/>
        </w:rPr>
        <w:t>万元、政府采购服务支出</w:t>
      </w:r>
      <w:r>
        <w:rPr>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科普活动、科技成果转化等工作办公设备更新及补充</w:t>
      </w:r>
      <w:r>
        <w:rPr>
          <w:rFonts w:hint="eastAsia" w:ascii="仿宋_GB2312" w:eastAsia="仿宋_GB2312"/>
          <w:sz w:val="32"/>
          <w:szCs w:val="32"/>
        </w:rPr>
        <w:t>。授予中小企业合同金额</w:t>
      </w:r>
      <w:r>
        <w:rPr>
          <w:sz w:val="32"/>
          <w:szCs w:val="32"/>
        </w:rPr>
        <w:t>5.59</w:t>
      </w:r>
      <w:r>
        <w:rPr>
          <w:rFonts w:hint="eastAsia" w:ascii="仿宋_GB2312" w:eastAsia="仿宋_GB2312"/>
          <w:sz w:val="32"/>
          <w:szCs w:val="32"/>
        </w:rPr>
        <w:t>万元，占政府采购支出总额的</w:t>
      </w:r>
      <w:r>
        <w:rPr>
          <w:sz w:val="32"/>
          <w:szCs w:val="32"/>
        </w:rPr>
        <w:t>100</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5.59</w:t>
      </w:r>
      <w:r>
        <w:rPr>
          <w:rFonts w:hint="eastAsia" w:ascii="仿宋_GB2312" w:eastAsia="仿宋_GB2312"/>
          <w:sz w:val="32"/>
          <w:szCs w:val="32"/>
        </w:rPr>
        <w:t>万元，占政府采购支出总额的</w:t>
      </w:r>
      <w:r>
        <w:rPr>
          <w:sz w:val="32"/>
          <w:szCs w:val="32"/>
        </w:rPr>
        <w:t>100</w:t>
      </w:r>
      <w:r>
        <w:rPr>
          <w:rFonts w:ascii="仿宋_GB2312" w:eastAsia="仿宋_GB2312"/>
          <w:sz w:val="32"/>
          <w:szCs w:val="32"/>
        </w:rPr>
        <w:t>%</w:t>
      </w:r>
      <w:r>
        <w:rPr>
          <w:rFonts w:hint="eastAsia" w:ascii="仿宋_GB2312" w:eastAsia="仿宋_GB2312"/>
          <w:sz w:val="32"/>
          <w:szCs w:val="32"/>
        </w:rPr>
        <w:t>。</w:t>
      </w:r>
    </w:p>
    <w:p w14:paraId="371986E9">
      <w:pPr>
        <w:pageBreakBefore w:val="0"/>
        <w:kinsoku/>
        <w:wordWrap/>
        <w:overflowPunct/>
        <w:topLinePunct w:val="0"/>
        <w:autoSpaceDE w:val="0"/>
        <w:autoSpaceDN w:val="0"/>
        <w:bidi w:val="0"/>
        <w:adjustRightInd/>
        <w:snapToGrid/>
        <w:spacing w:line="600" w:lineRule="exact"/>
        <w:ind w:firstLine="643" w:firstLineChars="200"/>
        <w:jc w:val="both"/>
        <w:textAlignment w:val="auto"/>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F0992B7">
      <w:pPr>
        <w:pageBreakBefore w:val="0"/>
        <w:kinsoku/>
        <w:wordWrap/>
        <w:overflowPunct/>
        <w:topLinePunct w:val="0"/>
        <w:autoSpaceDE w:val="0"/>
        <w:autoSpaceDN w:val="0"/>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Times New Roman" w:eastAsia="仿宋_GB2312" w:cs="Times New Roman"/>
          <w:sz w:val="32"/>
          <w:szCs w:val="32"/>
        </w:rPr>
        <w:t>攀枝花市西区科学技术局</w:t>
      </w:r>
      <w:r>
        <w:rPr>
          <w:rFonts w:hint="eastAsia" w:ascii="仿宋_GB2312" w:eastAsia="仿宋_GB2312"/>
          <w:sz w:val="32"/>
          <w:szCs w:val="32"/>
        </w:rPr>
        <w:t>共有车辆</w:t>
      </w:r>
      <w:r>
        <w:rPr>
          <w:rFonts w:ascii="仿宋_GB2312" w:eastAsia="仿宋_GB2312"/>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0</w:t>
      </w:r>
      <w:r>
        <w:rPr>
          <w:rFonts w:hint="eastAsia" w:ascii="仿宋_GB2312" w:eastAsia="仿宋_GB2312"/>
          <w:sz w:val="32"/>
          <w:szCs w:val="32"/>
        </w:rPr>
        <w:t>台（套）。</w:t>
      </w:r>
    </w:p>
    <w:p w14:paraId="1622BB32">
      <w:pPr>
        <w:pageBreakBefore w:val="0"/>
        <w:kinsoku/>
        <w:wordWrap/>
        <w:overflowPunct/>
        <w:topLinePunct w:val="0"/>
        <w:autoSpaceDE w:val="0"/>
        <w:autoSpaceDN w:val="0"/>
        <w:bidi w:val="0"/>
        <w:adjustRightInd/>
        <w:snapToGrid/>
        <w:spacing w:line="600" w:lineRule="exact"/>
        <w:ind w:firstLine="643" w:firstLineChars="200"/>
        <w:jc w:val="both"/>
        <w:textAlignment w:val="auto"/>
        <w:outlineLvl w:val="2"/>
        <w:rPr>
          <w:rFonts w:ascii="仿宋" w:hAnsi="仿宋" w:eastAsia="仿宋"/>
          <w:b/>
          <w:sz w:val="32"/>
          <w:szCs w:val="32"/>
        </w:rPr>
      </w:pPr>
      <w:r>
        <w:rPr>
          <w:rFonts w:hint="eastAsia" w:ascii="仿宋" w:hAnsi="仿宋" w:eastAsia="仿宋"/>
          <w:b/>
          <w:sz w:val="32"/>
          <w:szCs w:val="32"/>
        </w:rPr>
        <w:t>（四）预算绩效管理情况</w:t>
      </w:r>
    </w:p>
    <w:p w14:paraId="7CA97476">
      <w:pPr>
        <w:pageBreakBefore w:val="0"/>
        <w:kinsoku/>
        <w:wordWrap/>
        <w:overflowPunct/>
        <w:topLinePunct w:val="0"/>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default" w:ascii="Times New Roman" w:hAnsi="Times New Roman" w:eastAsia="仿宋_GB2312" w:cs="Times New Roman"/>
          <w:color w:val="auto"/>
          <w:sz w:val="32"/>
          <w:szCs w:val="32"/>
        </w:rPr>
        <w:t>科技招商、科博会、科技特派员、大众创业万众创新、科普等</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14:paraId="3B52F77A">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default" w:ascii="Times New Roman" w:hAnsi="Times New Roman" w:eastAsia="仿宋_GB2312" w:cs="Times New Roman"/>
          <w:color w:val="auto"/>
          <w:sz w:val="32"/>
          <w:szCs w:val="32"/>
          <w:lang w:val="en-US" w:eastAsia="zh-CN"/>
        </w:rPr>
        <w:t>区科技局</w:t>
      </w:r>
      <w:r>
        <w:rPr>
          <w:rFonts w:hint="eastAsia" w:ascii="Times New Roman" w:hAnsi="Times New Roman" w:eastAsia="仿宋_GB2312" w:cs="Times New Roman"/>
          <w:color w:val="auto"/>
          <w:sz w:val="32"/>
          <w:szCs w:val="32"/>
          <w:lang w:val="en-US" w:eastAsia="zh-CN"/>
        </w:rPr>
        <w:t>部门</w:t>
      </w:r>
      <w:r>
        <w:rPr>
          <w:rFonts w:hint="default" w:ascii="Times New Roman" w:hAnsi="Times New Roman" w:eastAsia="仿宋_GB2312" w:cs="Times New Roman"/>
          <w:color w:val="auto"/>
          <w:sz w:val="32"/>
          <w:szCs w:val="32"/>
        </w:rPr>
        <w:t>整体</w:t>
      </w:r>
      <w:r>
        <w:rPr>
          <w:rFonts w:hint="eastAsia" w:ascii="仿宋_GB2312" w:hAnsi="仿宋_GB2312" w:eastAsia="仿宋_GB2312" w:cs="仿宋_GB2312"/>
          <w:sz w:val="32"/>
          <w:szCs w:val="32"/>
        </w:rPr>
        <w:t>（含部门预算项目）</w:t>
      </w:r>
      <w:r>
        <w:rPr>
          <w:rFonts w:hint="default" w:ascii="Times New Roman" w:hAnsi="Times New Roman" w:eastAsia="仿宋_GB2312" w:cs="Times New Roman"/>
          <w:color w:val="auto"/>
          <w:sz w:val="32"/>
          <w:szCs w:val="32"/>
        </w:rPr>
        <w:t>绩效自评报告、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中央引导地方科技发展资金项目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四川省科技计划项目专项资金</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sz w:val="32"/>
          <w:szCs w:val="32"/>
        </w:rPr>
        <w:t>等专项预算项目绩效自评报告</w:t>
      </w:r>
      <w:r>
        <w:rPr>
          <w:rFonts w:hint="eastAsia" w:eastAsia="仿宋_GB2312" w:cs="Times New Roman"/>
          <w:color w:val="auto"/>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default" w:ascii="Times New Roman" w:hAnsi="Times New Roman" w:eastAsia="仿宋_GB2312" w:cs="Times New Roman"/>
          <w:color w:val="auto"/>
          <w:sz w:val="32"/>
          <w:szCs w:val="32"/>
          <w:lang w:val="en-US" w:eastAsia="zh-CN"/>
        </w:rPr>
        <w:t>攀枝花市西区科学技术局</w:t>
      </w:r>
      <w:r>
        <w:rPr>
          <w:rFonts w:hint="default" w:ascii="Times New Roman" w:hAnsi="Times New Roman" w:eastAsia="仿宋_GB2312" w:cs="Times New Roman"/>
          <w:color w:val="auto"/>
          <w:sz w:val="32"/>
          <w:szCs w:val="32"/>
        </w:rPr>
        <w:t>整体绩效自评报告</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color w:val="auto"/>
          <w:sz w:val="32"/>
          <w:szCs w:val="32"/>
          <w:lang w:val="en-US" w:eastAsia="zh-CN"/>
        </w:rPr>
        <w:t>详见附件。</w:t>
      </w:r>
    </w:p>
    <w:p w14:paraId="1B358DD0">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0C692DF1">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2D479F94">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4E56CEEE">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5AF68C19">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76BEC5F5">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2D627EBE">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206079E6">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7527E57E">
      <w:pPr>
        <w:pStyle w:val="2"/>
        <w:rPr>
          <w:rFonts w:hint="eastAsia"/>
        </w:rPr>
      </w:pPr>
    </w:p>
    <w:p w14:paraId="5CFE723B">
      <w:pPr>
        <w:pageBreakBefore w:val="0"/>
        <w:kinsoku/>
        <w:wordWrap/>
        <w:overflowPunct/>
        <w:topLinePunct w:val="0"/>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0C4F3CF3">
      <w:pPr>
        <w:pStyle w:val="5"/>
        <w:pageBreakBefore w:val="0"/>
        <w:kinsoku/>
        <w:wordWrap/>
        <w:overflowPunct/>
        <w:topLinePunct w:val="0"/>
        <w:bidi w:val="0"/>
        <w:adjustRightInd/>
        <w:snapToGrid/>
        <w:spacing w:before="0" w:after="0"/>
        <w:jc w:val="center"/>
        <w:textAlignment w:val="auto"/>
      </w:pPr>
      <w:r>
        <w:rPr>
          <w:rFonts w:hint="eastAsia"/>
        </w:rPr>
        <w:t>第三部分 名词解释</w:t>
      </w:r>
    </w:p>
    <w:p w14:paraId="5D834A2E">
      <w:pPr>
        <w:pageBreakBefore w:val="0"/>
        <w:kinsoku/>
        <w:wordWrap/>
        <w:overflowPunct/>
        <w:topLinePunct w:val="0"/>
        <w:bidi w:val="0"/>
        <w:adjustRightInd/>
        <w:snapToGrid/>
        <w:jc w:val="both"/>
        <w:textAlignment w:val="auto"/>
      </w:pPr>
    </w:p>
    <w:p w14:paraId="024B0B3B">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1.财政拨款收入：指单位从同级财政部门取得的财政预算资金。</w:t>
      </w:r>
    </w:p>
    <w:p w14:paraId="49865F43">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2.事业收入：指事业单位开展专业业务活动及辅助活动取得的收入。</w:t>
      </w:r>
    </w:p>
    <w:p w14:paraId="784C50CB">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14:paraId="0721B00C">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4.其他收入：指单位取得的除上述收入以外的各项收入。主要是</w:t>
      </w:r>
      <w:r>
        <w:rPr>
          <w:rFonts w:hint="eastAsia" w:ascii="仿宋_GB2312" w:eastAsia="仿宋_GB2312"/>
          <w:sz w:val="32"/>
          <w:szCs w:val="32"/>
          <w:lang w:eastAsia="zh-CN"/>
        </w:rPr>
        <w:t>银行存款利息收入</w:t>
      </w:r>
      <w:r>
        <w:rPr>
          <w:rFonts w:hint="eastAsia" w:ascii="仿宋_GB2312" w:eastAsia="仿宋_GB2312"/>
          <w:sz w:val="32"/>
          <w:szCs w:val="32"/>
        </w:rPr>
        <w:t xml:space="preserve">。 </w:t>
      </w:r>
    </w:p>
    <w:p w14:paraId="11E23E20">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5.使用非财政拨款结余（含专用结余）：指事业单位使用以前年度积累的非财政拨款结余弥补当年收支差额的金额。 </w:t>
      </w:r>
    </w:p>
    <w:p w14:paraId="68C14F5E">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6.年初结转和结余：指以前年度尚未完成、结转到本年按有关规定继续使用的资金。 </w:t>
      </w:r>
    </w:p>
    <w:p w14:paraId="15D29572">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14:paraId="567FE526">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314751F2">
      <w:pPr>
        <w:pageBreakBefore w:val="0"/>
        <w:kinsoku/>
        <w:wordWrap/>
        <w:overflowPunct/>
        <w:topLinePunct w:val="0"/>
        <w:bidi w:val="0"/>
        <w:adjustRightInd/>
        <w:snapToGrid/>
        <w:ind w:firstLine="640" w:firstLineChars="200"/>
        <w:jc w:val="both"/>
        <w:textAlignment w:val="auto"/>
        <w:rPr>
          <w:rFonts w:hint="eastAsia" w:ascii="仿宋_GB2312" w:hAnsi="Calibri" w:eastAsia="仿宋_GB2312" w:cs="仿宋"/>
          <w:kern w:val="0"/>
          <w:sz w:val="32"/>
          <w:szCs w:val="32"/>
          <w:lang w:eastAsia="zh-CN"/>
        </w:rPr>
      </w:pPr>
      <w:r>
        <w:rPr>
          <w:rFonts w:hint="eastAsia" w:ascii="仿宋_GB2312" w:hAnsi="Calibri" w:eastAsia="仿宋_GB2312" w:cs="仿宋"/>
          <w:kern w:val="0"/>
          <w:sz w:val="32"/>
          <w:szCs w:val="32"/>
          <w:lang w:val="en-US" w:eastAsia="zh-CN"/>
        </w:rPr>
        <w:t>9</w:t>
      </w:r>
      <w:r>
        <w:rPr>
          <w:rFonts w:hint="eastAsia" w:ascii="仿宋_GB2312" w:hAnsi="Calibri" w:eastAsia="仿宋_GB2312" w:cs="仿宋"/>
          <w:kern w:val="0"/>
          <w:sz w:val="32"/>
          <w:szCs w:val="32"/>
        </w:rPr>
        <w:t>.科学技术支出（类）科学技术管理事务（款）行政运行（项）：反映行政单位（包括实行公务员管理的事业单位）的基本支出；其他科学技术管理事务支出（项）：反映其他用于科学技术管理事务方面的支出。技术研究与开发（款）科技成果转化与扩散（项）：反映</w:t>
      </w:r>
      <w:r>
        <w:rPr>
          <w:rFonts w:hint="eastAsia" w:ascii="仿宋_GB2312" w:hAnsi="Calibri" w:eastAsia="仿宋_GB2312" w:cs="仿宋"/>
          <w:kern w:val="0"/>
          <w:sz w:val="32"/>
          <w:szCs w:val="32"/>
          <w:lang w:eastAsia="zh-CN"/>
        </w:rPr>
        <w:t>促进</w:t>
      </w:r>
      <w:r>
        <w:rPr>
          <w:rFonts w:hint="eastAsia" w:ascii="仿宋_GB2312" w:hAnsi="Calibri" w:eastAsia="仿宋_GB2312" w:cs="仿宋"/>
          <w:kern w:val="0"/>
          <w:sz w:val="32"/>
          <w:szCs w:val="32"/>
        </w:rPr>
        <w:t>科技成果转化</w:t>
      </w:r>
      <w:r>
        <w:rPr>
          <w:rFonts w:hint="eastAsia" w:ascii="仿宋_GB2312" w:hAnsi="Calibri" w:eastAsia="仿宋_GB2312" w:cs="仿宋"/>
          <w:kern w:val="0"/>
          <w:sz w:val="32"/>
          <w:szCs w:val="32"/>
          <w:lang w:eastAsia="zh-CN"/>
        </w:rPr>
        <w:t>为实现生产力的应用、推广和引导性支出，以及基本建设支出中用于支持企业科技自主创新的支出。其他科学技术支出</w:t>
      </w:r>
      <w:r>
        <w:rPr>
          <w:rFonts w:hint="eastAsia" w:ascii="仿宋_GB2312" w:hAnsi="Calibri" w:eastAsia="仿宋_GB2312" w:cs="仿宋"/>
          <w:kern w:val="0"/>
          <w:sz w:val="32"/>
          <w:szCs w:val="32"/>
        </w:rPr>
        <w:t>（款）其他科学技术支出（项）：反映其他科学技术支出</w:t>
      </w:r>
      <w:r>
        <w:rPr>
          <w:rFonts w:hint="eastAsia" w:ascii="仿宋_GB2312" w:hAnsi="Calibri" w:eastAsia="仿宋_GB2312" w:cs="仿宋"/>
          <w:kern w:val="0"/>
          <w:sz w:val="32"/>
          <w:szCs w:val="32"/>
          <w:lang w:eastAsia="zh-CN"/>
        </w:rPr>
        <w:t>中除以上各项外用于科技方面的支出。</w:t>
      </w:r>
    </w:p>
    <w:p w14:paraId="309980D5">
      <w:pPr>
        <w:pageBreakBefore w:val="0"/>
        <w:kinsoku/>
        <w:wordWrap/>
        <w:overflowPunct/>
        <w:topLinePunct w:val="0"/>
        <w:bidi w:val="0"/>
        <w:adjustRightInd/>
        <w:snapToGrid/>
        <w:spacing w:line="60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.社会保障和就业支出（类）行政事业单位养老支出（款）</w:t>
      </w:r>
      <w:r>
        <w:rPr>
          <w:rFonts w:hint="eastAsia" w:ascii="仿宋" w:hAnsi="仿宋" w:eastAsia="仿宋"/>
          <w:sz w:val="32"/>
          <w:szCs w:val="32"/>
        </w:rPr>
        <w:t>行政单位离退休（项）：反映行政单位（包括实行公务员管理的事业单位）开支的离退休经费；</w:t>
      </w:r>
      <w:r>
        <w:rPr>
          <w:rFonts w:hint="eastAsia" w:ascii="仿宋_GB2312" w:eastAsia="仿宋_GB2312"/>
          <w:sz w:val="32"/>
          <w:szCs w:val="32"/>
        </w:rPr>
        <w:t>机关事业单位基本养老保险缴费支出（项）：反映机关事业单位实施养老保险制度由单位缴纳的基本养老保险费支出。</w:t>
      </w:r>
    </w:p>
    <w:p w14:paraId="1B6838C2">
      <w:pPr>
        <w:pageBreakBefore w:val="0"/>
        <w:kinsoku/>
        <w:wordWrap/>
        <w:overflowPunct/>
        <w:topLinePunct w:val="0"/>
        <w:bidi w:val="0"/>
        <w:adjustRightInd/>
        <w:snapToGrid/>
        <w:ind w:firstLine="640" w:firstLineChars="200"/>
        <w:jc w:val="both"/>
        <w:textAlignment w:val="auto"/>
        <w:rPr>
          <w:rFonts w:hint="eastAsia"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11</w:t>
      </w:r>
      <w:r>
        <w:rPr>
          <w:rFonts w:hint="eastAsia" w:ascii="仿宋_GB2312" w:hAnsi="Calibri" w:eastAsia="仿宋_GB2312" w:cs="仿宋"/>
          <w:kern w:val="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其他行政事业单位医疗支出（项）：反映除上述项目以外其他用于行政事业单位医疗方面的支出。</w:t>
      </w:r>
    </w:p>
    <w:p w14:paraId="0EBC18DC">
      <w:pPr>
        <w:pStyle w:val="3"/>
        <w:pageBreakBefore w:val="0"/>
        <w:kinsoku/>
        <w:wordWrap/>
        <w:overflowPunct/>
        <w:topLinePunct w:val="0"/>
        <w:bidi w:val="0"/>
        <w:adjustRightInd/>
        <w:snapToGrid/>
        <w:spacing w:beforeLines="0"/>
        <w:ind w:firstLine="640" w:firstLineChars="200"/>
        <w:jc w:val="both"/>
        <w:textAlignment w:val="auto"/>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14:paraId="41EB5A7F">
      <w:pPr>
        <w:pageBreakBefore w:val="0"/>
        <w:kinsoku/>
        <w:wordWrap/>
        <w:overflowPunct/>
        <w:topLinePunct w:val="0"/>
        <w:bidi w:val="0"/>
        <w:adjustRightInd/>
        <w:snapToGrid/>
        <w:ind w:firstLine="640" w:firstLineChars="200"/>
        <w:jc w:val="both"/>
        <w:textAlignment w:val="auto"/>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13</w:t>
      </w:r>
      <w:r>
        <w:rPr>
          <w:rFonts w:hint="eastAsia" w:ascii="仿宋_GB2312" w:hAnsi="Calibri" w:eastAsia="仿宋_GB2312" w:cs="仿宋"/>
          <w:kern w:val="0"/>
          <w:sz w:val="32"/>
          <w:szCs w:val="32"/>
        </w:rPr>
        <w:t>.住房保障支出（类）住房改革支出（款）住房公积金（项）：指行政事业单位按人力资源和社会保障部、财政部规定的基本工资和津贴补贴以及规定比例为职工缴纳的住房公积金。</w:t>
      </w:r>
    </w:p>
    <w:p w14:paraId="7CFCCED5">
      <w:pPr>
        <w:pageBreakBefore w:val="0"/>
        <w:kinsoku/>
        <w:wordWrap/>
        <w:overflowPunct/>
        <w:topLinePunct w:val="0"/>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.基本支出：指为保障机构正常运转、完成日常工作任务而发生的人员支出和公用支出。</w:t>
      </w:r>
    </w:p>
    <w:p w14:paraId="3DC29FC1">
      <w:pPr>
        <w:pageBreakBefore w:val="0"/>
        <w:kinsoku/>
        <w:wordWrap/>
        <w:overflowPunct/>
        <w:topLinePunct w:val="0"/>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 xml:space="preserve">.项目支出：指在基本支出之外为完成特定行政任务和事业发展目标所发生的支出。 </w:t>
      </w:r>
    </w:p>
    <w:p w14:paraId="3A28A18D">
      <w:pPr>
        <w:pageBreakBefore w:val="0"/>
        <w:kinsoku/>
        <w:wordWrap/>
        <w:overflowPunct/>
        <w:topLinePunct w:val="0"/>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.经营支出：指事业单位在专业业务活动及其辅助活动之外开展非独立核算经营活动发生的支出。</w:t>
      </w:r>
    </w:p>
    <w:p w14:paraId="467726D5">
      <w:pPr>
        <w:pageBreakBefore w:val="0"/>
        <w:kinsoku/>
        <w:wordWrap/>
        <w:overflowPunct/>
        <w:topLinePunct w:val="0"/>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D950394">
      <w:pPr>
        <w:pageBreakBefore w:val="0"/>
        <w:kinsoku/>
        <w:wordWrap/>
        <w:overflowPunct/>
        <w:topLinePunct w:val="0"/>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0C615E5">
      <w:pPr>
        <w:pageBreakBefore w:val="0"/>
        <w:kinsoku/>
        <w:wordWrap/>
        <w:overflowPunct/>
        <w:topLinePunct w:val="0"/>
        <w:bidi w:val="0"/>
        <w:adjustRightInd/>
        <w:snapToGrid/>
        <w:ind w:firstLine="643" w:firstLineChars="200"/>
        <w:jc w:val="both"/>
        <w:textAlignment w:val="auto"/>
        <w:rPr>
          <w:rFonts w:ascii="仿宋" w:hAnsi="仿宋" w:eastAsia="仿宋"/>
          <w:b/>
          <w:sz w:val="32"/>
          <w:szCs w:val="32"/>
        </w:rPr>
      </w:pPr>
      <w:r>
        <w:rPr>
          <w:rFonts w:ascii="仿宋" w:hAnsi="仿宋" w:eastAsia="仿宋"/>
          <w:b/>
          <w:sz w:val="32"/>
          <w:szCs w:val="32"/>
        </w:rPr>
        <w:br w:type="page"/>
      </w:r>
    </w:p>
    <w:p w14:paraId="7AD60392">
      <w:pPr>
        <w:pStyle w:val="5"/>
        <w:pageBreakBefore w:val="0"/>
        <w:kinsoku/>
        <w:wordWrap/>
        <w:overflowPunct/>
        <w:topLinePunct w:val="0"/>
        <w:bidi w:val="0"/>
        <w:adjustRightInd/>
        <w:snapToGrid/>
        <w:spacing w:before="0" w:after="0"/>
        <w:jc w:val="center"/>
        <w:textAlignment w:val="auto"/>
        <w:rPr>
          <w:rFonts w:ascii="黑体" w:hAnsi="黑体" w:eastAsia="黑体"/>
          <w:b w:val="0"/>
        </w:rPr>
      </w:pPr>
      <w:r>
        <w:rPr>
          <w:rFonts w:hint="eastAsia" w:ascii="黑体" w:hAnsi="黑体" w:eastAsia="黑体"/>
          <w:b w:val="0"/>
        </w:rPr>
        <w:t>第四部分 附件</w:t>
      </w:r>
    </w:p>
    <w:p w14:paraId="2A3614F1">
      <w:pPr>
        <w:pageBreakBefore w:val="0"/>
        <w:kinsoku/>
        <w:wordWrap/>
        <w:overflowPunct/>
        <w:topLinePunct w:val="0"/>
        <w:bidi w:val="0"/>
        <w:adjustRightInd/>
        <w:snapToGrid/>
        <w:jc w:val="both"/>
        <w:textAlignment w:val="auto"/>
      </w:pPr>
    </w:p>
    <w:p w14:paraId="093237E5">
      <w:pPr>
        <w:pageBreakBefore w:val="0"/>
        <w:kinsoku/>
        <w:wordWrap/>
        <w:overflowPunct/>
        <w:topLinePunct w:val="0"/>
        <w:bidi w:val="0"/>
        <w:adjustRightInd/>
        <w:snapToGrid/>
        <w:jc w:val="both"/>
        <w:textAlignment w:val="auto"/>
        <w:rPr>
          <w:rFonts w:ascii="黑体" w:hAnsi="黑体" w:eastAsia="黑体"/>
          <w:sz w:val="32"/>
          <w:szCs w:val="32"/>
        </w:rPr>
      </w:pPr>
      <w:r>
        <w:rPr>
          <w:rFonts w:hint="eastAsia" w:ascii="黑体" w:hAnsi="黑体" w:eastAsia="黑体"/>
          <w:sz w:val="32"/>
          <w:szCs w:val="32"/>
        </w:rPr>
        <w:t>附件1</w:t>
      </w:r>
    </w:p>
    <w:p w14:paraId="3DDF4F1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年</w:t>
      </w:r>
      <w:r>
        <w:rPr>
          <w:rFonts w:hint="eastAsia" w:ascii="方正小标宋简体" w:hAnsi="方正小标宋简体" w:eastAsia="方正小标宋简体"/>
          <w:sz w:val="44"/>
          <w:szCs w:val="44"/>
          <w:lang w:eastAsia="zh-CN"/>
        </w:rPr>
        <w:t>攀枝花市西区科学技术局</w:t>
      </w:r>
      <w:r>
        <w:rPr>
          <w:rFonts w:hint="eastAsia" w:ascii="方正小标宋简体" w:hAnsi="方正小标宋简体" w:eastAsia="方正小标宋简体"/>
          <w:sz w:val="44"/>
          <w:szCs w:val="44"/>
        </w:rPr>
        <w:t>整体</w:t>
      </w:r>
    </w:p>
    <w:p w14:paraId="66A387F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绩效评价报告</w:t>
      </w:r>
    </w:p>
    <w:p w14:paraId="5B267308">
      <w:pPr>
        <w:pStyle w:val="3"/>
        <w:keepNext w:val="0"/>
        <w:keepLines w:val="0"/>
        <w:pageBreakBefore w:val="0"/>
        <w:widowControl w:val="0"/>
        <w:kinsoku/>
        <w:wordWrap/>
        <w:overflowPunct/>
        <w:topLinePunct w:val="0"/>
        <w:autoSpaceDE/>
        <w:autoSpaceDN/>
        <w:bidi w:val="0"/>
        <w:adjustRightInd/>
        <w:snapToGrid/>
        <w:spacing w:beforeLines="0" w:line="0" w:lineRule="atLeast"/>
        <w:jc w:val="both"/>
        <w:textAlignment w:val="auto"/>
      </w:pPr>
    </w:p>
    <w:p w14:paraId="001ECB71">
      <w:pPr>
        <w:pageBreakBefore w:val="0"/>
        <w:kinsoku/>
        <w:wordWrap/>
        <w:overflowPunct/>
        <w:topLinePunct w:val="0"/>
        <w:bidi w:val="0"/>
        <w:adjustRightInd/>
        <w:snapToGrid/>
        <w:ind w:firstLine="640" w:firstLineChars="200"/>
        <w:jc w:val="both"/>
        <w:textAlignment w:val="auto"/>
        <w:rPr>
          <w:rFonts w:ascii="黑体" w:hAnsi="黑体" w:eastAsia="黑体"/>
          <w:sz w:val="32"/>
          <w:szCs w:val="32"/>
        </w:rPr>
      </w:pPr>
      <w:r>
        <w:rPr>
          <w:rFonts w:hint="eastAsia" w:ascii="黑体" w:hAnsi="黑体" w:eastAsia="黑体"/>
          <w:sz w:val="32"/>
          <w:szCs w:val="32"/>
        </w:rPr>
        <w:t>一、部门（单位）基本情况</w:t>
      </w:r>
    </w:p>
    <w:p w14:paraId="7D5FD341">
      <w:pPr>
        <w:pageBreakBefore w:val="0"/>
        <w:kinsoku/>
        <w:wordWrap/>
        <w:overflowPunct/>
        <w:topLinePunct w:val="0"/>
        <w:bidi w:val="0"/>
        <w:adjustRightInd/>
        <w:snapToGrid/>
        <w:spacing w:line="520" w:lineRule="exact"/>
        <w:ind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（一）机构组成。</w:t>
      </w:r>
    </w:p>
    <w:p w14:paraId="3CE3F3D4">
      <w:pPr>
        <w:pageBreakBefore w:val="0"/>
        <w:kinsoku/>
        <w:wordWrap/>
        <w:overflowPunct/>
        <w:topLinePunct w:val="0"/>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本部门内设1个综合办公室，下设1个二级单位：攀枝花市西区生产力促进中心。</w:t>
      </w:r>
    </w:p>
    <w:p w14:paraId="610E48E3">
      <w:pPr>
        <w:pageBreakBefore w:val="0"/>
        <w:numPr>
          <w:ilvl w:val="0"/>
          <w:numId w:val="3"/>
        </w:numPr>
        <w:kinsoku/>
        <w:wordWrap/>
        <w:overflowPunct/>
        <w:topLinePunct w:val="0"/>
        <w:bidi w:val="0"/>
        <w:adjustRightInd/>
        <w:snapToGrid/>
        <w:ind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机构职能。</w:t>
      </w:r>
    </w:p>
    <w:p w14:paraId="30354601">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1.拟订全区创新驱动发展战略以及科技发展、引进国外智力规划和政策措施并组织实施。起草有关科技发展的政策措施并组织实施。</w:t>
      </w:r>
    </w:p>
    <w:p w14:paraId="5257D391">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2.统筹推进全区科技创新体系建设和科技体制改革，会同有关部门健全技术创新激励机制。优化科研体系建设，指导科研机构改革发展，推动企业科技创新能力建设，承担推进科技军民融合发展相关工作，推进全区重大科技决策咨询制度建设。组织拟订全区推进创新创业、促进科技金融结合、科技招商的政策措施并组织实施。</w:t>
      </w:r>
    </w:p>
    <w:p w14:paraId="616F1652">
      <w:pPr>
        <w:pageBreakBefore w:val="0"/>
        <w:kinsoku/>
        <w:wordWrap/>
        <w:overflowPunct/>
        <w:topLinePunct w:val="0"/>
        <w:bidi w:val="0"/>
        <w:adjustRightInd/>
        <w:snapToGrid/>
        <w:spacing w:line="52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3.牵头建立全区科研项目资金协调、实施、评估、监管机制。会同有关部门提出优化配置科技资源的政策措</w:t>
      </w:r>
      <w:r>
        <w:rPr>
          <w:rFonts w:hint="eastAsia" w:ascii="仿宋_GB2312" w:hAnsi="仿宋" w:eastAsia="仿宋_GB2312"/>
          <w:color w:val="auto"/>
          <w:sz w:val="32"/>
          <w:szCs w:val="32"/>
        </w:rPr>
        <w:t>施建议，推</w:t>
      </w:r>
      <w:r>
        <w:rPr>
          <w:rFonts w:hint="eastAsia" w:ascii="仿宋_GB2312" w:hAnsi="仿宋" w:eastAsia="仿宋_GB2312"/>
          <w:sz w:val="32"/>
          <w:szCs w:val="32"/>
        </w:rPr>
        <w:t>动多元化科技投入体系建设。组织拟订区级财政科技计划（专项、基金）并监督和实施。负责本部门预算中的科技经费预决算及经费使用的监督管理。</w:t>
      </w:r>
    </w:p>
    <w:p w14:paraId="261A48D1">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4.组织协调全区重大基础研究和应用基础研究。拟订科技创新基地建设规划并监督实施，参与编制重大科技基础设施建设规划和监督实施。牵头推进在区的国家、省（部）、市重点实验室、技术创新中心等重大科研平台建设，推动科研条件保障建设和科技资源开放共享。</w:t>
      </w:r>
    </w:p>
    <w:p w14:paraId="18F7624D">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5.拟订推进攀西国家战略资源创新开发试验区建</w:t>
      </w:r>
      <w:r>
        <w:rPr>
          <w:rFonts w:hint="eastAsia" w:ascii="仿宋_GB2312" w:hAnsi="仿宋" w:eastAsia="仿宋_GB2312"/>
          <w:color w:val="auto"/>
          <w:sz w:val="32"/>
          <w:szCs w:val="32"/>
        </w:rPr>
        <w:t>设发展的</w:t>
      </w:r>
      <w:r>
        <w:rPr>
          <w:rFonts w:hint="eastAsia" w:ascii="仿宋_GB2312" w:hAnsi="仿宋" w:eastAsia="仿宋_GB2312"/>
          <w:sz w:val="32"/>
          <w:szCs w:val="32"/>
        </w:rPr>
        <w:t>科技支撑计划并组织实施。编制全区重大科技专项方案并组织实施。统筹经济社会发展重要领域的关键共性技术、前沿引领技术、现代工程技术、颠覆性计划的研发和创新，牵头组织重大科技攻关和成果应用示范。组织开展重点领域技术发展需求分析，提出重大科技发展建议并组织实施。负责组织国家、省、市、区科学技术奖等科技评奖的申报、审核、推荐工作。</w:t>
      </w:r>
    </w:p>
    <w:p w14:paraId="17EF74E0">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6.组织拟订高新技术发展及产业化的规划和政策</w:t>
      </w:r>
      <w:r>
        <w:rPr>
          <w:rFonts w:hint="eastAsia" w:ascii="仿宋_GB2312" w:hAnsi="仿宋" w:eastAsia="仿宋_GB2312" w:cs="Times New Roman"/>
          <w:sz w:val="32"/>
          <w:szCs w:val="32"/>
        </w:rPr>
        <w:t>措施并组织实施。指导</w:t>
      </w:r>
      <w:r>
        <w:rPr>
          <w:rFonts w:hint="eastAsia" w:ascii="仿宋_GB2312" w:hAnsi="仿宋" w:eastAsia="仿宋_GB2312"/>
          <w:sz w:val="32"/>
          <w:szCs w:val="32"/>
        </w:rPr>
        <w:t>高新技术企业、创新型企业申报和创新平台建设，负责区级创新平台认定管理工作。组织开展科技型中小企业评价的初审工作。</w:t>
      </w:r>
    </w:p>
    <w:p w14:paraId="0A3E3583">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7.组织拟订科技促进农业农村和社会发展的规划、政策和措施，指导现代农业示范基地建设，推进科技服务民生工作。拟订科学普及和科学传播规划，政策措施并组织实施。</w:t>
      </w:r>
    </w:p>
    <w:p w14:paraId="7B6615C4">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8.牵头全区技术转移体系建设，拟订科技成果转移转化和促进产学研结合的相关政策措施并组织实施。指导科技服务业、技术市场和科技中介组织发展。</w:t>
      </w:r>
    </w:p>
    <w:p w14:paraId="43318F6D">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9.统筹区域科技创新体系建设，指导区域创新发展、科技资源合理布局和协同创新能力建设，推动高新技术园区建设。</w:t>
      </w:r>
    </w:p>
    <w:p w14:paraId="380D7763">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10.会同有关部门拟订科技人才队伍建设规划和政策</w:t>
      </w:r>
      <w:r>
        <w:rPr>
          <w:rFonts w:hint="eastAsia" w:ascii="仿宋_GB2312" w:hAnsi="仿宋" w:eastAsia="仿宋_GB2312" w:cs="Times New Roman"/>
          <w:color w:val="FF0000"/>
          <w:kern w:val="2"/>
          <w:sz w:val="32"/>
          <w:szCs w:val="32"/>
        </w:rPr>
        <w:t>，</w:t>
      </w:r>
      <w:r>
        <w:rPr>
          <w:rFonts w:hint="eastAsia" w:ascii="仿宋_GB2312" w:hAnsi="仿宋" w:eastAsia="仿宋_GB2312" w:cs="Times New Roman"/>
          <w:color w:val="auto"/>
          <w:kern w:val="2"/>
          <w:sz w:val="32"/>
          <w:szCs w:val="32"/>
        </w:rPr>
        <w:t>建立健全科技人才评价和激励机制，组织实施科技人才计划，推动高端科技创新人才队伍建设。</w:t>
      </w:r>
    </w:p>
    <w:p w14:paraId="3A2B9650">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11.负责科技监督评价体系建设和相关科技评估管理，指导科技评价机制改革，统筹科研诚信建设。组织实施全区创新调查和科技报告制度，指导全区科技保密相关工作。</w:t>
      </w:r>
    </w:p>
    <w:p w14:paraId="5B974B79">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12.拟订科技对外交流与创新能力开放合作的规划和政策措施，组织开展对外科技合作与科技人才交流。指导相关部门对外科技合作与科技人才交流工作。负责有关科技博览展会参展推广的组织协调工作。</w:t>
      </w:r>
    </w:p>
    <w:p w14:paraId="283EED38">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13.负责引进国外智力工作。拟订全区重点引进外国专家总体规划、计划并组织实施，建立外国顶尖专家、团队吸引集聚机制和重点外国专家联系服务机制。拟订出国（境）培训总体规划、政策和年度计划并监督实施。会同有关部门制定外国人来区工作政策、办理相关外国人工作许可。</w:t>
      </w:r>
    </w:p>
    <w:p w14:paraId="22273CD8">
      <w:pPr>
        <w:pStyle w:val="4"/>
        <w:pageBreakBefore w:val="0"/>
        <w:kinsoku/>
        <w:wordWrap/>
        <w:overflowPunct/>
        <w:topLinePunct w:val="0"/>
        <w:bidi w:val="0"/>
        <w:adjustRightInd/>
        <w:snapToGrid/>
        <w:ind w:firstLine="640" w:firstLineChars="200"/>
        <w:jc w:val="both"/>
        <w:textAlignment w:val="auto"/>
        <w:rPr>
          <w:rFonts w:ascii="仿宋_GB2312" w:hAnsi="仿宋" w:eastAsia="仿宋_GB2312" w:cs="Times New Roman"/>
          <w:color w:val="auto"/>
          <w:kern w:val="2"/>
          <w:sz w:val="32"/>
          <w:szCs w:val="32"/>
        </w:rPr>
      </w:pPr>
      <w:r>
        <w:rPr>
          <w:rFonts w:hint="eastAsia" w:ascii="仿宋_GB2312" w:hAnsi="仿宋" w:eastAsia="仿宋_GB2312" w:cs="Times New Roman"/>
          <w:color w:val="auto"/>
          <w:kern w:val="2"/>
          <w:sz w:val="32"/>
          <w:szCs w:val="32"/>
        </w:rPr>
        <w:t>14.负责职责范围内的安全生产和职业健康、生态环境保护、审批服务便民化等工作。</w:t>
      </w:r>
    </w:p>
    <w:p w14:paraId="2D9E88DF">
      <w:pPr>
        <w:pageBreakBefore w:val="0"/>
        <w:kinsoku/>
        <w:wordWrap/>
        <w:overflowPunct/>
        <w:topLinePunct w:val="0"/>
        <w:autoSpaceDE w:val="0"/>
        <w:autoSpaceDN w:val="0"/>
        <w:bidi w:val="0"/>
        <w:adjustRightInd/>
        <w:snapToGrid/>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15.完成区委、区政府交办的其他任务。</w:t>
      </w:r>
    </w:p>
    <w:p w14:paraId="2F04C3F8">
      <w:pPr>
        <w:pageBreakBefore w:val="0"/>
        <w:kinsoku/>
        <w:wordWrap/>
        <w:overflowPunct/>
        <w:topLinePunct w:val="0"/>
        <w:bidi w:val="0"/>
        <w:adjustRightInd/>
        <w:snapToGrid/>
        <w:ind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（三）人员概况。</w:t>
      </w:r>
    </w:p>
    <w:p w14:paraId="07CAD623">
      <w:pPr>
        <w:pageBreakBefore w:val="0"/>
        <w:kinsoku/>
        <w:wordWrap/>
        <w:overflowPunct/>
        <w:topLinePunct w:val="0"/>
        <w:bidi w:val="0"/>
        <w:adjustRightInd/>
        <w:snapToGrid/>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截至2023年末</w:t>
      </w:r>
      <w:r>
        <w:rPr>
          <w:rFonts w:hint="eastAsia" w:ascii="仿宋_GB2312" w:eastAsia="仿宋_GB2312"/>
          <w:sz w:val="32"/>
          <w:szCs w:val="32"/>
          <w:lang w:eastAsia="zh-CN"/>
        </w:rPr>
        <w:t>，</w:t>
      </w:r>
      <w:r>
        <w:rPr>
          <w:rFonts w:hint="eastAsia" w:ascii="仿宋_GB2312" w:hAnsi="仿宋" w:eastAsia="仿宋_GB2312"/>
          <w:sz w:val="32"/>
          <w:szCs w:val="32"/>
          <w:lang w:eastAsia="zh-CN"/>
        </w:rPr>
        <w:t>三定方案</w:t>
      </w:r>
      <w:r>
        <w:rPr>
          <w:rFonts w:hint="eastAsia" w:ascii="仿宋_GB2312" w:hAnsi="仿宋" w:eastAsia="仿宋_GB2312"/>
          <w:sz w:val="32"/>
          <w:szCs w:val="32"/>
        </w:rPr>
        <w:t>有行政</w:t>
      </w:r>
      <w:r>
        <w:rPr>
          <w:rFonts w:hint="eastAsia" w:ascii="仿宋_GB2312" w:hAnsi="仿宋" w:eastAsia="仿宋_GB2312"/>
          <w:sz w:val="32"/>
          <w:szCs w:val="32"/>
          <w:lang w:eastAsia="zh-CN"/>
        </w:rPr>
        <w:t>人员</w:t>
      </w:r>
      <w:r>
        <w:rPr>
          <w:rFonts w:hint="eastAsia" w:ascii="仿宋_GB2312" w:hAnsi="仿宋" w:eastAsia="仿宋_GB2312"/>
          <w:sz w:val="32"/>
          <w:szCs w:val="32"/>
        </w:rPr>
        <w:t>编制3人，事业</w:t>
      </w:r>
      <w:r>
        <w:rPr>
          <w:rFonts w:hint="eastAsia" w:ascii="仿宋_GB2312" w:hAnsi="仿宋" w:eastAsia="仿宋_GB2312"/>
          <w:sz w:val="32"/>
          <w:szCs w:val="32"/>
          <w:lang w:eastAsia="zh-CN"/>
        </w:rPr>
        <w:t>人员</w:t>
      </w:r>
      <w:r>
        <w:rPr>
          <w:rFonts w:hint="eastAsia" w:ascii="仿宋_GB2312" w:hAnsi="仿宋" w:eastAsia="仿宋_GB2312"/>
          <w:sz w:val="32"/>
          <w:szCs w:val="32"/>
        </w:rPr>
        <w:t>编制</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人。年末实有行政人员4人，事业人员2人,聘用人员2人。人员与去年同期相比</w:t>
      </w:r>
      <w:r>
        <w:rPr>
          <w:rFonts w:hint="eastAsia" w:ascii="仿宋_GB2312" w:hAnsi="仿宋" w:eastAsia="仿宋_GB2312"/>
          <w:sz w:val="32"/>
          <w:szCs w:val="32"/>
          <w:lang w:eastAsia="zh-CN"/>
        </w:rPr>
        <w:t>无变化</w:t>
      </w:r>
      <w:r>
        <w:rPr>
          <w:rFonts w:hint="eastAsia" w:ascii="仿宋_GB2312" w:hAnsi="仿宋" w:eastAsia="仿宋_GB2312"/>
          <w:sz w:val="32"/>
          <w:szCs w:val="32"/>
        </w:rPr>
        <w:t>。</w:t>
      </w:r>
    </w:p>
    <w:p w14:paraId="614F4918">
      <w:pPr>
        <w:pageBreakBefore w:val="0"/>
        <w:kinsoku/>
        <w:wordWrap/>
        <w:overflowPunct/>
        <w:topLinePunct w:val="0"/>
        <w:bidi w:val="0"/>
        <w:adjustRightInd/>
        <w:snapToGrid/>
        <w:ind w:firstLine="640" w:firstLineChars="200"/>
        <w:jc w:val="both"/>
        <w:textAlignment w:val="auto"/>
        <w:rPr>
          <w:rFonts w:ascii="黑体" w:hAnsi="黑体" w:eastAsia="黑体"/>
          <w:sz w:val="32"/>
          <w:szCs w:val="32"/>
        </w:rPr>
      </w:pPr>
      <w:r>
        <w:rPr>
          <w:rFonts w:hint="eastAsia" w:ascii="黑体" w:hAnsi="黑体" w:eastAsia="黑体"/>
          <w:sz w:val="32"/>
          <w:szCs w:val="32"/>
        </w:rPr>
        <w:t>二、部门资金收支情况</w:t>
      </w:r>
    </w:p>
    <w:p w14:paraId="57688297">
      <w:pPr>
        <w:pageBreakBefore w:val="0"/>
        <w:kinsoku/>
        <w:wordWrap/>
        <w:overflowPunct/>
        <w:topLinePunct w:val="0"/>
        <w:bidi w:val="0"/>
        <w:adjustRightInd/>
        <w:snapToGrid/>
        <w:ind w:firstLine="643" w:firstLineChars="200"/>
        <w:jc w:val="both"/>
        <w:textAlignment w:val="auto"/>
        <w:rPr>
          <w:rFonts w:hint="eastAsia" w:ascii="仿宋_GB2312" w:eastAsia="仿宋_GB2312"/>
          <w:sz w:val="32"/>
          <w:szCs w:val="32"/>
        </w:rPr>
      </w:pPr>
      <w:r>
        <w:rPr>
          <w:rFonts w:hint="eastAsia" w:ascii="楷体_GB2312" w:eastAsia="楷体_GB2312"/>
          <w:b/>
          <w:sz w:val="32"/>
          <w:szCs w:val="32"/>
        </w:rPr>
        <w:t>（一）收入情况。</w:t>
      </w:r>
    </w:p>
    <w:p w14:paraId="153B083C">
      <w:pPr>
        <w:pStyle w:val="3"/>
        <w:pageBreakBefore w:val="0"/>
        <w:kinsoku/>
        <w:wordWrap/>
        <w:overflowPunct/>
        <w:topLinePunct w:val="0"/>
        <w:bidi w:val="0"/>
        <w:adjustRightInd/>
        <w:snapToGrid/>
        <w:spacing w:beforeLines="0"/>
        <w:ind w:firstLine="640" w:firstLineChars="200"/>
        <w:jc w:val="both"/>
        <w:textAlignment w:val="auto"/>
        <w:rPr>
          <w:rFonts w:hint="eastAsia" w:eastAsia="仿宋_GB2312"/>
          <w:lang w:val="en-US" w:eastAsia="zh-CN"/>
        </w:rPr>
      </w:pPr>
      <w:r>
        <w:rPr>
          <w:rFonts w:hint="eastAsia"/>
          <w:sz w:val="32"/>
          <w:szCs w:val="32"/>
          <w:lang w:val="en-US" w:eastAsia="zh-CN"/>
        </w:rPr>
        <w:t>2023年度，</w:t>
      </w:r>
      <w:r>
        <w:rPr>
          <w:rFonts w:hint="eastAsia" w:ascii="仿宋_GB2312" w:hAnsi="仿宋" w:eastAsia="仿宋_GB2312"/>
          <w:sz w:val="32"/>
          <w:szCs w:val="32"/>
        </w:rPr>
        <w:t>年初预算安排本年收入1</w:t>
      </w:r>
      <w:r>
        <w:rPr>
          <w:rFonts w:hint="eastAsia" w:hAnsi="仿宋"/>
          <w:sz w:val="32"/>
          <w:szCs w:val="32"/>
          <w:lang w:val="en-US" w:eastAsia="zh-CN"/>
        </w:rPr>
        <w:t>45.68万</w:t>
      </w:r>
      <w:r>
        <w:rPr>
          <w:rFonts w:hint="eastAsia" w:ascii="仿宋_GB2312" w:hAnsi="仿宋" w:eastAsia="仿宋_GB2312"/>
          <w:sz w:val="32"/>
          <w:szCs w:val="32"/>
        </w:rPr>
        <w:t>元，其中：一般公共预算财政拨款收入1</w:t>
      </w:r>
      <w:r>
        <w:rPr>
          <w:rFonts w:hint="eastAsia" w:hAnsi="仿宋"/>
          <w:sz w:val="32"/>
          <w:szCs w:val="32"/>
          <w:lang w:val="en-US" w:eastAsia="zh-CN"/>
        </w:rPr>
        <w:t>25.68万</w:t>
      </w:r>
      <w:r>
        <w:rPr>
          <w:rFonts w:hint="eastAsia" w:ascii="仿宋_GB2312" w:hAnsi="仿宋" w:eastAsia="仿宋_GB2312"/>
          <w:sz w:val="32"/>
          <w:szCs w:val="32"/>
        </w:rPr>
        <w:t>元，政府性基金预算财政拨款</w:t>
      </w:r>
      <w:r>
        <w:rPr>
          <w:rFonts w:hint="eastAsia" w:ascii="仿宋_GB2312" w:hAnsi="仿宋" w:eastAsia="仿宋_GB2312"/>
          <w:sz w:val="32"/>
          <w:szCs w:val="32"/>
          <w:lang w:eastAsia="zh-CN"/>
        </w:rPr>
        <w:t>收入</w:t>
      </w:r>
      <w:r>
        <w:rPr>
          <w:rFonts w:hint="eastAsia" w:ascii="仿宋_GB2312" w:hAnsi="仿宋" w:eastAsia="仿宋_GB2312"/>
          <w:sz w:val="32"/>
          <w:szCs w:val="32"/>
          <w:lang w:val="en-US" w:eastAsia="zh-CN"/>
        </w:rPr>
        <w:t>20</w:t>
      </w:r>
      <w:r>
        <w:rPr>
          <w:rFonts w:hint="eastAsia" w:hAnsi="仿宋"/>
          <w:sz w:val="32"/>
          <w:szCs w:val="32"/>
          <w:lang w:val="en-US" w:eastAsia="zh-CN"/>
        </w:rPr>
        <w:t>万</w:t>
      </w:r>
      <w:r>
        <w:rPr>
          <w:rFonts w:hint="eastAsia" w:ascii="仿宋_GB2312" w:hAnsi="仿宋" w:eastAsia="仿宋_GB2312"/>
          <w:sz w:val="32"/>
          <w:szCs w:val="32"/>
        </w:rPr>
        <w:t>元</w:t>
      </w:r>
      <w:r>
        <w:rPr>
          <w:rFonts w:hint="eastAsia" w:hAnsi="仿宋"/>
          <w:sz w:val="32"/>
          <w:szCs w:val="32"/>
          <w:lang w:eastAsia="zh-CN"/>
        </w:rPr>
        <w:t>。</w:t>
      </w:r>
      <w:r>
        <w:rPr>
          <w:rFonts w:hint="eastAsia" w:ascii="仿宋_GB2312" w:eastAsia="仿宋_GB2312"/>
          <w:sz w:val="32"/>
          <w:szCs w:val="32"/>
        </w:rPr>
        <w:t>决算报表</w:t>
      </w:r>
      <w:r>
        <w:rPr>
          <w:rFonts w:hint="eastAsia"/>
          <w:sz w:val="32"/>
          <w:szCs w:val="32"/>
          <w:lang w:eastAsia="zh-CN"/>
        </w:rPr>
        <w:t>反映本年</w:t>
      </w:r>
      <w:r>
        <w:rPr>
          <w:rFonts w:hint="eastAsia" w:ascii="仿宋_GB2312" w:eastAsia="仿宋_GB2312"/>
          <w:sz w:val="32"/>
          <w:szCs w:val="32"/>
        </w:rPr>
        <w:t>收入</w:t>
      </w:r>
      <w:r>
        <w:rPr>
          <w:rFonts w:hint="eastAsia"/>
          <w:sz w:val="32"/>
          <w:szCs w:val="32"/>
          <w:lang w:val="en-US" w:eastAsia="zh-CN"/>
        </w:rPr>
        <w:t>296.14万元，</w:t>
      </w:r>
      <w:r>
        <w:rPr>
          <w:rFonts w:hint="eastAsia" w:ascii="仿宋_GB2312" w:hAnsi="仿宋" w:eastAsia="仿宋_GB2312"/>
          <w:sz w:val="32"/>
          <w:szCs w:val="32"/>
        </w:rPr>
        <w:t>其中：一般公共预算财政拨款收入</w:t>
      </w:r>
      <w:r>
        <w:rPr>
          <w:rFonts w:hint="eastAsia" w:hAnsi="仿宋"/>
          <w:sz w:val="32"/>
          <w:szCs w:val="32"/>
          <w:lang w:val="en-US" w:eastAsia="zh-CN"/>
        </w:rPr>
        <w:t>290.81万</w:t>
      </w:r>
      <w:r>
        <w:rPr>
          <w:rFonts w:hint="eastAsia" w:ascii="仿宋_GB2312" w:hAnsi="仿宋" w:eastAsia="仿宋_GB2312"/>
          <w:sz w:val="32"/>
          <w:szCs w:val="32"/>
        </w:rPr>
        <w:t>元，政府性基金预算财政拨款</w:t>
      </w:r>
      <w:r>
        <w:rPr>
          <w:rFonts w:hint="eastAsia" w:ascii="仿宋_GB2312" w:hAnsi="仿宋" w:eastAsia="仿宋_GB2312"/>
          <w:sz w:val="32"/>
          <w:szCs w:val="32"/>
          <w:lang w:eastAsia="zh-CN"/>
        </w:rPr>
        <w:t>收入</w:t>
      </w:r>
      <w:r>
        <w:rPr>
          <w:rFonts w:hint="eastAsia" w:hAnsi="仿宋"/>
          <w:sz w:val="32"/>
          <w:szCs w:val="32"/>
          <w:lang w:val="en-US" w:eastAsia="zh-CN"/>
        </w:rPr>
        <w:t>5.33万</w:t>
      </w:r>
      <w:r>
        <w:rPr>
          <w:rFonts w:hint="eastAsia" w:ascii="仿宋_GB2312" w:hAnsi="仿宋" w:eastAsia="仿宋_GB2312"/>
          <w:sz w:val="32"/>
          <w:szCs w:val="32"/>
        </w:rPr>
        <w:t>元</w:t>
      </w:r>
      <w:r>
        <w:rPr>
          <w:rFonts w:hint="eastAsia" w:hAnsi="仿宋"/>
          <w:sz w:val="32"/>
          <w:szCs w:val="32"/>
          <w:lang w:eastAsia="zh-CN"/>
        </w:rPr>
        <w:t>。</w:t>
      </w:r>
    </w:p>
    <w:p w14:paraId="0A1ADE21">
      <w:pPr>
        <w:pageBreakBefore w:val="0"/>
        <w:numPr>
          <w:ilvl w:val="0"/>
          <w:numId w:val="3"/>
        </w:numPr>
        <w:kinsoku/>
        <w:wordWrap/>
        <w:overflowPunct/>
        <w:topLinePunct w:val="0"/>
        <w:bidi w:val="0"/>
        <w:adjustRightInd/>
        <w:snapToGrid/>
        <w:ind w:left="0" w:leftChars="0"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支出情况。</w:t>
      </w:r>
    </w:p>
    <w:p w14:paraId="53BAD175">
      <w:pPr>
        <w:pageBreakBefore w:val="0"/>
        <w:numPr>
          <w:ilvl w:val="0"/>
          <w:numId w:val="0"/>
        </w:numPr>
        <w:kinsoku/>
        <w:wordWrap/>
        <w:overflowPunct/>
        <w:topLinePunct w:val="0"/>
        <w:bidi w:val="0"/>
        <w:adjustRightInd/>
        <w:snapToGrid/>
        <w:ind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2023年度，年初预算安排本年支出145.68万元，其中：一般公共预算财政拨款支出125.68万元，政府性基金预算财政拨款支出20万元。决算报表反映本年支出296.14万元，其中：一般公共预算财政拨款支出290.81万元，政府性基金预算财政拨款支出5.33万元。</w:t>
      </w:r>
    </w:p>
    <w:p w14:paraId="39A48614">
      <w:pPr>
        <w:pageBreakBefore w:val="0"/>
        <w:numPr>
          <w:ilvl w:val="0"/>
          <w:numId w:val="3"/>
        </w:numPr>
        <w:kinsoku/>
        <w:wordWrap/>
        <w:overflowPunct/>
        <w:topLinePunct w:val="0"/>
        <w:bidi w:val="0"/>
        <w:adjustRightInd/>
        <w:snapToGrid/>
        <w:ind w:left="0" w:leftChars="0" w:firstLine="643" w:firstLineChars="200"/>
        <w:jc w:val="both"/>
        <w:textAlignment w:val="auto"/>
        <w:rPr>
          <w:rFonts w:hint="eastAsia" w:ascii="楷体_GB2312" w:eastAsia="楷体_GB2312"/>
          <w:b/>
          <w:sz w:val="32"/>
          <w:szCs w:val="32"/>
        </w:rPr>
      </w:pPr>
      <w:r>
        <w:rPr>
          <w:rFonts w:hint="eastAsia" w:ascii="楷体_GB2312" w:eastAsia="楷体_GB2312"/>
          <w:b/>
          <w:sz w:val="32"/>
          <w:szCs w:val="32"/>
        </w:rPr>
        <w:t>结余分配和结转结余情况。</w:t>
      </w:r>
    </w:p>
    <w:p w14:paraId="0C23CB81">
      <w:pPr>
        <w:pageBreakBefore w:val="0"/>
        <w:numPr>
          <w:ilvl w:val="0"/>
          <w:numId w:val="0"/>
        </w:numPr>
        <w:kinsoku/>
        <w:wordWrap/>
        <w:overflowPunct/>
        <w:topLinePunct w:val="0"/>
        <w:bidi w:val="0"/>
        <w:adjustRightInd/>
        <w:snapToGrid/>
        <w:ind w:firstLine="640" w:firstLineChars="200"/>
        <w:jc w:val="both"/>
        <w:textAlignment w:val="auto"/>
        <w:rPr>
          <w:rFonts w:ascii="仿宋_GB2312" w:eastAsia="仿宋_GB2312"/>
          <w:sz w:val="32"/>
          <w:szCs w:val="32"/>
        </w:rPr>
      </w:pPr>
      <w:r>
        <w:rPr>
          <w:rFonts w:hint="eastAsia" w:ascii="仿宋_GB2312" w:eastAsia="仿宋_GB2312"/>
          <w:sz w:val="32"/>
          <w:szCs w:val="32"/>
        </w:rPr>
        <w:t>2023年</w:t>
      </w:r>
      <w:r>
        <w:rPr>
          <w:rFonts w:hint="eastAsia" w:ascii="仿宋_GB2312" w:eastAsia="仿宋_GB2312"/>
          <w:sz w:val="32"/>
          <w:szCs w:val="32"/>
          <w:lang w:eastAsia="zh-CN"/>
        </w:rPr>
        <w:t>度，</w:t>
      </w:r>
      <w:r>
        <w:rPr>
          <w:rFonts w:hint="eastAsia" w:ascii="仿宋_GB2312" w:eastAsia="仿宋_GB2312"/>
          <w:sz w:val="32"/>
          <w:szCs w:val="32"/>
        </w:rPr>
        <w:t>决算报表</w:t>
      </w:r>
      <w:r>
        <w:rPr>
          <w:rFonts w:hint="eastAsia" w:ascii="仿宋_GB2312" w:eastAsia="仿宋_GB2312"/>
          <w:sz w:val="32"/>
          <w:szCs w:val="32"/>
          <w:lang w:eastAsia="zh-CN"/>
        </w:rPr>
        <w:t>反映</w:t>
      </w:r>
      <w:r>
        <w:rPr>
          <w:rFonts w:hint="eastAsia" w:ascii="仿宋_GB2312" w:eastAsia="仿宋_GB2312"/>
          <w:sz w:val="32"/>
          <w:szCs w:val="32"/>
        </w:rPr>
        <w:t>结转结余</w:t>
      </w:r>
      <w:r>
        <w:rPr>
          <w:rFonts w:hint="eastAsia" w:ascii="仿宋_GB2312" w:eastAsia="仿宋_GB2312"/>
          <w:sz w:val="32"/>
          <w:szCs w:val="32"/>
          <w:lang w:val="en-US" w:eastAsia="zh-CN"/>
        </w:rPr>
        <w:t>0万元</w:t>
      </w:r>
      <w:r>
        <w:rPr>
          <w:rFonts w:hint="eastAsia" w:ascii="仿宋_GB2312" w:eastAsia="仿宋_GB2312"/>
          <w:sz w:val="32"/>
          <w:szCs w:val="32"/>
        </w:rPr>
        <w:t>。</w:t>
      </w:r>
    </w:p>
    <w:p w14:paraId="3BB0CF6B">
      <w:pPr>
        <w:pageBreakBefore w:val="0"/>
        <w:kinsoku/>
        <w:wordWrap/>
        <w:overflowPunct/>
        <w:topLinePunct w:val="0"/>
        <w:bidi w:val="0"/>
        <w:adjustRightInd/>
        <w:snapToGrid/>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三、部门预算绩效分析</w:t>
      </w:r>
    </w:p>
    <w:p w14:paraId="4F8BA3A9">
      <w:pPr>
        <w:pageBreakBefore w:val="0"/>
        <w:kinsoku/>
        <w:wordWrap/>
        <w:overflowPunct/>
        <w:topLinePunct w:val="0"/>
        <w:bidi w:val="0"/>
        <w:adjustRightInd/>
        <w:snapToGrid/>
        <w:ind w:firstLine="643" w:firstLineChars="200"/>
        <w:jc w:val="both"/>
        <w:textAlignment w:val="auto"/>
        <w:rPr>
          <w:rFonts w:ascii="仿宋_GB2312" w:eastAsia="仿宋_GB2312"/>
          <w:color w:val="auto"/>
          <w:sz w:val="32"/>
          <w:szCs w:val="32"/>
        </w:rPr>
      </w:pPr>
      <w:r>
        <w:rPr>
          <w:rFonts w:hint="eastAsia" w:ascii="楷体_GB2312" w:eastAsia="楷体_GB2312"/>
          <w:b/>
          <w:color w:val="auto"/>
          <w:sz w:val="32"/>
          <w:szCs w:val="32"/>
        </w:rPr>
        <w:t>（一）部门预算总体绩效分析。</w:t>
      </w:r>
    </w:p>
    <w:p w14:paraId="5139E76C">
      <w:pPr>
        <w:pageBreakBefore w:val="0"/>
        <w:kinsoku/>
        <w:wordWrap/>
        <w:overflowPunct/>
        <w:topLinePunct w:val="0"/>
        <w:bidi w:val="0"/>
        <w:adjustRightInd/>
        <w:snapToGrid/>
        <w:spacing w:line="578" w:lineRule="exact"/>
        <w:ind w:firstLine="640" w:firstLineChars="200"/>
        <w:jc w:val="both"/>
        <w:textAlignment w:val="auto"/>
        <w:rPr>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1.</w:t>
      </w:r>
      <w:r>
        <w:rPr>
          <w:rFonts w:hint="eastAsia" w:ascii="楷体_GB2312" w:hAnsi="楷体_GB2312" w:eastAsia="楷体_GB2312" w:cs="楷体_GB2312"/>
          <w:color w:val="auto"/>
          <w:kern w:val="0"/>
          <w:sz w:val="32"/>
          <w:szCs w:val="32"/>
          <w:shd w:val="clear" w:color="auto" w:fill="FFFFFF"/>
          <w:lang w:val="zh-CN"/>
        </w:rPr>
        <w:t>履职</w:t>
      </w:r>
      <w:r>
        <w:rPr>
          <w:rFonts w:hint="eastAsia" w:ascii="楷体_GB2312" w:hAnsi="楷体_GB2312" w:eastAsia="楷体_GB2312" w:cs="楷体_GB2312"/>
          <w:color w:val="auto"/>
          <w:kern w:val="0"/>
          <w:sz w:val="32"/>
          <w:szCs w:val="32"/>
          <w:shd w:val="clear" w:color="auto" w:fill="FFFFFF"/>
        </w:rPr>
        <w:t>效能</w:t>
      </w:r>
      <w:r>
        <w:rPr>
          <w:rFonts w:hint="eastAsia" w:ascii="楷体_GB2312" w:hAnsi="楷体_GB2312" w:eastAsia="楷体_GB2312" w:cs="楷体_GB2312"/>
          <w:color w:val="auto"/>
          <w:kern w:val="0"/>
          <w:sz w:val="32"/>
          <w:szCs w:val="32"/>
          <w:shd w:val="clear" w:color="auto" w:fill="FFFFFF"/>
          <w:lang w:val="zh-CN"/>
        </w:rPr>
        <w:t>。</w:t>
      </w:r>
      <w:r>
        <w:rPr>
          <w:rFonts w:hint="eastAsia" w:eastAsia="仿宋_GB2312"/>
          <w:color w:val="auto"/>
          <w:sz w:val="32"/>
          <w:szCs w:val="32"/>
          <w:lang w:val="zh-CN"/>
        </w:rPr>
        <w:t>从年初设定的2023年度部门整体支出绩效目标来看，2023年度</w:t>
      </w:r>
      <w:r>
        <w:rPr>
          <w:rFonts w:hint="eastAsia" w:eastAsia="仿宋_GB2312"/>
          <w:color w:val="auto"/>
          <w:sz w:val="32"/>
          <w:szCs w:val="32"/>
          <w:lang w:val="en-US" w:eastAsia="zh-CN"/>
        </w:rPr>
        <w:t>区科技局</w:t>
      </w:r>
      <w:r>
        <w:rPr>
          <w:rFonts w:hint="eastAsia" w:eastAsia="仿宋_GB2312"/>
          <w:color w:val="auto"/>
          <w:sz w:val="32"/>
          <w:szCs w:val="32"/>
          <w:lang w:val="zh-CN"/>
        </w:rPr>
        <w:t>履行主要职能完成情况较好。保障了</w:t>
      </w:r>
      <w:r>
        <w:rPr>
          <w:rFonts w:hint="eastAsia" w:eastAsia="仿宋_GB2312"/>
          <w:color w:val="auto"/>
          <w:sz w:val="32"/>
          <w:szCs w:val="32"/>
          <w:lang w:val="en-US" w:eastAsia="zh-CN"/>
        </w:rPr>
        <w:t>区科技局</w:t>
      </w:r>
      <w:r>
        <w:rPr>
          <w:rFonts w:hint="eastAsia" w:eastAsia="仿宋_GB2312"/>
          <w:color w:val="auto"/>
          <w:sz w:val="32"/>
          <w:szCs w:val="32"/>
          <w:lang w:val="zh-CN"/>
        </w:rPr>
        <w:t>及所属事业单位机构业务运转和人员经费，保障了重点任务目标，各项工作任务有序推进且完成较好。</w:t>
      </w:r>
    </w:p>
    <w:p w14:paraId="057F581F">
      <w:pPr>
        <w:pageBreakBefore w:val="0"/>
        <w:kinsoku/>
        <w:wordWrap/>
        <w:overflowPunct/>
        <w:topLinePunct w:val="0"/>
        <w:bidi w:val="0"/>
        <w:adjustRightInd/>
        <w:snapToGrid/>
        <w:spacing w:line="578" w:lineRule="exact"/>
        <w:ind w:firstLine="640" w:firstLineChars="200"/>
        <w:jc w:val="both"/>
        <w:textAlignment w:val="auto"/>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2.</w:t>
      </w:r>
      <w:r>
        <w:rPr>
          <w:rFonts w:hint="eastAsia" w:ascii="楷体_GB2312" w:hAnsi="楷体_GB2312" w:eastAsia="楷体_GB2312" w:cs="楷体_GB2312"/>
          <w:color w:val="auto"/>
          <w:kern w:val="0"/>
          <w:sz w:val="32"/>
          <w:szCs w:val="32"/>
          <w:shd w:val="clear" w:color="auto" w:fill="FFFFFF"/>
          <w:lang w:val="zh-CN"/>
        </w:rPr>
        <w:t>预算管理。</w:t>
      </w:r>
      <w:r>
        <w:rPr>
          <w:rFonts w:hint="eastAsia" w:eastAsia="仿宋_GB2312"/>
          <w:color w:val="auto"/>
          <w:sz w:val="32"/>
          <w:szCs w:val="32"/>
          <w:lang w:val="zh-CN"/>
        </w:rPr>
        <w:t>一是预算编制质量。制定了包括《攀枝花市</w:t>
      </w:r>
      <w:r>
        <w:rPr>
          <w:rFonts w:hint="eastAsia" w:eastAsia="仿宋_GB2312"/>
          <w:color w:val="auto"/>
          <w:sz w:val="32"/>
          <w:szCs w:val="32"/>
          <w:lang w:val="en-US" w:eastAsia="zh-CN"/>
        </w:rPr>
        <w:t>西区</w:t>
      </w:r>
      <w:r>
        <w:rPr>
          <w:rFonts w:hint="eastAsia" w:eastAsia="仿宋_GB2312"/>
          <w:color w:val="auto"/>
          <w:sz w:val="32"/>
          <w:szCs w:val="32"/>
          <w:lang w:val="zh-CN"/>
        </w:rPr>
        <w:t>科学技术</w:t>
      </w:r>
      <w:r>
        <w:rPr>
          <w:rFonts w:hint="eastAsia" w:eastAsia="仿宋_GB2312"/>
          <w:color w:val="auto"/>
          <w:sz w:val="32"/>
          <w:szCs w:val="32"/>
          <w:lang w:val="en-US" w:eastAsia="zh-CN"/>
        </w:rPr>
        <w:t>局预算管理内部控制制度</w:t>
      </w:r>
      <w:r>
        <w:rPr>
          <w:rFonts w:hint="eastAsia" w:eastAsia="仿宋_GB2312"/>
          <w:color w:val="auto"/>
          <w:sz w:val="32"/>
          <w:szCs w:val="32"/>
          <w:lang w:val="zh-CN"/>
        </w:rPr>
        <w:t>》《攀枝花市</w:t>
      </w:r>
      <w:r>
        <w:rPr>
          <w:rFonts w:hint="eastAsia" w:eastAsia="仿宋_GB2312"/>
          <w:color w:val="auto"/>
          <w:sz w:val="32"/>
          <w:szCs w:val="32"/>
          <w:lang w:val="en-US" w:eastAsia="zh-CN"/>
        </w:rPr>
        <w:t>西区</w:t>
      </w:r>
      <w:r>
        <w:rPr>
          <w:rFonts w:hint="eastAsia" w:eastAsia="仿宋_GB2312"/>
          <w:color w:val="auto"/>
          <w:sz w:val="32"/>
          <w:szCs w:val="32"/>
          <w:lang w:val="zh-CN"/>
        </w:rPr>
        <w:t>科学技术</w:t>
      </w:r>
      <w:r>
        <w:rPr>
          <w:rFonts w:hint="eastAsia" w:eastAsia="仿宋_GB2312"/>
          <w:color w:val="auto"/>
          <w:sz w:val="32"/>
          <w:szCs w:val="32"/>
          <w:lang w:val="en-US" w:eastAsia="zh-CN"/>
        </w:rPr>
        <w:t>局收支管理内部控制制度</w:t>
      </w:r>
      <w:r>
        <w:rPr>
          <w:rFonts w:hint="eastAsia" w:eastAsia="仿宋_GB2312"/>
          <w:color w:val="auto"/>
          <w:sz w:val="32"/>
          <w:szCs w:val="32"/>
          <w:lang w:val="zh-CN"/>
        </w:rPr>
        <w:t>》等在内的内控管理制度，2023年度预算编制能坚持“统筹兼顾、勤俭节约、量力而行、讲求绩效、收支平衡”的原则，对单位预算编制、审批、执行、调整、决算等实行全过程管理，全面真实反映部门年度收支情况。总体上看，部门申报的2023年度项目经费预算能与年度重点工作任务衔接，预算编制能达到科学性和准确性相关要求。二是支出执行进度。2023年</w:t>
      </w:r>
      <w:r>
        <w:rPr>
          <w:rFonts w:hint="eastAsia" w:eastAsia="仿宋_GB2312"/>
          <w:color w:val="auto"/>
          <w:sz w:val="32"/>
          <w:szCs w:val="32"/>
          <w:lang w:val="en-US" w:eastAsia="zh-CN"/>
        </w:rPr>
        <w:t>区科技局全年预算数296.14万元，</w:t>
      </w:r>
      <w:r>
        <w:rPr>
          <w:rFonts w:hint="eastAsia" w:eastAsia="仿宋_GB2312"/>
          <w:color w:val="auto"/>
          <w:sz w:val="32"/>
          <w:szCs w:val="32"/>
          <w:lang w:val="zh-CN"/>
        </w:rPr>
        <w:t>全年实际支出</w:t>
      </w:r>
      <w:r>
        <w:rPr>
          <w:rFonts w:hint="eastAsia" w:eastAsia="仿宋_GB2312"/>
          <w:color w:val="auto"/>
          <w:sz w:val="32"/>
          <w:szCs w:val="32"/>
          <w:lang w:val="en-US" w:eastAsia="zh-CN"/>
        </w:rPr>
        <w:t>296.14</w:t>
      </w:r>
      <w:r>
        <w:rPr>
          <w:rFonts w:hint="eastAsia" w:eastAsia="仿宋_GB2312"/>
          <w:color w:val="auto"/>
          <w:sz w:val="32"/>
          <w:szCs w:val="32"/>
          <w:lang w:val="zh-CN"/>
        </w:rPr>
        <w:t>万元，预算执行率为100％。三是预算完成。12月部门预算项目执行进度100%，无预算结余。四是重点支出控制情况。“三公”经费支出年初预算</w:t>
      </w:r>
      <w:r>
        <w:rPr>
          <w:rFonts w:hint="eastAsia" w:eastAsia="仿宋_GB2312"/>
          <w:color w:val="auto"/>
          <w:sz w:val="32"/>
          <w:szCs w:val="32"/>
          <w:lang w:val="en-US" w:eastAsia="zh-CN"/>
        </w:rPr>
        <w:t>0</w:t>
      </w:r>
      <w:r>
        <w:rPr>
          <w:rFonts w:hint="eastAsia" w:eastAsia="仿宋_GB2312"/>
          <w:color w:val="auto"/>
          <w:sz w:val="32"/>
          <w:szCs w:val="32"/>
          <w:lang w:val="zh-CN"/>
        </w:rPr>
        <w:t>万元，实际支出</w:t>
      </w:r>
      <w:r>
        <w:rPr>
          <w:rFonts w:hint="eastAsia" w:eastAsia="仿宋_GB2312"/>
          <w:color w:val="auto"/>
          <w:sz w:val="32"/>
          <w:szCs w:val="32"/>
          <w:lang w:val="en-US" w:eastAsia="zh-CN"/>
        </w:rPr>
        <w:t>0</w:t>
      </w:r>
      <w:r>
        <w:rPr>
          <w:rFonts w:hint="eastAsia" w:eastAsia="仿宋_GB2312"/>
          <w:color w:val="auto"/>
          <w:sz w:val="32"/>
          <w:szCs w:val="32"/>
          <w:lang w:val="zh-CN"/>
        </w:rPr>
        <w:t>万元，节约</w:t>
      </w:r>
      <w:r>
        <w:rPr>
          <w:rFonts w:hint="eastAsia" w:eastAsia="仿宋_GB2312"/>
          <w:color w:val="auto"/>
          <w:sz w:val="32"/>
          <w:szCs w:val="32"/>
          <w:lang w:val="en-US" w:eastAsia="zh-CN"/>
        </w:rPr>
        <w:t>0</w:t>
      </w:r>
      <w:r>
        <w:rPr>
          <w:rFonts w:hint="eastAsia" w:eastAsia="仿宋_GB2312"/>
          <w:color w:val="auto"/>
          <w:sz w:val="32"/>
          <w:szCs w:val="32"/>
          <w:lang w:val="zh-CN"/>
        </w:rPr>
        <w:t>万元。</w:t>
      </w:r>
    </w:p>
    <w:p w14:paraId="317C275C">
      <w:pPr>
        <w:pageBreakBefore w:val="0"/>
        <w:kinsoku/>
        <w:wordWrap/>
        <w:overflowPunct/>
        <w:topLinePunct w:val="0"/>
        <w:bidi w:val="0"/>
        <w:adjustRightInd/>
        <w:snapToGrid/>
        <w:spacing w:line="578" w:lineRule="exact"/>
        <w:ind w:firstLine="640" w:firstLineChars="200"/>
        <w:jc w:val="both"/>
        <w:textAlignment w:val="auto"/>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3.</w:t>
      </w:r>
      <w:r>
        <w:rPr>
          <w:rFonts w:hint="eastAsia" w:ascii="楷体_GB2312" w:hAnsi="楷体_GB2312" w:eastAsia="楷体_GB2312" w:cs="楷体_GB2312"/>
          <w:color w:val="auto"/>
          <w:kern w:val="0"/>
          <w:sz w:val="32"/>
          <w:szCs w:val="32"/>
          <w:shd w:val="clear" w:color="auto" w:fill="FFFFFF"/>
          <w:lang w:val="zh-CN"/>
        </w:rPr>
        <w:t>财务管理。</w:t>
      </w:r>
      <w:r>
        <w:rPr>
          <w:rFonts w:hint="eastAsia" w:eastAsia="仿宋_GB2312"/>
          <w:color w:val="auto"/>
          <w:sz w:val="32"/>
          <w:szCs w:val="32"/>
          <w:lang w:val="zh-CN"/>
        </w:rPr>
        <w:t>一是财务管理制度。为进一步提高单位内部管理水平和风险防范能力，规范内部控制，</w:t>
      </w:r>
      <w:r>
        <w:rPr>
          <w:rFonts w:hint="eastAsia" w:eastAsia="仿宋_GB2312"/>
          <w:color w:val="auto"/>
          <w:sz w:val="32"/>
          <w:szCs w:val="32"/>
          <w:lang w:val="en-US" w:eastAsia="zh-CN"/>
        </w:rPr>
        <w:t>区科技局</w:t>
      </w:r>
      <w:r>
        <w:rPr>
          <w:rFonts w:hint="eastAsia" w:eastAsia="仿宋_GB2312"/>
          <w:color w:val="auto"/>
          <w:sz w:val="32"/>
          <w:szCs w:val="32"/>
          <w:lang w:val="zh-CN"/>
        </w:rPr>
        <w:t>建立了</w:t>
      </w:r>
      <w:r>
        <w:rPr>
          <w:rFonts w:hint="eastAsia" w:eastAsia="仿宋_GB2312"/>
          <w:color w:val="auto"/>
          <w:sz w:val="32"/>
          <w:szCs w:val="32"/>
          <w:lang w:val="en-US" w:eastAsia="zh-CN"/>
        </w:rPr>
        <w:t>完善的内部财务制度</w:t>
      </w:r>
      <w:r>
        <w:rPr>
          <w:rFonts w:hint="eastAsia" w:eastAsia="仿宋_GB2312"/>
          <w:color w:val="auto"/>
          <w:sz w:val="32"/>
          <w:szCs w:val="32"/>
          <w:lang w:val="zh-CN"/>
        </w:rPr>
        <w:t>，</w:t>
      </w:r>
      <w:r>
        <w:rPr>
          <w:rFonts w:hint="eastAsia" w:eastAsia="仿宋_GB2312"/>
          <w:color w:val="auto"/>
          <w:sz w:val="32"/>
          <w:szCs w:val="32"/>
          <w:lang w:val="en-US" w:eastAsia="zh-CN"/>
        </w:rPr>
        <w:t>在</w:t>
      </w:r>
      <w:r>
        <w:rPr>
          <w:rFonts w:hint="eastAsia" w:eastAsia="仿宋_GB2312"/>
          <w:color w:val="auto"/>
          <w:sz w:val="32"/>
          <w:szCs w:val="32"/>
          <w:lang w:val="zh-CN"/>
        </w:rPr>
        <w:t>财务管理过程中能严格执行和落实相关制度要求。二是财务岗位设置。我单位财务管理按照有关规定执行，因单位小、人员少，无单独财务部门，财务工作隶属办公室，设置出纳1人，</w:t>
      </w:r>
      <w:r>
        <w:rPr>
          <w:rFonts w:hint="eastAsia" w:eastAsia="仿宋_GB2312"/>
          <w:color w:val="auto"/>
          <w:sz w:val="32"/>
          <w:szCs w:val="32"/>
          <w:lang w:val="en-US" w:eastAsia="zh-CN"/>
        </w:rPr>
        <w:t>外聘</w:t>
      </w:r>
      <w:r>
        <w:rPr>
          <w:rFonts w:hint="eastAsia" w:eastAsia="仿宋_GB2312"/>
          <w:color w:val="auto"/>
          <w:sz w:val="32"/>
          <w:szCs w:val="32"/>
          <w:lang w:val="zh-CN"/>
        </w:rPr>
        <w:t>会计1人，财务工作由班子成员分管，明确了职责权限，并严格实行不相容岗位分离的要求，在自评过程中未发现岗位设置不符合财务管理制度要求的情况。三是资金使用规范。本部门不存在超预算或无预算安排、违规使用“三公”经费、报销不合格等情况。</w:t>
      </w:r>
    </w:p>
    <w:p w14:paraId="23E7E439">
      <w:pPr>
        <w:pageBreakBefore w:val="0"/>
        <w:kinsoku/>
        <w:wordWrap/>
        <w:overflowPunct/>
        <w:topLinePunct w:val="0"/>
        <w:bidi w:val="0"/>
        <w:adjustRightInd/>
        <w:snapToGrid/>
        <w:spacing w:line="578" w:lineRule="exact"/>
        <w:ind w:firstLine="640" w:firstLineChars="200"/>
        <w:jc w:val="both"/>
        <w:textAlignment w:val="auto"/>
        <w:rPr>
          <w:rFonts w:ascii="楷体_GB2312" w:hAnsi="楷体_GB2312" w:eastAsia="楷体_GB2312" w:cs="楷体_GB2312"/>
          <w:color w:val="auto"/>
          <w:kern w:val="0"/>
          <w:sz w:val="32"/>
          <w:szCs w:val="32"/>
          <w:shd w:val="clear" w:color="auto" w:fill="FFFFFF"/>
          <w:lang w:val="zh-CN"/>
        </w:rPr>
      </w:pPr>
      <w:r>
        <w:rPr>
          <w:rFonts w:hint="eastAsia" w:ascii="楷体_GB2312" w:hAnsi="楷体_GB2312" w:eastAsia="楷体_GB2312" w:cs="楷体_GB2312"/>
          <w:color w:val="auto"/>
          <w:kern w:val="0"/>
          <w:sz w:val="32"/>
          <w:szCs w:val="32"/>
          <w:shd w:val="clear" w:color="auto" w:fill="FFFFFF"/>
        </w:rPr>
        <w:t>4.</w:t>
      </w:r>
      <w:r>
        <w:rPr>
          <w:rFonts w:hint="eastAsia" w:ascii="楷体_GB2312" w:hAnsi="楷体_GB2312" w:eastAsia="楷体_GB2312" w:cs="楷体_GB2312"/>
          <w:color w:val="auto"/>
          <w:kern w:val="0"/>
          <w:sz w:val="32"/>
          <w:szCs w:val="32"/>
          <w:shd w:val="clear" w:color="auto" w:fill="FFFFFF"/>
          <w:lang w:val="zh-CN"/>
        </w:rPr>
        <w:t>资产管理。</w:t>
      </w:r>
      <w:r>
        <w:rPr>
          <w:rFonts w:hint="eastAsia" w:eastAsia="仿宋_GB2312"/>
          <w:color w:val="auto"/>
          <w:sz w:val="32"/>
          <w:szCs w:val="32"/>
          <w:lang w:val="zh-CN"/>
        </w:rPr>
        <w:t>我部门将资产管理纳入内控管理制度，合理设置相应岗位，明确岗位的职责权限，安排专人负责资产管理，让资产从购置、到使用、到处置报废等各个环节处于有人问、有人管的监管状态中，确保资产安全和有效使用。</w:t>
      </w:r>
    </w:p>
    <w:p w14:paraId="5071339A">
      <w:pPr>
        <w:pageBreakBefore w:val="0"/>
        <w:kinsoku/>
        <w:wordWrap/>
        <w:overflowPunct/>
        <w:topLinePunct w:val="0"/>
        <w:bidi w:val="0"/>
        <w:adjustRightInd/>
        <w:snapToGrid/>
        <w:spacing w:line="578" w:lineRule="exact"/>
        <w:ind w:firstLine="640" w:firstLineChars="200"/>
        <w:jc w:val="both"/>
        <w:textAlignment w:val="auto"/>
        <w:rPr>
          <w:rFonts w:hint="default" w:ascii="楷体_GB2312" w:hAnsi="楷体_GB2312" w:eastAsia="仿宋_GB2312" w:cs="楷体_GB2312"/>
          <w:color w:val="auto"/>
          <w:kern w:val="0"/>
          <w:sz w:val="32"/>
          <w:szCs w:val="32"/>
          <w:shd w:val="clear" w:color="auto" w:fill="FFFFFF"/>
          <w:lang w:val="en-US" w:eastAsia="zh-CN"/>
        </w:rPr>
      </w:pPr>
      <w:r>
        <w:rPr>
          <w:rFonts w:hint="eastAsia" w:ascii="楷体_GB2312" w:hAnsi="楷体_GB2312" w:eastAsia="楷体_GB2312" w:cs="楷体_GB2312"/>
          <w:color w:val="auto"/>
          <w:kern w:val="0"/>
          <w:sz w:val="32"/>
          <w:szCs w:val="32"/>
          <w:shd w:val="clear" w:color="auto" w:fill="FFFFFF"/>
        </w:rPr>
        <w:t>5.</w:t>
      </w:r>
      <w:r>
        <w:rPr>
          <w:rFonts w:hint="eastAsia" w:ascii="楷体_GB2312" w:hAnsi="楷体_GB2312" w:eastAsia="楷体_GB2312" w:cs="楷体_GB2312"/>
          <w:color w:val="auto"/>
          <w:kern w:val="0"/>
          <w:sz w:val="32"/>
          <w:szCs w:val="32"/>
          <w:shd w:val="clear" w:color="auto" w:fill="FFFFFF"/>
          <w:lang w:val="zh-CN"/>
        </w:rPr>
        <w:t>采购管理。</w:t>
      </w:r>
      <w:r>
        <w:rPr>
          <w:rFonts w:hint="eastAsia" w:eastAsia="仿宋_GB2312"/>
          <w:color w:val="auto"/>
          <w:sz w:val="32"/>
          <w:szCs w:val="32"/>
          <w:lang w:val="en-US" w:eastAsia="zh-CN"/>
        </w:rPr>
        <w:t>区科技局制定了</w:t>
      </w:r>
      <w:r>
        <w:rPr>
          <w:rFonts w:hint="eastAsia" w:eastAsia="仿宋_GB2312"/>
          <w:color w:val="auto"/>
          <w:sz w:val="32"/>
          <w:szCs w:val="32"/>
          <w:lang w:val="zh-CN"/>
        </w:rPr>
        <w:t>《攀枝花市西区科学技术局政府采购管理内部控制制度》，2023年度政府</w:t>
      </w:r>
      <w:r>
        <w:rPr>
          <w:rFonts w:hint="eastAsia" w:eastAsia="仿宋_GB2312"/>
          <w:color w:val="auto"/>
          <w:sz w:val="32"/>
          <w:szCs w:val="32"/>
          <w:lang w:val="en-US" w:eastAsia="zh-CN"/>
        </w:rPr>
        <w:t>采购支出5.59万元，采购方式为框架协议和网上竞价，主要用于科普活动、科技成果转化等工作办公设备更新及补充范。</w:t>
      </w:r>
    </w:p>
    <w:p w14:paraId="58BC9F19">
      <w:pPr>
        <w:pageBreakBefore w:val="0"/>
        <w:kinsoku/>
        <w:wordWrap/>
        <w:overflowPunct/>
        <w:topLinePunct w:val="0"/>
        <w:bidi w:val="0"/>
        <w:adjustRightInd/>
        <w:snapToGrid/>
        <w:ind w:firstLine="643" w:firstLineChars="200"/>
        <w:jc w:val="both"/>
        <w:textAlignment w:val="auto"/>
        <w:rPr>
          <w:rFonts w:eastAsia="仿宋_GB2312"/>
          <w:color w:val="000000" w:themeColor="text1"/>
          <w:sz w:val="32"/>
          <w:szCs w:val="32"/>
          <w:lang w:val="zh-CN"/>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（二）部门预算项目绩效分析。</w:t>
      </w:r>
    </w:p>
    <w:p w14:paraId="3192BAA9">
      <w:pPr>
        <w:pageBreakBefore w:val="0"/>
        <w:kinsoku/>
        <w:wordWrap/>
        <w:overflowPunct/>
        <w:topLinePunct w:val="0"/>
        <w:bidi w:val="0"/>
        <w:adjustRightInd/>
        <w:snapToGrid/>
        <w:ind w:firstLine="640" w:firstLineChars="200"/>
        <w:jc w:val="both"/>
        <w:textAlignment w:val="auto"/>
        <w:rPr>
          <w:rFonts w:hint="eastAsia" w:eastAsia="仿宋_GB2312"/>
          <w:color w:val="auto"/>
          <w:sz w:val="32"/>
          <w:szCs w:val="32"/>
          <w:lang w:val="zh-CN" w:eastAsia="zh-CN"/>
        </w:rPr>
      </w:pPr>
      <w:r>
        <w:rPr>
          <w:rFonts w:hint="eastAsia" w:eastAsia="仿宋_GB2312"/>
          <w:color w:val="auto"/>
          <w:sz w:val="32"/>
          <w:szCs w:val="32"/>
          <w:lang w:val="zh-CN"/>
        </w:rPr>
        <w:t>常年项目绩效分析。</w:t>
      </w:r>
      <w:r>
        <w:rPr>
          <w:rFonts w:hint="eastAsia" w:eastAsia="仿宋_GB2312"/>
          <w:color w:val="auto"/>
          <w:sz w:val="32"/>
          <w:szCs w:val="32"/>
          <w:lang w:val="zh-CN" w:eastAsia="zh-CN"/>
        </w:rPr>
        <w:t>该类项目总数</w:t>
      </w:r>
      <w:r>
        <w:rPr>
          <w:rFonts w:hint="eastAsia" w:eastAsia="仿宋_GB2312"/>
          <w:color w:val="auto"/>
          <w:sz w:val="32"/>
          <w:szCs w:val="32"/>
          <w:lang w:val="en-US" w:eastAsia="zh-CN"/>
        </w:rPr>
        <w:t>31</w:t>
      </w:r>
      <w:r>
        <w:rPr>
          <w:rFonts w:hint="eastAsia" w:eastAsia="仿宋_GB2312"/>
          <w:color w:val="auto"/>
          <w:sz w:val="32"/>
          <w:szCs w:val="32"/>
          <w:lang w:val="zh-CN" w:eastAsia="zh-CN"/>
        </w:rPr>
        <w:t>个，涉及预算总金额</w:t>
      </w:r>
      <w:r>
        <w:rPr>
          <w:rFonts w:hint="eastAsia" w:eastAsia="仿宋_GB2312"/>
          <w:color w:val="auto"/>
          <w:sz w:val="32"/>
          <w:szCs w:val="32"/>
          <w:lang w:val="en-US" w:eastAsia="zh-CN"/>
        </w:rPr>
        <w:t>135.85</w:t>
      </w:r>
      <w:r>
        <w:rPr>
          <w:rFonts w:hint="eastAsia" w:eastAsia="仿宋_GB2312"/>
          <w:color w:val="auto"/>
          <w:sz w:val="32"/>
          <w:szCs w:val="32"/>
          <w:lang w:val="zh-CN" w:eastAsia="zh-CN"/>
        </w:rPr>
        <w:t>万元，</w:t>
      </w:r>
      <w:r>
        <w:rPr>
          <w:rFonts w:hint="eastAsia" w:eastAsia="仿宋_GB2312"/>
          <w:color w:val="auto"/>
          <w:sz w:val="32"/>
          <w:szCs w:val="32"/>
          <w:lang w:val="en-US" w:eastAsia="zh-CN"/>
        </w:rPr>
        <w:t>其中，</w:t>
      </w:r>
      <w:r>
        <w:rPr>
          <w:rFonts w:hint="eastAsia" w:eastAsia="仿宋_GB2312"/>
          <w:color w:val="auto"/>
          <w:sz w:val="32"/>
          <w:szCs w:val="32"/>
          <w:lang w:val="zh-CN" w:eastAsia="zh-CN"/>
        </w:rPr>
        <w:t>人员类项目总数25个，涉及预算总金额115.85万元，特定目标类6个，涉及预算总金额20万元；1—12月预算执行总体进度为</w:t>
      </w:r>
      <w:r>
        <w:rPr>
          <w:rFonts w:hint="eastAsia" w:eastAsia="仿宋_GB2312"/>
          <w:color w:val="auto"/>
          <w:sz w:val="32"/>
          <w:szCs w:val="32"/>
          <w:lang w:val="en-US" w:eastAsia="zh-CN"/>
        </w:rPr>
        <w:t>100</w:t>
      </w:r>
      <w:r>
        <w:rPr>
          <w:rFonts w:hint="eastAsia" w:eastAsia="仿宋_GB2312"/>
          <w:color w:val="auto"/>
          <w:sz w:val="32"/>
          <w:szCs w:val="32"/>
          <w:lang w:val="zh-CN" w:eastAsia="zh-CN"/>
        </w:rPr>
        <w:t>%，其中：预算结余率大于10%的项目共计</w:t>
      </w:r>
      <w:r>
        <w:rPr>
          <w:rFonts w:hint="eastAsia" w:eastAsia="仿宋_GB2312"/>
          <w:color w:val="auto"/>
          <w:sz w:val="32"/>
          <w:szCs w:val="32"/>
          <w:lang w:val="en-US" w:eastAsia="zh-CN"/>
        </w:rPr>
        <w:t>0</w:t>
      </w:r>
      <w:r>
        <w:rPr>
          <w:rFonts w:hint="eastAsia" w:eastAsia="仿宋_GB2312"/>
          <w:color w:val="auto"/>
          <w:sz w:val="32"/>
          <w:szCs w:val="32"/>
          <w:lang w:val="zh-CN" w:eastAsia="zh-CN"/>
        </w:rPr>
        <w:t>个。</w:t>
      </w:r>
    </w:p>
    <w:p w14:paraId="0C0F3B4C">
      <w:pPr>
        <w:pageBreakBefore w:val="0"/>
        <w:kinsoku/>
        <w:wordWrap/>
        <w:overflowPunct/>
        <w:topLinePunct w:val="0"/>
        <w:bidi w:val="0"/>
        <w:adjustRightInd/>
        <w:snapToGrid/>
        <w:ind w:firstLine="640" w:firstLineChars="200"/>
        <w:jc w:val="both"/>
        <w:textAlignment w:val="auto"/>
        <w:rPr>
          <w:rFonts w:eastAsia="仿宋_GB2312"/>
          <w:color w:val="auto"/>
          <w:sz w:val="32"/>
          <w:szCs w:val="32"/>
          <w:lang w:val="zh-CN"/>
        </w:rPr>
      </w:pPr>
      <w:r>
        <w:rPr>
          <w:rFonts w:hint="eastAsia" w:eastAsia="仿宋_GB2312"/>
          <w:color w:val="auto"/>
          <w:sz w:val="32"/>
          <w:szCs w:val="32"/>
          <w:lang w:val="zh-CN"/>
        </w:rPr>
        <w:t>阶段（一次性）项目绩效分析。该类项目总数</w:t>
      </w:r>
      <w:r>
        <w:rPr>
          <w:rFonts w:hint="eastAsia" w:eastAsia="仿宋_GB2312"/>
          <w:color w:val="auto"/>
          <w:sz w:val="32"/>
          <w:szCs w:val="32"/>
          <w:lang w:val="en-US" w:eastAsia="zh-CN"/>
        </w:rPr>
        <w:t>8</w:t>
      </w:r>
      <w:r>
        <w:rPr>
          <w:rFonts w:hint="eastAsia" w:eastAsia="仿宋_GB2312"/>
          <w:color w:val="auto"/>
          <w:sz w:val="32"/>
          <w:szCs w:val="32"/>
          <w:lang w:val="zh-CN"/>
        </w:rPr>
        <w:t>个，涉及预算总金额</w:t>
      </w:r>
      <w:r>
        <w:rPr>
          <w:rFonts w:hint="eastAsia" w:eastAsia="仿宋_GB2312"/>
          <w:color w:val="auto"/>
          <w:sz w:val="32"/>
          <w:szCs w:val="32"/>
          <w:lang w:val="en-US" w:eastAsia="zh-CN"/>
        </w:rPr>
        <w:t>220.5</w:t>
      </w:r>
      <w:r>
        <w:rPr>
          <w:rFonts w:hint="eastAsia" w:eastAsia="仿宋_GB2312"/>
          <w:color w:val="auto"/>
          <w:sz w:val="32"/>
          <w:szCs w:val="32"/>
          <w:lang w:val="zh-CN"/>
        </w:rPr>
        <w:t>万元，1—12月预算执行总体进度为</w:t>
      </w:r>
      <w:r>
        <w:rPr>
          <w:rFonts w:hint="eastAsia" w:eastAsia="仿宋_GB2312"/>
          <w:color w:val="auto"/>
          <w:sz w:val="32"/>
          <w:szCs w:val="32"/>
          <w:lang w:val="en-US" w:eastAsia="zh-CN"/>
        </w:rPr>
        <w:t>100</w:t>
      </w:r>
      <w:r>
        <w:rPr>
          <w:rFonts w:hint="eastAsia" w:eastAsia="仿宋_GB2312"/>
          <w:color w:val="auto"/>
          <w:sz w:val="32"/>
          <w:szCs w:val="32"/>
          <w:lang w:val="zh-CN"/>
        </w:rPr>
        <w:t>%，其中：预算结余率大于10%的项目共计</w:t>
      </w:r>
      <w:r>
        <w:rPr>
          <w:rFonts w:hint="eastAsia" w:eastAsia="仿宋_GB2312"/>
          <w:color w:val="auto"/>
          <w:sz w:val="32"/>
          <w:szCs w:val="32"/>
          <w:lang w:val="en-US" w:eastAsia="zh-CN"/>
        </w:rPr>
        <w:t>0</w:t>
      </w:r>
      <w:r>
        <w:rPr>
          <w:rFonts w:hint="eastAsia" w:eastAsia="仿宋_GB2312"/>
          <w:color w:val="auto"/>
          <w:sz w:val="32"/>
          <w:szCs w:val="32"/>
          <w:lang w:val="zh-CN"/>
        </w:rPr>
        <w:t>个。</w:t>
      </w:r>
    </w:p>
    <w:p w14:paraId="7A8AC749">
      <w:pPr>
        <w:pageBreakBefore w:val="0"/>
        <w:kinsoku/>
        <w:wordWrap/>
        <w:overflowPunct/>
        <w:topLinePunct w:val="0"/>
        <w:bidi w:val="0"/>
        <w:adjustRightInd/>
        <w:snapToGrid/>
        <w:ind w:firstLine="640" w:firstLineChars="200"/>
        <w:jc w:val="both"/>
        <w:textAlignment w:val="auto"/>
        <w:rPr>
          <w:rFonts w:eastAsia="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1.项目决策。</w:t>
      </w:r>
      <w:r>
        <w:rPr>
          <w:rFonts w:hint="eastAsia" w:eastAsia="仿宋_GB2312"/>
          <w:color w:val="000000" w:themeColor="text1"/>
          <w:sz w:val="32"/>
          <w:szCs w:val="32"/>
          <w:lang w:val="zh-CN"/>
          <w14:textFill>
            <w14:solidFill>
              <w14:schemeClr w14:val="tx1"/>
            </w14:solidFill>
          </w14:textFill>
        </w:rPr>
        <w:t>一是决策程序。2023年度</w:t>
      </w:r>
      <w:r>
        <w:rPr>
          <w:rFonts w:hint="eastAsia" w:eastAsia="仿宋_GB2312"/>
          <w:color w:val="000000" w:themeColor="text1"/>
          <w:sz w:val="32"/>
          <w:szCs w:val="32"/>
          <w:lang w:val="en-US" w:eastAsia="zh-CN"/>
          <w14:textFill>
            <w14:solidFill>
              <w14:schemeClr w14:val="tx1"/>
            </w14:solidFill>
          </w14:textFill>
        </w:rPr>
        <w:t>区科技局</w:t>
      </w:r>
      <w:r>
        <w:rPr>
          <w:rFonts w:hint="eastAsia" w:eastAsia="仿宋_GB2312"/>
          <w:color w:val="000000" w:themeColor="text1"/>
          <w:sz w:val="32"/>
          <w:szCs w:val="32"/>
          <w:lang w:val="zh-CN"/>
          <w14:textFill>
            <w14:solidFill>
              <w14:schemeClr w14:val="tx1"/>
            </w14:solidFill>
          </w14:textFill>
        </w:rPr>
        <w:t>按照</w:t>
      </w:r>
      <w:r>
        <w:rPr>
          <w:rFonts w:hint="eastAsia" w:eastAsia="仿宋_GB2312"/>
          <w:color w:val="000000" w:themeColor="text1"/>
          <w:sz w:val="32"/>
          <w:szCs w:val="32"/>
          <w:lang w:val="en-US" w:eastAsia="zh-CN"/>
          <w14:textFill>
            <w14:solidFill>
              <w14:schemeClr w14:val="tx1"/>
            </w14:solidFill>
          </w14:textFill>
        </w:rPr>
        <w:t>区</w:t>
      </w:r>
      <w:r>
        <w:rPr>
          <w:rFonts w:hint="eastAsia" w:eastAsia="仿宋_GB2312"/>
          <w:color w:val="000000" w:themeColor="text1"/>
          <w:sz w:val="32"/>
          <w:szCs w:val="32"/>
          <w:lang w:val="zh-CN"/>
          <w14:textFill>
            <w14:solidFill>
              <w14:schemeClr w14:val="tx1"/>
            </w14:solidFill>
          </w14:textFill>
        </w:rPr>
        <w:t>本级预算绩效管理工作要求编制了《部门预算项目支出绩效目标表》，绩效目标申报充分与业务工作结合，保障各指标目标设定合理、科学、可行。二是目标设置。部门整体支出绩效目标结合部门职责职能和年度重点工作对绩效目标进行分解和细化，部门项目支出绩效目标能与计划期内的任务量、预算安排的资金量相匹配，能根据项目实施内容细化量化，目标设置较合理，编制质量较好，较符合预算编制目标要求。三是项目入库。</w:t>
      </w:r>
      <w:r>
        <w:rPr>
          <w:rFonts w:hint="eastAsia" w:eastAsia="仿宋_GB2312"/>
          <w:color w:val="000000" w:themeColor="text1"/>
          <w:sz w:val="32"/>
          <w:szCs w:val="32"/>
          <w:lang w:val="en-US" w:eastAsia="zh-CN"/>
          <w14:textFill>
            <w14:solidFill>
              <w14:schemeClr w14:val="tx1"/>
            </w14:solidFill>
          </w14:textFill>
        </w:rPr>
        <w:t>区科技局</w:t>
      </w:r>
      <w:r>
        <w:rPr>
          <w:rFonts w:hint="eastAsia" w:eastAsia="仿宋_GB2312"/>
          <w:color w:val="000000" w:themeColor="text1"/>
          <w:sz w:val="32"/>
          <w:szCs w:val="32"/>
          <w:lang w:val="zh-CN"/>
          <w14:textFill>
            <w14:solidFill>
              <w14:schemeClr w14:val="tx1"/>
            </w14:solidFill>
          </w14:textFill>
        </w:rPr>
        <w:t>在规定时间之内在预算一体化系统中完成项目入库。</w:t>
      </w:r>
    </w:p>
    <w:p w14:paraId="1DABDD5D">
      <w:pPr>
        <w:pageBreakBefore w:val="0"/>
        <w:kinsoku/>
        <w:wordWrap/>
        <w:overflowPunct/>
        <w:topLinePunct w:val="0"/>
        <w:bidi w:val="0"/>
        <w:adjustRightInd/>
        <w:snapToGrid/>
        <w:ind w:firstLine="640" w:firstLineChars="200"/>
        <w:jc w:val="both"/>
        <w:textAlignment w:val="auto"/>
        <w:rPr>
          <w:rFonts w:eastAsia="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2.项目执行。</w:t>
      </w:r>
      <w:r>
        <w:rPr>
          <w:rFonts w:hint="eastAsia" w:eastAsia="仿宋_GB2312"/>
          <w:color w:val="000000" w:themeColor="text1"/>
          <w:sz w:val="32"/>
          <w:szCs w:val="32"/>
          <w:lang w:val="zh-CN"/>
          <w14:textFill>
            <w14:solidFill>
              <w14:schemeClr w14:val="tx1"/>
            </w14:solidFill>
          </w14:textFill>
        </w:rPr>
        <w:t>一</w:t>
      </w:r>
      <w:r>
        <w:rPr>
          <w:rFonts w:hint="eastAsia" w:eastAsia="仿宋_GB2312"/>
          <w:color w:val="auto"/>
          <w:sz w:val="32"/>
          <w:szCs w:val="32"/>
          <w:lang w:val="zh-CN"/>
        </w:rPr>
        <w:t>是</w:t>
      </w:r>
      <w:r>
        <w:rPr>
          <w:rFonts w:hint="eastAsia" w:eastAsia="仿宋_GB2312"/>
          <w:color w:val="auto"/>
          <w:sz w:val="32"/>
          <w:szCs w:val="32"/>
          <w:lang w:val="en-US" w:eastAsia="zh-CN"/>
        </w:rPr>
        <w:t>资金</w:t>
      </w:r>
      <w:r>
        <w:rPr>
          <w:rFonts w:hint="eastAsia" w:eastAsia="仿宋_GB2312"/>
          <w:color w:val="auto"/>
          <w:sz w:val="32"/>
          <w:szCs w:val="32"/>
          <w:lang w:val="zh-CN"/>
        </w:rPr>
        <w:t>执行。</w:t>
      </w:r>
      <w:r>
        <w:rPr>
          <w:rFonts w:hint="eastAsia" w:eastAsia="仿宋_GB2312"/>
          <w:color w:val="auto"/>
          <w:sz w:val="32"/>
          <w:szCs w:val="32"/>
          <w:lang w:val="en-US" w:eastAsia="zh-CN"/>
        </w:rPr>
        <w:t>区科技局</w:t>
      </w:r>
      <w:r>
        <w:rPr>
          <w:rFonts w:hint="eastAsia" w:eastAsia="仿宋_GB2312"/>
          <w:color w:val="auto"/>
          <w:sz w:val="32"/>
          <w:szCs w:val="32"/>
          <w:lang w:val="zh-CN"/>
        </w:rPr>
        <w:t>项目资金能</w:t>
      </w:r>
      <w:r>
        <w:rPr>
          <w:rFonts w:hint="eastAsia" w:eastAsia="仿宋_GB2312"/>
          <w:color w:val="000000" w:themeColor="text1"/>
          <w:sz w:val="32"/>
          <w:szCs w:val="32"/>
          <w:lang w:val="zh-CN"/>
          <w14:textFill>
            <w14:solidFill>
              <w14:schemeClr w14:val="tx1"/>
            </w14:solidFill>
          </w14:textFill>
        </w:rPr>
        <w:t>按照设定的绩效目标、项目实施内容使用，未发现项目资金实际列支内容与绩效目标设置方向不相符的情况。二是项目调整。项目执行中，因具体项目实施条件发生变化，经</w:t>
      </w:r>
      <w:r>
        <w:rPr>
          <w:rFonts w:hint="eastAsia" w:eastAsia="仿宋_GB2312"/>
          <w:color w:val="000000" w:themeColor="text1"/>
          <w:sz w:val="32"/>
          <w:szCs w:val="32"/>
          <w:lang w:val="en-US" w:eastAsia="zh-CN"/>
          <w14:textFill>
            <w14:solidFill>
              <w14:schemeClr w14:val="tx1"/>
            </w14:solidFill>
          </w14:textFill>
        </w:rPr>
        <w:t>向区</w:t>
      </w:r>
      <w:r>
        <w:rPr>
          <w:rFonts w:hint="eastAsia" w:eastAsia="仿宋_GB2312"/>
          <w:color w:val="000000" w:themeColor="text1"/>
          <w:sz w:val="32"/>
          <w:szCs w:val="32"/>
          <w:lang w:val="zh-CN"/>
          <w14:textFill>
            <w14:solidFill>
              <w14:schemeClr w14:val="tx1"/>
            </w14:solidFill>
          </w14:textFill>
        </w:rPr>
        <w:t>财政</w:t>
      </w:r>
      <w:r>
        <w:rPr>
          <w:rFonts w:hint="eastAsia" w:eastAsia="仿宋_GB2312"/>
          <w:color w:val="000000" w:themeColor="text1"/>
          <w:sz w:val="32"/>
          <w:szCs w:val="32"/>
          <w:lang w:val="en-US" w:eastAsia="zh-CN"/>
          <w14:textFill>
            <w14:solidFill>
              <w14:schemeClr w14:val="tx1"/>
            </w14:solidFill>
          </w14:textFill>
        </w:rPr>
        <w:t>局申请</w:t>
      </w:r>
      <w:r>
        <w:rPr>
          <w:rFonts w:hint="eastAsia" w:eastAsia="仿宋_GB2312"/>
          <w:color w:val="000000" w:themeColor="text1"/>
          <w:sz w:val="32"/>
          <w:szCs w:val="32"/>
          <w:lang w:val="zh-CN"/>
          <w14:textFill>
            <w14:solidFill>
              <w14:schemeClr w14:val="tx1"/>
            </w14:solidFill>
          </w14:textFill>
        </w:rPr>
        <w:t>，按照预算管理规定，预算项目执行内容进行了必要调整。三是执行结果。整体项目执行达到预期目标，符合相关规定。</w:t>
      </w:r>
    </w:p>
    <w:p w14:paraId="0AA35D1C">
      <w:pPr>
        <w:pageBreakBefore w:val="0"/>
        <w:kinsoku/>
        <w:wordWrap/>
        <w:overflowPunct/>
        <w:topLinePunct w:val="0"/>
        <w:bidi w:val="0"/>
        <w:adjustRightInd/>
        <w:snapToGrid/>
        <w:ind w:firstLine="640" w:firstLineChars="200"/>
        <w:jc w:val="both"/>
        <w:textAlignment w:val="auto"/>
        <w:rPr>
          <w:rFonts w:eastAsia="仿宋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3.目标实现。</w:t>
      </w:r>
      <w:r>
        <w:rPr>
          <w:rFonts w:hint="eastAsia" w:eastAsia="仿宋_GB2312"/>
          <w:color w:val="000000" w:themeColor="text1"/>
          <w:sz w:val="32"/>
          <w:szCs w:val="32"/>
          <w:lang w:val="zh-CN"/>
          <w14:textFill>
            <w14:solidFill>
              <w14:schemeClr w14:val="tx1"/>
            </w14:solidFill>
          </w14:textFill>
        </w:rPr>
        <w:t>部门预算项目均已完成数量指标，部门预算阶段项目已完成绩效目标偏离度均控制在30%以内，部门预算项目效益指标均已完成。</w:t>
      </w:r>
    </w:p>
    <w:p w14:paraId="460F9CFB">
      <w:pPr>
        <w:pageBreakBefore w:val="0"/>
        <w:kinsoku/>
        <w:wordWrap/>
        <w:overflowPunct/>
        <w:topLinePunct w:val="0"/>
        <w:bidi w:val="0"/>
        <w:adjustRightInd/>
        <w:snapToGrid/>
        <w:ind w:firstLine="643" w:firstLineChars="200"/>
        <w:jc w:val="both"/>
        <w:textAlignment w:val="auto"/>
        <w:rPr>
          <w:rFonts w:eastAsia="仿宋_GB2312"/>
          <w:color w:val="000000" w:themeColor="text1"/>
          <w:sz w:val="32"/>
          <w:szCs w:val="32"/>
          <w:lang w:val="zh-CN"/>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（三）重点领域绩效分析。</w:t>
      </w:r>
      <w:r>
        <w:rPr>
          <w:rFonts w:hint="eastAsia" w:eastAsia="仿宋_GB2312"/>
          <w:color w:val="000000" w:themeColor="text1"/>
          <w:sz w:val="32"/>
          <w:szCs w:val="32"/>
          <w:lang w:val="zh-CN"/>
          <w14:textFill>
            <w14:solidFill>
              <w14:schemeClr w14:val="tx1"/>
            </w14:solidFill>
          </w14:textFill>
        </w:rPr>
        <w:t>2023年度，</w:t>
      </w:r>
      <w:r>
        <w:rPr>
          <w:rFonts w:hint="eastAsia" w:eastAsia="仿宋_GB2312"/>
          <w:color w:val="000000" w:themeColor="text1"/>
          <w:sz w:val="32"/>
          <w:szCs w:val="32"/>
          <w:lang w:val="en-US" w:eastAsia="zh-CN"/>
          <w14:textFill>
            <w14:solidFill>
              <w14:schemeClr w14:val="tx1"/>
            </w14:solidFill>
          </w14:textFill>
        </w:rPr>
        <w:t>区</w:t>
      </w:r>
      <w:r>
        <w:rPr>
          <w:rFonts w:hint="eastAsia" w:eastAsia="仿宋_GB2312"/>
          <w:color w:val="000000" w:themeColor="text1"/>
          <w:sz w:val="32"/>
          <w:szCs w:val="32"/>
          <w:lang w:val="zh-CN"/>
          <w14:textFill>
            <w14:solidFill>
              <w14:schemeClr w14:val="tx1"/>
            </w14:solidFill>
          </w14:textFill>
        </w:rPr>
        <w:t>科技局政府</w:t>
      </w:r>
      <w:r>
        <w:rPr>
          <w:rFonts w:hint="eastAsia" w:eastAsia="仿宋_GB2312"/>
          <w:color w:val="000000" w:themeColor="text1"/>
          <w:sz w:val="32"/>
          <w:szCs w:val="32"/>
          <w:lang w:val="zh-CN" w:eastAsia="zh-CN"/>
          <w14:textFill>
            <w14:solidFill>
              <w14:schemeClr w14:val="tx1"/>
            </w14:solidFill>
          </w14:textFill>
        </w:rPr>
        <w:t>采购支出5.59万元，主要用于科普活动、科技成果转化等工作办公设备更新及补充，采购合规合法，资金使用规范。</w:t>
      </w:r>
    </w:p>
    <w:p w14:paraId="613E08D1">
      <w:pPr>
        <w:pageBreakBefore w:val="0"/>
        <w:kinsoku/>
        <w:wordWrap/>
        <w:overflowPunct/>
        <w:topLinePunct w:val="0"/>
        <w:bidi w:val="0"/>
        <w:adjustRightInd/>
        <w:snapToGrid/>
        <w:ind w:firstLine="643" w:firstLineChars="200"/>
        <w:jc w:val="both"/>
        <w:textAlignment w:val="auto"/>
        <w:rPr>
          <w:rFonts w:eastAsia="仿宋_GB2312"/>
          <w:color w:val="FF0000"/>
          <w:sz w:val="32"/>
          <w:szCs w:val="32"/>
          <w:lang w:val="zh-CN"/>
        </w:rPr>
      </w:pPr>
      <w:r>
        <w:rPr>
          <w:rFonts w:hint="eastAsia" w:ascii="楷体_GB2312" w:eastAsia="楷体_GB2312"/>
          <w:b/>
          <w:color w:val="auto"/>
          <w:sz w:val="32"/>
          <w:szCs w:val="32"/>
        </w:rPr>
        <w:t>（四）绩效结果应用情况。</w:t>
      </w:r>
      <w:r>
        <w:rPr>
          <w:rFonts w:hint="default" w:ascii="Times New Roman" w:hAnsi="Times New Roman" w:eastAsia="仿宋_GB2312" w:cs="Times New Roman"/>
          <w:color w:val="auto"/>
          <w:kern w:val="0"/>
          <w:sz w:val="32"/>
          <w:szCs w:val="32"/>
          <w:shd w:val="clear" w:color="auto" w:fill="FFFFFF"/>
          <w:lang w:val="zh-CN" w:eastAsia="zh-CN"/>
        </w:rPr>
        <w:t>严格对照项目支出绩效评价发现的问题，查找管理漏洞，强化结果应用，将评价结果用于制定政策、完善内控管理制度，用于改进项目管理、财务管理和资金使用管理，用于调整预算安排方式、增减预算规模和优化支出结构，不断提高资金使用效益。并按要求将部门整体绩效自评情况和自行组织的评价情况向社会公开。</w:t>
      </w:r>
    </w:p>
    <w:p w14:paraId="3120C888">
      <w:pPr>
        <w:pageBreakBefore w:val="0"/>
        <w:kinsoku/>
        <w:wordWrap/>
        <w:overflowPunct/>
        <w:topLinePunct w:val="0"/>
        <w:bidi w:val="0"/>
        <w:adjustRightInd/>
        <w:snapToGrid/>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四、评价结论及建议</w:t>
      </w:r>
    </w:p>
    <w:p w14:paraId="14827F96">
      <w:pPr>
        <w:widowControl/>
        <w:adjustRightInd w:val="0"/>
        <w:snapToGrid w:val="0"/>
        <w:spacing w:line="560" w:lineRule="exact"/>
        <w:ind w:firstLine="643" w:firstLineChars="200"/>
        <w:contextualSpacing/>
        <w:jc w:val="both"/>
        <w:rPr>
          <w:rFonts w:eastAsia="仿宋_GB2312"/>
          <w:color w:val="auto"/>
          <w:sz w:val="32"/>
          <w:szCs w:val="32"/>
          <w:lang w:val="zh-CN"/>
        </w:rPr>
      </w:pPr>
      <w:r>
        <w:rPr>
          <w:rFonts w:hint="eastAsia" w:ascii="楷体_GB2312" w:eastAsia="楷体_GB2312"/>
          <w:b/>
          <w:color w:val="auto"/>
          <w:sz w:val="32"/>
          <w:szCs w:val="32"/>
        </w:rPr>
        <w:t>（一）评价结论。</w:t>
      </w:r>
      <w:r>
        <w:rPr>
          <w:rFonts w:hint="default" w:ascii="Times New Roman" w:hAnsi="Times New Roman" w:eastAsia="仿宋_GB2312" w:cs="Times New Roman"/>
          <w:color w:val="auto"/>
          <w:kern w:val="0"/>
          <w:sz w:val="32"/>
          <w:szCs w:val="32"/>
          <w:shd w:val="clear" w:color="auto" w:fill="FFFFFF"/>
          <w:lang w:val="zh-CN" w:eastAsia="zh-CN"/>
        </w:rPr>
        <w:t>区科技局严格按照财经纪律和财务管理制度管理财务，保障项目经费专款专用，人员经费精准发放，没有发生违法违规的现象。一是单位预算编制准确，部门整体绩效目标编制完整、合理，项目绩效目标编制明确；二是资金监管到位，资金管理制度较为完善，经费开支按用途使用合理，做到专账专管,专款专用，支出管理规范；</w:t>
      </w:r>
      <w:r>
        <w:rPr>
          <w:rFonts w:hint="default" w:ascii="Times New Roman" w:hAnsi="Times New Roman" w:eastAsia="仿宋_GB2312" w:cs="Times New Roman"/>
          <w:color w:val="auto"/>
          <w:kern w:val="0"/>
          <w:sz w:val="32"/>
          <w:szCs w:val="32"/>
          <w:shd w:val="clear" w:color="auto" w:fill="FFFFFF"/>
          <w:lang w:val="en-US" w:eastAsia="zh-CN"/>
        </w:rPr>
        <w:t>三</w:t>
      </w:r>
      <w:r>
        <w:rPr>
          <w:rFonts w:hint="default" w:ascii="Times New Roman" w:hAnsi="Times New Roman" w:eastAsia="仿宋_GB2312" w:cs="Times New Roman"/>
          <w:color w:val="auto"/>
          <w:kern w:val="0"/>
          <w:sz w:val="32"/>
          <w:szCs w:val="32"/>
          <w:shd w:val="clear" w:color="auto" w:fill="FFFFFF"/>
          <w:lang w:val="zh-CN" w:eastAsia="zh-CN"/>
        </w:rPr>
        <w:t>是账务核算到位，会计核算和账务处理规范，会计资料完整。</w:t>
      </w:r>
    </w:p>
    <w:p w14:paraId="66857EC4">
      <w:pPr>
        <w:pageBreakBefore w:val="0"/>
        <w:kinsoku/>
        <w:wordWrap/>
        <w:overflowPunct/>
        <w:topLinePunct w:val="0"/>
        <w:bidi w:val="0"/>
        <w:adjustRightInd/>
        <w:snapToGrid/>
        <w:ind w:firstLine="643" w:firstLineChars="200"/>
        <w:jc w:val="both"/>
        <w:textAlignment w:val="auto"/>
        <w:rPr>
          <w:rFonts w:eastAsia="仿宋_GB2312"/>
          <w:color w:val="auto"/>
          <w:sz w:val="32"/>
          <w:szCs w:val="32"/>
          <w:lang w:val="zh-CN"/>
        </w:rPr>
      </w:pPr>
      <w:r>
        <w:rPr>
          <w:rFonts w:hint="eastAsia" w:ascii="楷体_GB2312" w:eastAsia="楷体_GB2312"/>
          <w:b/>
          <w:color w:val="auto"/>
          <w:sz w:val="32"/>
          <w:szCs w:val="32"/>
        </w:rPr>
        <w:t>（二）存在问题。</w:t>
      </w:r>
      <w:r>
        <w:rPr>
          <w:rFonts w:hint="eastAsia" w:ascii="Times New Roman" w:hAnsi="Times New Roman" w:eastAsia="仿宋_GB2312" w:cs="Times New Roman"/>
          <w:color w:val="auto"/>
          <w:kern w:val="0"/>
          <w:sz w:val="32"/>
          <w:szCs w:val="32"/>
          <w:shd w:val="clear" w:color="auto" w:fill="FFFFFF"/>
          <w:lang w:val="zh-CN" w:eastAsia="zh-CN"/>
        </w:rPr>
        <w:t>部分项目资金使用进度滞后。</w:t>
      </w:r>
    </w:p>
    <w:p w14:paraId="707EC6B5">
      <w:pPr>
        <w:pageBreakBefore w:val="0"/>
        <w:kinsoku/>
        <w:wordWrap/>
        <w:overflowPunct/>
        <w:topLinePunct w:val="0"/>
        <w:bidi w:val="0"/>
        <w:adjustRightInd/>
        <w:snapToGrid/>
        <w:ind w:firstLine="643" w:firstLineChars="200"/>
        <w:jc w:val="both"/>
        <w:textAlignment w:val="auto"/>
        <w:rPr>
          <w:rFonts w:eastAsia="仿宋_GB2312"/>
          <w:color w:val="auto"/>
          <w:sz w:val="32"/>
          <w:szCs w:val="32"/>
          <w:lang w:val="zh-CN"/>
        </w:rPr>
      </w:pPr>
      <w:r>
        <w:rPr>
          <w:rFonts w:hint="eastAsia" w:ascii="楷体_GB2312" w:eastAsia="楷体_GB2312"/>
          <w:b/>
          <w:color w:val="auto"/>
          <w:sz w:val="32"/>
          <w:szCs w:val="32"/>
        </w:rPr>
        <w:t>（三）改进建议。</w:t>
      </w:r>
      <w:r>
        <w:rPr>
          <w:rFonts w:hint="default" w:ascii="Times New Roman" w:hAnsi="Times New Roman" w:eastAsia="仿宋_GB2312" w:cs="Times New Roman"/>
          <w:color w:val="auto"/>
          <w:kern w:val="0"/>
          <w:sz w:val="32"/>
          <w:szCs w:val="32"/>
          <w:shd w:val="clear" w:color="auto" w:fill="FFFFFF"/>
          <w:lang w:val="en-US" w:eastAsia="zh-CN"/>
        </w:rPr>
        <w:t>进一步加强项目资金管理，提高资金的使用效率。</w:t>
      </w:r>
    </w:p>
    <w:p w14:paraId="4157C227">
      <w:pPr>
        <w:pageBreakBefore w:val="0"/>
        <w:kinsoku/>
        <w:wordWrap/>
        <w:overflowPunct/>
        <w:topLinePunct w:val="0"/>
        <w:bidi w:val="0"/>
        <w:adjustRightInd/>
        <w:snapToGrid/>
        <w:ind w:firstLine="640" w:firstLineChars="200"/>
        <w:jc w:val="both"/>
        <w:textAlignment w:val="auto"/>
        <w:rPr>
          <w:rFonts w:hint="eastAsia" w:ascii="Times New Roman" w:hAnsi="Times New Roman" w:eastAsia="仿宋_GB2312" w:cs="Times New Roman"/>
          <w:color w:val="auto"/>
          <w:kern w:val="0"/>
          <w:sz w:val="32"/>
          <w:szCs w:val="32"/>
          <w:shd w:val="clear" w:color="auto" w:fill="FFFFFF"/>
          <w:lang w:val="zh-CN" w:eastAsia="zh-CN"/>
        </w:rPr>
      </w:pPr>
    </w:p>
    <w:p w14:paraId="28A41D10">
      <w:pPr>
        <w:pageBreakBefore w:val="0"/>
        <w:kinsoku/>
        <w:wordWrap/>
        <w:overflowPunct/>
        <w:topLinePunct w:val="0"/>
        <w:bidi w:val="0"/>
        <w:adjustRightInd/>
        <w:snapToGrid/>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zh-CN" w:eastAsia="zh-CN"/>
        </w:rPr>
      </w:pPr>
      <w:r>
        <w:rPr>
          <w:rFonts w:hint="eastAsia" w:ascii="Times New Roman" w:hAnsi="Times New Roman" w:eastAsia="仿宋_GB2312" w:cs="Times New Roman"/>
          <w:color w:val="auto"/>
          <w:kern w:val="0"/>
          <w:sz w:val="32"/>
          <w:szCs w:val="32"/>
          <w:shd w:val="clear" w:color="auto" w:fill="FFFFFF"/>
          <w:lang w:val="zh-CN" w:eastAsia="zh-CN"/>
        </w:rPr>
        <w:t>附表：</w:t>
      </w:r>
      <w:r>
        <w:rPr>
          <w:rFonts w:hint="eastAsia" w:ascii="Times New Roman" w:hAnsi="Times New Roman" w:eastAsia="仿宋_GB2312" w:cs="Times New Roman"/>
          <w:color w:val="auto"/>
          <w:kern w:val="0"/>
          <w:sz w:val="32"/>
          <w:szCs w:val="32"/>
          <w:shd w:val="clear" w:color="auto" w:fill="FFFFFF"/>
          <w:lang w:val="en-US" w:eastAsia="zh-CN"/>
        </w:rPr>
        <w:t>部门</w:t>
      </w:r>
      <w:r>
        <w:rPr>
          <w:rFonts w:hint="eastAsia" w:ascii="Times New Roman" w:hAnsi="Times New Roman" w:eastAsia="仿宋_GB2312" w:cs="Times New Roman"/>
          <w:color w:val="auto"/>
          <w:kern w:val="0"/>
          <w:sz w:val="32"/>
          <w:szCs w:val="32"/>
          <w:shd w:val="clear" w:color="auto" w:fill="FFFFFF"/>
          <w:lang w:val="zh-CN" w:eastAsia="zh-CN"/>
        </w:rPr>
        <w:t>预算项目支出绩效自评表（2023年度）</w:t>
      </w:r>
    </w:p>
    <w:p w14:paraId="24FF12E1">
      <w:pPr>
        <w:pageBreakBefore w:val="0"/>
        <w:kinsoku/>
        <w:wordWrap/>
        <w:overflowPunct/>
        <w:topLinePunct w:val="0"/>
        <w:bidi w:val="0"/>
        <w:adjustRightInd/>
        <w:snapToGrid/>
        <w:jc w:val="both"/>
        <w:textAlignment w:val="auto"/>
        <w:rPr>
          <w:rFonts w:ascii="黑体" w:hAnsi="黑体" w:eastAsia="黑体"/>
          <w:sz w:val="32"/>
          <w:szCs w:val="32"/>
        </w:rPr>
      </w:pPr>
      <w:r>
        <w:rPr>
          <w:rFonts w:hint="eastAsia" w:ascii="黑体" w:hAnsi="黑体" w:eastAsia="黑体"/>
          <w:sz w:val="32"/>
          <w:szCs w:val="32"/>
        </w:rPr>
        <w:t>附件2</w:t>
      </w:r>
    </w:p>
    <w:p w14:paraId="6DD05B8C">
      <w:pPr>
        <w:pStyle w:val="36"/>
        <w:keepNext w:val="0"/>
        <w:keepLines w:val="0"/>
        <w:pageBreakBefore w:val="0"/>
        <w:widowControl w:val="0"/>
        <w:kinsoku/>
        <w:wordWrap/>
        <w:overflowPunct/>
        <w:topLinePunct w:val="0"/>
        <w:autoSpaceDE/>
        <w:autoSpaceDN/>
        <w:bidi w:val="0"/>
        <w:adjustRightInd/>
        <w:snapToGrid/>
        <w:spacing w:line="300" w:lineRule="auto"/>
        <w:ind w:left="0" w:leftChars="0"/>
        <w:jc w:val="center"/>
        <w:textAlignment w:val="auto"/>
        <w:rPr>
          <w:rFonts w:hint="default" w:ascii="Times New Roman" w:hAnsi="Times New Roman" w:eastAsia="方正小标宋_GBK" w:cs="Times New Roman"/>
          <w:color w:val="auto"/>
          <w:spacing w:val="-17"/>
          <w:kern w:val="2"/>
          <w:sz w:val="44"/>
          <w:szCs w:val="44"/>
          <w:highlight w:val="none"/>
          <w:lang w:val="en-US" w:eastAsia="zh-CN"/>
        </w:rPr>
      </w:pPr>
      <w:r>
        <w:rPr>
          <w:rFonts w:hint="default" w:ascii="Times New Roman" w:hAnsi="Times New Roman" w:eastAsia="方正小标宋_GBK" w:cs="Times New Roman"/>
          <w:color w:val="auto"/>
          <w:spacing w:val="-17"/>
          <w:kern w:val="2"/>
          <w:sz w:val="44"/>
          <w:szCs w:val="44"/>
          <w:highlight w:val="none"/>
          <w:lang w:val="en-US" w:eastAsia="zh-CN"/>
        </w:rPr>
        <w:t>四川省科技计划项目专项资金项目绩效评价报告</w:t>
      </w:r>
    </w:p>
    <w:p w14:paraId="69591F69">
      <w:pPr>
        <w:keepNext w:val="0"/>
        <w:keepLines w:val="0"/>
        <w:pageBreakBefore w:val="0"/>
        <w:widowControl/>
        <w:numPr>
          <w:ilvl w:val="0"/>
          <w:numId w:val="0"/>
        </w:numPr>
        <w:kinsoku/>
        <w:wordWrap/>
        <w:overflowPunct/>
        <w:topLinePunct w:val="0"/>
        <w:autoSpaceDE/>
        <w:autoSpaceDN/>
        <w:bidi w:val="0"/>
        <w:adjustRightInd/>
        <w:snapToGrid/>
        <w:spacing w:line="300" w:lineRule="auto"/>
        <w:ind w:left="0" w:leftChars="0" w:firstLine="960" w:firstLineChars="300"/>
        <w:contextualSpacing/>
        <w:jc w:val="both"/>
        <w:textAlignment w:val="auto"/>
        <w:rPr>
          <w:rFonts w:hint="default" w:ascii="Times New Roman" w:hAnsi="Times New Roman" w:eastAsia="楷体_GB2312" w:cs="Times New Roman"/>
          <w:b w:val="0"/>
          <w:bCs/>
          <w:color w:val="auto"/>
          <w:sz w:val="32"/>
          <w:szCs w:val="32"/>
          <w:highlight w:val="none"/>
          <w:u w:val="none"/>
          <w:lang w:val="en-US" w:eastAsia="zh-CN"/>
        </w:rPr>
      </w:pPr>
      <w:r>
        <w:rPr>
          <w:rFonts w:hint="eastAsia" w:ascii="Times New Roman" w:hAnsi="Times New Roman" w:eastAsia="楷体_GB2312" w:cs="Times New Roman"/>
          <w:b w:val="0"/>
          <w:bCs/>
          <w:color w:val="auto"/>
          <w:sz w:val="32"/>
          <w:szCs w:val="32"/>
          <w:highlight w:val="none"/>
          <w:u w:val="none"/>
          <w:lang w:val="en-US" w:eastAsia="zh-CN"/>
        </w:rPr>
        <w:t>（</w:t>
      </w:r>
      <w:r>
        <w:rPr>
          <w:rFonts w:hint="default" w:ascii="Times New Roman" w:hAnsi="Times New Roman" w:eastAsia="楷体_GB2312" w:cs="Times New Roman"/>
          <w:b w:val="0"/>
          <w:bCs/>
          <w:color w:val="auto"/>
          <w:sz w:val="32"/>
          <w:szCs w:val="32"/>
          <w:highlight w:val="none"/>
          <w:u w:val="none"/>
          <w:lang w:val="en-US" w:eastAsia="zh-CN"/>
        </w:rPr>
        <w:t>“攀枝花市西区科技创新服务能力建设”项目</w:t>
      </w:r>
      <w:r>
        <w:rPr>
          <w:rFonts w:hint="eastAsia" w:ascii="Times New Roman" w:hAnsi="Times New Roman" w:eastAsia="楷体_GB2312" w:cs="Times New Roman"/>
          <w:b w:val="0"/>
          <w:bCs/>
          <w:color w:val="auto"/>
          <w:sz w:val="32"/>
          <w:szCs w:val="32"/>
          <w:highlight w:val="none"/>
          <w:u w:val="none"/>
          <w:lang w:val="en-US" w:eastAsia="zh-CN"/>
        </w:rPr>
        <w:t>）</w:t>
      </w:r>
    </w:p>
    <w:p w14:paraId="085F94F9">
      <w:pPr>
        <w:pStyle w:val="36"/>
        <w:keepNext w:val="0"/>
        <w:keepLines w:val="0"/>
        <w:pageBreakBefore w:val="0"/>
        <w:widowControl w:val="0"/>
        <w:kinsoku/>
        <w:wordWrap/>
        <w:overflowPunct/>
        <w:topLinePunct w:val="0"/>
        <w:autoSpaceDE/>
        <w:autoSpaceDN/>
        <w:bidi w:val="0"/>
        <w:adjustRightInd/>
        <w:snapToGrid/>
        <w:spacing w:line="300" w:lineRule="auto"/>
        <w:ind w:left="0" w:leftChars="0" w:firstLine="640"/>
        <w:jc w:val="center"/>
        <w:textAlignment w:val="auto"/>
        <w:rPr>
          <w:rFonts w:hint="default" w:ascii="Times New Roman" w:hAnsi="Times New Roman" w:cs="Times New Roman"/>
          <w:color w:val="auto"/>
          <w:kern w:val="2"/>
          <w:sz w:val="32"/>
          <w:szCs w:val="32"/>
          <w:highlight w:val="none"/>
        </w:rPr>
      </w:pPr>
    </w:p>
    <w:p w14:paraId="52D2C880">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14:paraId="272544BD">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（一）设立背景及</w:t>
      </w:r>
      <w:r>
        <w:rPr>
          <w:rFonts w:hint="default" w:ascii="Times New Roman" w:hAnsi="Times New Roman" w:eastAsia="楷体_GB2312" w:cs="Times New Roman"/>
          <w:b/>
          <w:color w:val="auto"/>
          <w:sz w:val="32"/>
          <w:szCs w:val="32"/>
          <w:highlight w:val="none"/>
          <w:u w:val="none"/>
          <w:lang w:val="en-US" w:eastAsia="zh-CN"/>
        </w:rPr>
        <w:t>基本情</w:t>
      </w:r>
      <w:r>
        <w:rPr>
          <w:rFonts w:hint="default" w:ascii="Times New Roman" w:hAnsi="Times New Roman" w:eastAsia="楷体_GB2312" w:cs="Times New Roman"/>
          <w:b/>
          <w:color w:val="auto"/>
          <w:sz w:val="32"/>
          <w:szCs w:val="32"/>
          <w:highlight w:val="none"/>
          <w:u w:val="none"/>
          <w:lang w:val="zh-CN"/>
        </w:rPr>
        <w:t>况。</w:t>
      </w:r>
    </w:p>
    <w:p w14:paraId="48F5B1E3">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bCs/>
          <w:kern w:val="0"/>
          <w:position w:val="0"/>
          <w:sz w:val="32"/>
          <w:szCs w:val="32"/>
          <w:highlight w:val="none"/>
          <w:lang w:val="en-US" w:eastAsia="zh-CN" w:bidi="ar-SA"/>
        </w:rPr>
        <w:t>1.项目设立原因及背景。</w:t>
      </w:r>
      <w:r>
        <w:rPr>
          <w:rFonts w:hint="default" w:ascii="Times New Roman" w:hAnsi="Times New Roman" w:eastAsia="仿宋_GB2312" w:cs="Times New Roman"/>
          <w:b w:val="0"/>
          <w:bCs w:val="0"/>
          <w:kern w:val="0"/>
          <w:position w:val="0"/>
          <w:sz w:val="32"/>
          <w:szCs w:val="32"/>
          <w:highlight w:val="none"/>
          <w:lang w:val="zh-CN" w:eastAsia="zh-CN" w:bidi="ar-SA"/>
        </w:rPr>
        <w:t>攀枝花市西区生产力促进中心现有本科学历2人，2019 年至2022年连续被省生产力促进中心评为先进集体。</w:t>
      </w:r>
      <w:r>
        <w:rPr>
          <w:rFonts w:hint="default" w:ascii="Times New Roman" w:hAnsi="Times New Roman" w:eastAsia="仿宋_GB2312" w:cs="Times New Roman"/>
          <w:b w:val="0"/>
          <w:bCs w:val="0"/>
          <w:kern w:val="0"/>
          <w:position w:val="0"/>
          <w:sz w:val="32"/>
          <w:szCs w:val="32"/>
          <w:highlight w:val="none"/>
          <w:lang w:val="en-US" w:eastAsia="zh-CN" w:bidi="ar-SA"/>
        </w:rPr>
        <w:t>积极</w:t>
      </w:r>
      <w:r>
        <w:rPr>
          <w:rFonts w:hint="default" w:ascii="Times New Roman" w:hAnsi="Times New Roman" w:eastAsia="仿宋_GB2312" w:cs="Times New Roman"/>
          <w:b w:val="0"/>
          <w:bCs w:val="0"/>
          <w:kern w:val="0"/>
          <w:position w:val="0"/>
          <w:sz w:val="32"/>
          <w:szCs w:val="32"/>
          <w:highlight w:val="none"/>
          <w:lang w:val="zh-CN" w:eastAsia="zh-CN" w:bidi="ar-SA"/>
        </w:rPr>
        <w:t>与全区科技型企业对接联系，大力度进行走访摸底，对企业生产的主导产品、新产品、在研产品以及企业对人才、项目、信息和产品销售的需求进行全面了解，并根据国家、省、市各级部门的不同要求，随时为企业提供技术成果转化、科技交流与合作、科技金融、平台建设、科技人才等服务，提高中心服务能力。</w:t>
      </w:r>
    </w:p>
    <w:p w14:paraId="42EDD40C">
      <w:pPr>
        <w:keepNext w:val="0"/>
        <w:keepLines w:val="0"/>
        <w:pageBreakBefore w:val="0"/>
        <w:kinsoku/>
        <w:wordWrap/>
        <w:overflowPunct/>
        <w:topLinePunct w:val="0"/>
        <w:autoSpaceDE/>
        <w:autoSpaceDN/>
        <w:bidi w:val="0"/>
        <w:adjustRightInd/>
        <w:snapToGrid/>
        <w:spacing w:line="353" w:lineRule="auto"/>
        <w:ind w:firstLine="72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lang w:val="en-US" w:eastAsia="zh-CN"/>
        </w:rPr>
        <w:t>.项目</w:t>
      </w:r>
      <w:r>
        <w:rPr>
          <w:rFonts w:hint="default" w:ascii="Times New Roman" w:hAnsi="Times New Roman" w:eastAsia="仿宋_GB2312" w:cs="Times New Roman"/>
          <w:b/>
          <w:bCs/>
          <w:color w:val="000000"/>
          <w:kern w:val="0"/>
          <w:sz w:val="32"/>
          <w:szCs w:val="32"/>
        </w:rPr>
        <w:t>立项</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资金申报依据</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kern w:val="0"/>
          <w:position w:val="0"/>
          <w:sz w:val="32"/>
          <w:szCs w:val="32"/>
          <w:highlight w:val="none"/>
          <w:lang w:val="en-US" w:eastAsia="zh-CN" w:bidi="ar-SA"/>
        </w:rPr>
        <w:t>攀枝花市西区生产力促进中心依据</w:t>
      </w:r>
      <w:r>
        <w:rPr>
          <w:rFonts w:hint="default" w:ascii="Times New Roman" w:hAnsi="Times New Roman" w:eastAsia="仿宋_GB2312" w:cs="Times New Roman"/>
          <w:b w:val="0"/>
          <w:bCs w:val="0"/>
          <w:kern w:val="0"/>
          <w:position w:val="0"/>
          <w:sz w:val="32"/>
          <w:szCs w:val="32"/>
          <w:highlight w:val="none"/>
          <w:lang w:val="zh-CN" w:eastAsia="zh-CN" w:bidi="ar-SA"/>
        </w:rPr>
        <w:t>《攀枝花市科学技术局关于申报2022年度攀枝花市省级定向财力转移支付科技项目的通知》</w:t>
      </w:r>
      <w:r>
        <w:rPr>
          <w:rFonts w:hint="default" w:ascii="Times New Roman" w:hAnsi="Times New Roman" w:eastAsia="仿宋_GB2312" w:cs="Times New Roman"/>
          <w:b w:val="0"/>
          <w:bCs w:val="0"/>
          <w:kern w:val="0"/>
          <w:position w:val="0"/>
          <w:sz w:val="32"/>
          <w:szCs w:val="32"/>
          <w:highlight w:val="none"/>
          <w:lang w:val="en-US" w:eastAsia="zh-CN" w:bidi="ar-SA"/>
        </w:rPr>
        <w:t>和申报指南，</w:t>
      </w:r>
      <w:r>
        <w:rPr>
          <w:rFonts w:hint="default" w:ascii="Times New Roman" w:hAnsi="Times New Roman" w:eastAsia="仿宋_GB2312" w:cs="Times New Roman"/>
          <w:b w:val="0"/>
          <w:bCs w:val="0"/>
          <w:kern w:val="0"/>
          <w:position w:val="0"/>
          <w:sz w:val="32"/>
          <w:szCs w:val="32"/>
          <w:highlight w:val="none"/>
          <w:lang w:val="zh-CN" w:eastAsia="zh-CN" w:bidi="ar-SA"/>
        </w:rPr>
        <w:t>登录</w:t>
      </w:r>
      <w:r>
        <w:rPr>
          <w:rFonts w:hint="default" w:ascii="Times New Roman" w:hAnsi="Times New Roman" w:eastAsia="仿宋_GB2312" w:cs="Times New Roman"/>
          <w:b w:val="0"/>
          <w:bCs w:val="0"/>
          <w:kern w:val="0"/>
          <w:position w:val="0"/>
          <w:sz w:val="32"/>
          <w:szCs w:val="32"/>
          <w:highlight w:val="none"/>
          <w:lang w:val="en-US" w:eastAsia="zh-CN" w:bidi="ar-SA"/>
        </w:rPr>
        <w:t>攀枝花市科技创新服务平台</w:t>
      </w:r>
      <w:r>
        <w:rPr>
          <w:rFonts w:hint="default" w:ascii="Times New Roman" w:hAnsi="Times New Roman" w:eastAsia="仿宋_GB2312" w:cs="Times New Roman"/>
          <w:b w:val="0"/>
          <w:bCs w:val="0"/>
          <w:kern w:val="0"/>
          <w:position w:val="0"/>
          <w:sz w:val="32"/>
          <w:szCs w:val="32"/>
          <w:highlight w:val="none"/>
          <w:lang w:val="zh-CN" w:eastAsia="zh-CN" w:bidi="ar-SA"/>
        </w:rPr>
        <w:t>填写申报材料并提交，经</w:t>
      </w:r>
      <w:r>
        <w:rPr>
          <w:rFonts w:hint="default" w:ascii="Times New Roman" w:hAnsi="Times New Roman" w:eastAsia="仿宋_GB2312" w:cs="Times New Roman"/>
          <w:b w:val="0"/>
          <w:bCs w:val="0"/>
          <w:kern w:val="0"/>
          <w:position w:val="0"/>
          <w:sz w:val="32"/>
          <w:szCs w:val="32"/>
          <w:highlight w:val="none"/>
          <w:lang w:val="en-US" w:eastAsia="zh-CN" w:bidi="ar-SA"/>
        </w:rPr>
        <w:t>区</w:t>
      </w:r>
      <w:r>
        <w:rPr>
          <w:rFonts w:hint="default" w:ascii="Times New Roman" w:hAnsi="Times New Roman" w:eastAsia="仿宋_GB2312" w:cs="Times New Roman"/>
          <w:b w:val="0"/>
          <w:bCs w:val="0"/>
          <w:kern w:val="0"/>
          <w:position w:val="0"/>
          <w:sz w:val="32"/>
          <w:szCs w:val="32"/>
          <w:highlight w:val="none"/>
          <w:lang w:val="zh-CN" w:eastAsia="zh-CN" w:bidi="ar-SA"/>
        </w:rPr>
        <w:t>科技局审核后推荐报送</w:t>
      </w:r>
      <w:r>
        <w:rPr>
          <w:rFonts w:hint="default" w:ascii="Times New Roman" w:hAnsi="Times New Roman" w:eastAsia="仿宋_GB2312" w:cs="Times New Roman"/>
          <w:b w:val="0"/>
          <w:bCs w:val="0"/>
          <w:kern w:val="0"/>
          <w:position w:val="0"/>
          <w:sz w:val="32"/>
          <w:szCs w:val="32"/>
          <w:highlight w:val="none"/>
          <w:lang w:val="en-US" w:eastAsia="zh-CN" w:bidi="ar-SA"/>
        </w:rPr>
        <w:t>市科技局</w:t>
      </w:r>
      <w:r>
        <w:rPr>
          <w:rFonts w:hint="default" w:ascii="Times New Roman" w:hAnsi="Times New Roman" w:eastAsia="仿宋_GB2312" w:cs="Times New Roman"/>
          <w:b w:val="0"/>
          <w:bCs w:val="0"/>
          <w:kern w:val="0"/>
          <w:position w:val="0"/>
          <w:sz w:val="32"/>
          <w:szCs w:val="32"/>
          <w:highlight w:val="none"/>
          <w:lang w:val="zh-CN" w:eastAsia="zh-CN" w:bidi="ar-SA"/>
        </w:rPr>
        <w:t>受理、评审、立项。</w:t>
      </w:r>
    </w:p>
    <w:p w14:paraId="234345BE">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3.</w:t>
      </w:r>
      <w:r>
        <w:rPr>
          <w:rFonts w:hint="default" w:ascii="Times New Roman" w:hAnsi="Times New Roman" w:eastAsia="仿宋_GB2312" w:cs="Times New Roman"/>
          <w:b/>
          <w:bCs/>
          <w:color w:val="000000"/>
          <w:kern w:val="0"/>
          <w:sz w:val="32"/>
          <w:szCs w:val="32"/>
          <w:lang w:eastAsia="zh-CN"/>
        </w:rPr>
        <w:t>项目主要内容。</w:t>
      </w:r>
      <w:r>
        <w:rPr>
          <w:rFonts w:hint="default" w:ascii="Times New Roman" w:hAnsi="Times New Roman" w:eastAsia="仿宋_GB2312" w:cs="Times New Roman"/>
          <w:b w:val="0"/>
          <w:bCs w:val="0"/>
          <w:color w:val="000000"/>
          <w:kern w:val="0"/>
          <w:sz w:val="32"/>
          <w:szCs w:val="32"/>
          <w:lang w:val="zh-CN" w:eastAsia="zh-CN"/>
        </w:rPr>
        <w:t>“</w:t>
      </w:r>
      <w:r>
        <w:rPr>
          <w:rFonts w:hint="default" w:ascii="Times New Roman" w:hAnsi="Times New Roman" w:eastAsia="仿宋_GB2312" w:cs="Times New Roman"/>
          <w:b w:val="0"/>
          <w:bCs w:val="0"/>
          <w:color w:val="000000"/>
          <w:kern w:val="0"/>
          <w:sz w:val="32"/>
          <w:szCs w:val="32"/>
          <w:lang w:val="en-US" w:eastAsia="zh-CN"/>
        </w:rPr>
        <w:t>攀枝花市西区科技创新服务能力建设</w:t>
      </w:r>
      <w:r>
        <w:rPr>
          <w:rFonts w:hint="default" w:ascii="Times New Roman" w:hAnsi="Times New Roman" w:eastAsia="仿宋_GB2312" w:cs="Times New Roman"/>
          <w:b w:val="0"/>
          <w:bCs w:val="0"/>
          <w:color w:val="000000"/>
          <w:kern w:val="0"/>
          <w:sz w:val="32"/>
          <w:szCs w:val="32"/>
          <w:lang w:val="zh-CN" w:eastAsia="zh-CN"/>
        </w:rPr>
        <w:t>”</w:t>
      </w:r>
      <w:r>
        <w:rPr>
          <w:rFonts w:hint="default" w:ascii="Times New Roman" w:hAnsi="Times New Roman" w:eastAsia="仿宋_GB2312" w:cs="Times New Roman"/>
          <w:b w:val="0"/>
          <w:bCs w:val="0"/>
          <w:color w:val="000000"/>
          <w:kern w:val="0"/>
          <w:sz w:val="32"/>
          <w:szCs w:val="32"/>
          <w:lang w:val="en-US" w:eastAsia="zh-CN"/>
        </w:rPr>
        <w:t>项目通过建立引进专业科技咨询服务机构、金融咨询服务机构、组织线上线下相关培训会、对接会、培养科技服务人才等方式服务企业，完善科技咨询服务体系、科技金融服务体系、科技成果转化体系及创新平台建设等。</w:t>
      </w:r>
    </w:p>
    <w:p w14:paraId="5FE16771">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auto"/>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4.</w:t>
      </w:r>
      <w:r>
        <w:rPr>
          <w:rFonts w:hint="default" w:ascii="Times New Roman" w:hAnsi="Times New Roman" w:eastAsia="仿宋_GB2312" w:cs="Times New Roman"/>
          <w:b/>
          <w:bCs/>
          <w:color w:val="000000"/>
          <w:kern w:val="0"/>
          <w:sz w:val="32"/>
          <w:szCs w:val="32"/>
        </w:rPr>
        <w:t>主管部门职能</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攀枝花市西区生产力促进中心负责该项目</w:t>
      </w:r>
      <w:r>
        <w:rPr>
          <w:rFonts w:hint="eastAsia" w:eastAsia="仿宋_GB2312" w:cs="Times New Roman"/>
          <w:b w:val="0"/>
          <w:bCs w:val="0"/>
          <w:color w:val="auto"/>
          <w:kern w:val="0"/>
          <w:sz w:val="32"/>
          <w:szCs w:val="32"/>
          <w:lang w:val="en-US" w:eastAsia="zh-CN"/>
        </w:rPr>
        <w:t>进行</w:t>
      </w:r>
      <w:r>
        <w:rPr>
          <w:rFonts w:hint="default" w:ascii="Times New Roman" w:hAnsi="Times New Roman" w:eastAsia="仿宋_GB2312" w:cs="Times New Roman"/>
          <w:b w:val="0"/>
          <w:bCs w:val="0"/>
          <w:color w:val="auto"/>
          <w:kern w:val="0"/>
          <w:sz w:val="32"/>
          <w:szCs w:val="32"/>
          <w:lang w:val="en-US" w:eastAsia="zh-CN"/>
        </w:rPr>
        <w:t>方案制定、项目立项申报、建设实施、过程监督、项目验收等工作的具体实施。</w:t>
      </w:r>
    </w:p>
    <w:p w14:paraId="6D2ACB94">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p>
    <w:p w14:paraId="62FE8131">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bCs/>
          <w:color w:val="000000"/>
          <w:kern w:val="0"/>
          <w:sz w:val="32"/>
          <w:szCs w:val="32"/>
        </w:rPr>
        <w:t>1</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项目资金管理办法制定情况</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kern w:val="0"/>
          <w:position w:val="0"/>
          <w:sz w:val="32"/>
          <w:szCs w:val="32"/>
          <w:highlight w:val="none"/>
          <w:lang w:val="zh-CN" w:eastAsia="zh-CN" w:bidi="ar-SA"/>
        </w:rPr>
        <w:t>资金使用严格按照《攀枝花市市级科技计划项目管理办法》（攀科发〔2021〕22号）和《攀枝花市省级定向财力转移支付科技项目管理暂行办法》（攀科发〔2021〕51号）规定执行。</w:t>
      </w:r>
    </w:p>
    <w:p w14:paraId="6A779DBB">
      <w:pPr>
        <w:keepNext w:val="0"/>
        <w:keepLines w:val="0"/>
        <w:pageBreakBefore w:val="0"/>
        <w:kinsoku/>
        <w:wordWrap/>
        <w:overflowPunct/>
        <w:topLinePunct w:val="0"/>
        <w:autoSpaceDE/>
        <w:autoSpaceDN/>
        <w:bidi w:val="0"/>
        <w:adjustRightInd/>
        <w:snapToGrid/>
        <w:spacing w:line="353" w:lineRule="auto"/>
        <w:ind w:firstLine="72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项目实施目标与</w:t>
      </w:r>
      <w:r>
        <w:rPr>
          <w:rFonts w:hint="default" w:ascii="Times New Roman" w:hAnsi="Times New Roman" w:eastAsia="仿宋_GB2312" w:cs="Times New Roman"/>
          <w:b/>
          <w:bCs/>
          <w:color w:val="000000"/>
          <w:kern w:val="0"/>
          <w:sz w:val="32"/>
          <w:szCs w:val="32"/>
          <w:lang w:val="en-US" w:eastAsia="zh-CN"/>
        </w:rPr>
        <w:t>主要工作</w:t>
      </w:r>
      <w:r>
        <w:rPr>
          <w:rFonts w:hint="default" w:ascii="Times New Roman" w:hAnsi="Times New Roman" w:eastAsia="仿宋_GB2312" w:cs="Times New Roman"/>
          <w:b/>
          <w:bCs/>
          <w:color w:val="000000"/>
          <w:kern w:val="0"/>
          <w:sz w:val="32"/>
          <w:szCs w:val="32"/>
        </w:rPr>
        <w:t>任务</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sz w:val="32"/>
          <w:szCs w:val="32"/>
          <w:lang w:val="en-US" w:eastAsia="zh-CN"/>
        </w:rPr>
        <w:t>通过项目实施，西区科技服务水平及科技型企业创新能力等到明显增强。</w:t>
      </w:r>
    </w:p>
    <w:p w14:paraId="4BD3EBB2">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bCs/>
          <w:color w:val="000000"/>
          <w:kern w:val="0"/>
          <w:sz w:val="32"/>
          <w:szCs w:val="32"/>
          <w:lang w:val="en-US" w:eastAsia="zh-CN"/>
        </w:rPr>
        <w:t>3.项目</w:t>
      </w:r>
      <w:r>
        <w:rPr>
          <w:rFonts w:hint="default" w:ascii="Times New Roman" w:hAnsi="Times New Roman" w:eastAsia="仿宋_GB2312" w:cs="Times New Roman"/>
          <w:b/>
          <w:bCs/>
          <w:color w:val="000000"/>
          <w:kern w:val="0"/>
          <w:sz w:val="32"/>
          <w:szCs w:val="32"/>
        </w:rPr>
        <w:t>支持方向</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kern w:val="0"/>
          <w:position w:val="0"/>
          <w:sz w:val="32"/>
          <w:szCs w:val="32"/>
          <w:highlight w:val="none"/>
          <w:lang w:val="zh-CN" w:eastAsia="zh-CN" w:bidi="ar-SA"/>
        </w:rPr>
        <w:t>项目资金属于前补助资金，主要支持攀枝花市西区生产力促进中心开展科技创新服务能力建设。</w:t>
      </w:r>
    </w:p>
    <w:p w14:paraId="26F8E816">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default" w:ascii="Times New Roman" w:hAnsi="Times New Roman" w:eastAsia="楷体_GB2312" w:cs="Times New Roman"/>
          <w:b/>
          <w:color w:val="auto"/>
          <w:sz w:val="32"/>
          <w:szCs w:val="32"/>
          <w:highlight w:val="none"/>
          <w:u w:val="none"/>
          <w:lang w:val="zh-CN" w:eastAsia="zh-CN"/>
        </w:rPr>
        <w:t>。</w:t>
      </w:r>
      <w:r>
        <w:rPr>
          <w:rFonts w:hint="default" w:ascii="Times New Roman" w:hAnsi="Times New Roman" w:eastAsia="仿宋_GB2312" w:cs="Times New Roman"/>
          <w:color w:val="auto"/>
          <w:sz w:val="32"/>
          <w:szCs w:val="32"/>
          <w:lang w:val="en-US" w:eastAsia="zh-CN"/>
        </w:rPr>
        <w:t>项目资金全部用于“攀枝花市西区科技创新服务能力建设”项目。</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zh-CN"/>
        </w:rPr>
        <w:t>资金开支范围为项目</w:t>
      </w:r>
      <w:r>
        <w:rPr>
          <w:rFonts w:hint="default" w:ascii="Times New Roman" w:hAnsi="Times New Roman" w:eastAsia="仿宋_GB2312" w:cs="Times New Roman"/>
          <w:sz w:val="32"/>
          <w:szCs w:val="32"/>
          <w:lang w:val="zh-CN" w:eastAsia="zh-CN"/>
        </w:rPr>
        <w:t>信息传播费</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设备费、会议费、其它</w:t>
      </w:r>
      <w:r>
        <w:rPr>
          <w:rFonts w:hint="default" w:ascii="Times New Roman" w:hAnsi="Times New Roman" w:eastAsia="仿宋_GB2312" w:cs="Times New Roman"/>
          <w:sz w:val="32"/>
          <w:szCs w:val="32"/>
          <w:lang w:val="zh-CN"/>
        </w:rPr>
        <w:t>费用</w:t>
      </w:r>
      <w:r>
        <w:rPr>
          <w:rFonts w:hint="default" w:ascii="Times New Roman" w:hAnsi="Times New Roman" w:eastAsia="仿宋_GB2312" w:cs="Times New Roman"/>
          <w:sz w:val="32"/>
          <w:szCs w:val="32"/>
          <w:lang w:val="zh-CN" w:eastAsia="zh-CN"/>
        </w:rPr>
        <w:t>等</w:t>
      </w:r>
      <w:r>
        <w:rPr>
          <w:rFonts w:hint="default" w:ascii="Times New Roman" w:hAnsi="Times New Roman" w:eastAsia="仿宋_GB2312" w:cs="Times New Roman"/>
          <w:sz w:val="32"/>
          <w:szCs w:val="32"/>
          <w:lang w:val="zh-CN"/>
        </w:rPr>
        <w:t>。资金开支范围、支付标准、支付进度、支付依据合规合法。</w:t>
      </w:r>
    </w:p>
    <w:p w14:paraId="79A48E43">
      <w:pPr>
        <w:keepNext w:val="0"/>
        <w:keepLines w:val="0"/>
        <w:pageBreakBefore w:val="0"/>
        <w:kinsoku/>
        <w:wordWrap/>
        <w:overflowPunct/>
        <w:topLinePunct w:val="0"/>
        <w:autoSpaceDE/>
        <w:autoSpaceDN/>
        <w:bidi w:val="0"/>
        <w:adjustRightInd/>
        <w:snapToGrid/>
        <w:spacing w:line="353" w:lineRule="auto"/>
        <w:ind w:left="0" w:leftChars="0" w:firstLine="643"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eastAsia="zh-CN"/>
        </w:rPr>
        <w:t>（四）项目绩效目标设置。</w:t>
      </w:r>
      <w:r>
        <w:rPr>
          <w:rFonts w:hint="default" w:ascii="Times New Roman" w:hAnsi="Times New Roman" w:eastAsia="仿宋_GB2312" w:cs="Times New Roman"/>
          <w:color w:val="000000"/>
          <w:kern w:val="0"/>
          <w:sz w:val="32"/>
          <w:szCs w:val="32"/>
          <w:lang w:val="zh-CN" w:eastAsia="zh-CN"/>
        </w:rPr>
        <w:t>引进专业科技咨询服务机构1家，金融咨询服务机构1家，组织线上线下相关培训会、对接会10场，服务企业40家，服务次数达到200次以上，培养科技咨询服务人才 5 人，科技服务信息化办公设备更新。</w:t>
      </w:r>
    </w:p>
    <w:p w14:paraId="34703BDC">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14:paraId="672C144C">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（一）评价目的。</w:t>
      </w:r>
      <w:r>
        <w:rPr>
          <w:rFonts w:hint="default" w:ascii="Times New Roman" w:hAnsi="Times New Roman" w:eastAsia="仿宋_GB2312" w:cs="Times New Roman"/>
          <w:color w:val="000000"/>
          <w:kern w:val="0"/>
          <w:sz w:val="32"/>
          <w:szCs w:val="32"/>
        </w:rPr>
        <w:t>通过项目绩效自评，全面了解和掌握项目的实际执行情况和实施效果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客观评价项目资金的支出使用效率和效益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发现项目执行过程中存在的问题和不足，提出改进措施和建议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为项目的后续管理和决策提供科学依据和参考。</w:t>
      </w:r>
    </w:p>
    <w:p w14:paraId="07704B5F">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（二）预设问题及评价重点。</w:t>
      </w:r>
      <w:r>
        <w:rPr>
          <w:rFonts w:hint="default" w:ascii="Times New Roman" w:hAnsi="Times New Roman" w:eastAsia="仿宋_GB2312" w:cs="Times New Roman"/>
          <w:b w:val="0"/>
          <w:bCs w:val="0"/>
          <w:kern w:val="0"/>
          <w:position w:val="0"/>
          <w:sz w:val="32"/>
          <w:szCs w:val="32"/>
          <w:highlight w:val="none"/>
          <w:lang w:val="zh-CN" w:eastAsia="zh-CN" w:bidi="ar-SA"/>
        </w:rPr>
        <w:t>根据绩效评价指标体系，对资金支出使用全过程及其实施效果进行综合评价和判断。评价重点包括：项目资金的分配和使用是否符合预算计划和规定；项目是否按照预定的时间节点和目标任务完成；项目实施过程中是否遵循了相关的管理制度和规定；项目是否取得了预期的经济效益和社会效益。</w:t>
      </w:r>
    </w:p>
    <w:p w14:paraId="53041A56">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outlineLvl w:val="1"/>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（三）评价选点。</w:t>
      </w:r>
      <w:r>
        <w:rPr>
          <w:rFonts w:hint="default" w:ascii="Times New Roman" w:hAnsi="Times New Roman" w:eastAsia="仿宋_GB2312" w:cs="Times New Roman"/>
          <w:sz w:val="32"/>
          <w:szCs w:val="32"/>
          <w:lang w:val="en-US" w:eastAsia="zh-CN"/>
        </w:rPr>
        <w:t>“攀枝花市西区科技创新服务能力建设”项目</w:t>
      </w:r>
      <w:r>
        <w:rPr>
          <w:rFonts w:hint="eastAsia" w:ascii="Times New Roman" w:hAnsi="Times New Roman" w:eastAsia="仿宋_GB2312"/>
          <w:color w:val="000000"/>
          <w:kern w:val="0"/>
          <w:sz w:val="32"/>
          <w:szCs w:val="32"/>
        </w:rPr>
        <w:t>的全部实施区域，并对不同区域的项目实施情况进行抽样调查和分析。</w:t>
      </w:r>
    </w:p>
    <w:p w14:paraId="675AC0E9">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（四）评价方法。</w:t>
      </w:r>
      <w:r>
        <w:rPr>
          <w:rFonts w:hint="default" w:ascii="Times New Roman" w:hAnsi="Times New Roman" w:eastAsia="仿宋_GB2312" w:cs="Times New Roman"/>
          <w:b w:val="0"/>
          <w:bCs w:val="0"/>
          <w:kern w:val="0"/>
          <w:position w:val="0"/>
          <w:sz w:val="32"/>
          <w:szCs w:val="32"/>
          <w:highlight w:val="none"/>
          <w:lang w:val="zh-CN" w:eastAsia="zh-CN" w:bidi="ar-SA"/>
        </w:rPr>
        <w:t>根据本项目情况和评价重点，采用单位自评法开展具体评价工作。</w:t>
      </w:r>
    </w:p>
    <w:p w14:paraId="20D63DA0">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（五）评价组织。</w:t>
      </w:r>
      <w:r>
        <w:rPr>
          <w:rFonts w:hint="default" w:ascii="Times New Roman" w:hAnsi="Times New Roman" w:eastAsia="仿宋_GB2312" w:cs="Times New Roman"/>
          <w:b w:val="0"/>
          <w:bCs w:val="0"/>
          <w:kern w:val="0"/>
          <w:position w:val="0"/>
          <w:sz w:val="32"/>
          <w:szCs w:val="32"/>
          <w:highlight w:val="none"/>
          <w:lang w:val="zh-CN" w:eastAsia="zh-CN" w:bidi="ar-SA"/>
        </w:rPr>
        <w:t>本次绩效自评工作由项目实施单位（攀枝花市</w:t>
      </w:r>
      <w:r>
        <w:rPr>
          <w:rFonts w:hint="eastAsia" w:ascii="Times New Roman" w:hAnsi="Times New Roman" w:eastAsia="仿宋_GB2312" w:cs="Times New Roman"/>
          <w:b w:val="0"/>
          <w:bCs w:val="0"/>
          <w:kern w:val="0"/>
          <w:position w:val="0"/>
          <w:sz w:val="32"/>
          <w:szCs w:val="32"/>
          <w:highlight w:val="none"/>
          <w:lang w:val="en-US" w:eastAsia="zh-CN" w:bidi="ar-SA"/>
        </w:rPr>
        <w:t>西区生产力促进中心</w:t>
      </w:r>
      <w:r>
        <w:rPr>
          <w:rFonts w:hint="default" w:ascii="Times New Roman" w:hAnsi="Times New Roman" w:eastAsia="仿宋_GB2312" w:cs="Times New Roman"/>
          <w:b w:val="0"/>
          <w:bCs w:val="0"/>
          <w:kern w:val="0"/>
          <w:position w:val="0"/>
          <w:sz w:val="32"/>
          <w:szCs w:val="32"/>
          <w:highlight w:val="none"/>
          <w:lang w:val="zh-CN" w:eastAsia="zh-CN" w:bidi="ar-SA"/>
        </w:rPr>
        <w:t>）自行组织，评价组人员构成如下：</w:t>
      </w:r>
    </w:p>
    <w:p w14:paraId="51B8C261">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组长：负责全面指导和监督评价工作。</w:t>
      </w:r>
    </w:p>
    <w:p w14:paraId="22C986CC">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项目管理人员：负责提供项目实施过程中的相关资料和数据。</w:t>
      </w:r>
    </w:p>
    <w:p w14:paraId="2112C24D">
      <w:pPr>
        <w:keepNext w:val="0"/>
        <w:keepLines w:val="0"/>
        <w:pageBreakBefore w:val="0"/>
        <w:widowControl w:val="0"/>
        <w:kinsoku/>
        <w:wordWrap/>
        <w:overflowPunct/>
        <w:topLinePunct w:val="0"/>
        <w:autoSpaceDE/>
        <w:autoSpaceDN/>
        <w:bidi w:val="0"/>
        <w:adjustRightInd/>
        <w:snapToGrid/>
        <w:spacing w:line="353"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lang w:eastAsia="zh-CN"/>
        </w:rPr>
        <w:t>.</w:t>
      </w:r>
      <w:r>
        <w:rPr>
          <w:rFonts w:hint="default" w:ascii="Times New Roman" w:hAnsi="Times New Roman" w:eastAsia="仿宋_GB2312" w:cs="Times New Roman"/>
          <w:sz w:val="32"/>
          <w:szCs w:val="32"/>
          <w:highlight w:val="none"/>
          <w:lang w:val="en-US" w:eastAsia="zh-CN"/>
        </w:rPr>
        <w:t>项目实施</w:t>
      </w:r>
      <w:r>
        <w:rPr>
          <w:rFonts w:hint="eastAsia" w:ascii="Times New Roman" w:hAnsi="Times New Roman" w:eastAsia="仿宋_GB2312" w:cs="Times New Roman"/>
          <w:sz w:val="32"/>
          <w:szCs w:val="32"/>
          <w:highlight w:val="none"/>
          <w:lang w:val="en-US" w:eastAsia="zh-CN"/>
        </w:rPr>
        <w:t>人员：负责项目实施评价。对项目预算执行情况、资金使用情况开展评价工作。</w:t>
      </w:r>
    </w:p>
    <w:p w14:paraId="17549417">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default" w:ascii="Times New Roman" w:hAnsi="Times New Roman" w:eastAsia="仿宋_GB2312" w:cs="Times New Roman"/>
          <w:bCs/>
          <w:lang w:eastAsia="zh-CN"/>
        </w:rPr>
      </w:pPr>
      <w:r>
        <w:rPr>
          <w:rFonts w:hint="eastAsia"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财务人员：负责对项目资金的支出使用情况进行核查和分析。</w:t>
      </w:r>
    </w:p>
    <w:p w14:paraId="73038607">
      <w:pPr>
        <w:keepNext w:val="0"/>
        <w:keepLines w:val="0"/>
        <w:pageBreakBefore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14:paraId="28C4F536">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（一）</w:t>
      </w:r>
      <w:r>
        <w:rPr>
          <w:rFonts w:hint="default"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61BBAB22">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1.项目决策。</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lang w:eastAsia="zh-CN"/>
        </w:rPr>
        <w:t>项目设立、调整符合</w:t>
      </w:r>
      <w:r>
        <w:rPr>
          <w:rFonts w:hint="eastAsia" w:ascii="仿宋_GB2312" w:hAnsi="仿宋_GB2312" w:eastAsia="仿宋_GB2312" w:cs="仿宋_GB2312"/>
          <w:color w:val="000000"/>
          <w:sz w:val="32"/>
          <w:szCs w:val="32"/>
          <w:lang w:val="en-US" w:eastAsia="zh-CN"/>
        </w:rPr>
        <w:t>《攀枝花市市级科技计划项目管理办法》和《攀枝花市省级定向财力转移支付科技项目管理暂行办法》</w:t>
      </w:r>
      <w:r>
        <w:rPr>
          <w:rFonts w:hint="eastAsia" w:ascii="仿宋_GB2312" w:hAnsi="仿宋_GB2312" w:eastAsia="仿宋_GB2312" w:cs="仿宋_GB2312"/>
          <w:color w:val="000000"/>
          <w:sz w:val="32"/>
          <w:szCs w:val="32"/>
          <w:lang w:eastAsia="zh-CN"/>
        </w:rPr>
        <w:t>和决策程序要求；项目规划符合中央、省委省政府有关决策部署安排，</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绩效目标设置科学合理；</w:t>
      </w:r>
      <w:r>
        <w:rPr>
          <w:rFonts w:hint="eastAsia" w:ascii="仿宋_GB2312" w:hAnsi="仿宋_GB2312" w:eastAsia="仿宋_GB2312" w:cs="仿宋_GB2312"/>
          <w:color w:val="000000"/>
          <w:sz w:val="32"/>
          <w:szCs w:val="32"/>
          <w:lang w:val="en-US" w:eastAsia="zh-CN"/>
        </w:rPr>
        <w:t>项目资金与项目总体规划、行业发展相匹配，体现“集中财力办大事”原则</w:t>
      </w:r>
      <w:r>
        <w:rPr>
          <w:rFonts w:hint="eastAsia" w:ascii="仿宋_GB2312" w:hAnsi="仿宋_GB2312" w:eastAsia="仿宋_GB2312" w:cs="仿宋_GB2312"/>
          <w:color w:val="000000"/>
          <w:sz w:val="32"/>
          <w:szCs w:val="32"/>
          <w:lang w:eastAsia="zh-CN"/>
        </w:rPr>
        <w:t>。</w:t>
      </w:r>
    </w:p>
    <w:p w14:paraId="6D395F98">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2.项目管理。</w:t>
      </w:r>
      <w:r>
        <w:rPr>
          <w:rFonts w:hint="eastAsia" w:ascii="仿宋_GB2312" w:hAnsi="仿宋_GB2312" w:eastAsia="仿宋_GB2312" w:cs="仿宋_GB2312"/>
          <w:color w:val="000000"/>
          <w:sz w:val="32"/>
          <w:szCs w:val="32"/>
          <w:lang w:val="en-US" w:eastAsia="zh-CN"/>
        </w:rPr>
        <w:t>资金管理办法健全完善，不存在管理制度缺失、管理办法过期情况；项目资金分配合理，项目管理、审批符合管理要求；项目全面完成绩效目标、绩效评价等预算绩效管理工作，不存在对资金分配和项目管理指导力度不够的情况，开展评价、监督、指导工作有力有效。</w:t>
      </w:r>
    </w:p>
    <w:p w14:paraId="4ED5C05B">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3.项目实施。</w:t>
      </w:r>
      <w:r>
        <w:rPr>
          <w:rFonts w:hint="default" w:ascii="Times New Roman" w:hAnsi="Times New Roman" w:eastAsia="仿宋_GB2312" w:cs="Times New Roman"/>
          <w:b w:val="0"/>
          <w:bCs w:val="0"/>
          <w:color w:val="auto"/>
          <w:kern w:val="0"/>
          <w:position w:val="0"/>
          <w:sz w:val="32"/>
          <w:szCs w:val="32"/>
          <w:highlight w:val="none"/>
          <w:lang w:val="zh-CN" w:eastAsia="zh-CN" w:bidi="ar-SA"/>
        </w:rPr>
        <w:t>严格按照预算计划执行项目资金支出，确保了资金的专款专用和合理使用；资金使用符合相关法规和政策要求，未出现违规使用和浪费现象。</w:t>
      </w:r>
    </w:p>
    <w:p w14:paraId="3B45C8BD">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4.项目结果。</w:t>
      </w:r>
      <w:r>
        <w:rPr>
          <w:rFonts w:hint="eastAsia" w:ascii="Times New Roman" w:hAnsi="Times New Roman" w:eastAsia="仿宋_GB2312" w:cs="Times New Roman"/>
          <w:b w:val="0"/>
          <w:bCs w:val="0"/>
          <w:color w:val="auto"/>
          <w:kern w:val="0"/>
          <w:position w:val="0"/>
          <w:sz w:val="32"/>
          <w:szCs w:val="32"/>
          <w:highlight w:val="none"/>
          <w:lang w:val="en-US" w:eastAsia="zh-CN" w:bidi="ar-SA"/>
        </w:rPr>
        <w:t>项目完成预期目标，实施结果与绩效目标相匹配，反映目标实现程度；项目计划完成时间2023年3月至2024年6月，实际完成时间与计划完成时间一致。</w:t>
      </w:r>
    </w:p>
    <w:p w14:paraId="0E427D7C">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eastAsia"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6A2ACD18">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w:t>
      </w:r>
      <w:r>
        <w:rPr>
          <w:rFonts w:hint="default" w:ascii="Times New Roman" w:hAnsi="Times New Roman" w:eastAsia="楷体_GB2312" w:cs="Times New Roman"/>
          <w:b/>
          <w:bCs/>
          <w:color w:val="000000"/>
          <w:kern w:val="0"/>
          <w:sz w:val="32"/>
          <w:szCs w:val="32"/>
          <w:highlight w:val="none"/>
          <w:shd w:val="clear" w:color="auto" w:fill="FFFFFF"/>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绩效分析。</w:t>
      </w: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19D90AF8">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、评价结论</w:t>
      </w:r>
    </w:p>
    <w:p w14:paraId="518D0358">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结合专项项目支出绩效评价指标体系，攀枝花市西区生产力促进中心2022年省级科技计划转移支付专项资金到位及时，项目单位严格按照有关管理办法执行，项目资金管理使用规范，项目的实施对于提升西区科技服务水平及科技型企业创新能力起到了积极的推动作用</w:t>
      </w:r>
      <w:r>
        <w:rPr>
          <w:rFonts w:hint="eastAsia" w:ascii="Times New Roman" w:hAnsi="Times New Roman" w:eastAsia="仿宋_GB2312" w:cs="Times New Roman"/>
          <w:b w:val="0"/>
          <w:bCs w:val="0"/>
          <w:kern w:val="0"/>
          <w:position w:val="0"/>
          <w:sz w:val="32"/>
          <w:szCs w:val="32"/>
          <w:highlight w:val="none"/>
          <w:lang w:val="zh-CN" w:eastAsia="zh-CN" w:bidi="ar-SA"/>
        </w:rPr>
        <w:t>。</w:t>
      </w:r>
    </w:p>
    <w:p w14:paraId="2A9EB24F">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五、存在主要问题</w:t>
      </w:r>
    </w:p>
    <w:p w14:paraId="3E84684D">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eastAsia" w:ascii="Times New Roman" w:hAnsi="Times New Roman" w:eastAsia="仿宋_GB2312" w:cs="Times New Roman"/>
          <w:b w:val="0"/>
          <w:bCs w:val="0"/>
          <w:kern w:val="0"/>
          <w:position w:val="0"/>
          <w:sz w:val="32"/>
          <w:szCs w:val="32"/>
          <w:highlight w:val="none"/>
          <w:lang w:val="en-US" w:eastAsia="zh-CN" w:bidi="ar-SA"/>
        </w:rPr>
      </w:pP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4FF32EDD">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kern w:val="0"/>
          <w:position w:val="3"/>
          <w:sz w:val="32"/>
          <w:szCs w:val="32"/>
          <w:highlight w:val="none"/>
          <w:u w:val="none"/>
          <w:lang w:val="zh-CN" w:eastAsia="zh-CN" w:bidi="ar-SA"/>
        </w:rPr>
      </w:pPr>
      <w:r>
        <w:rPr>
          <w:rFonts w:hint="default" w:ascii="Times New Roman" w:hAnsi="Times New Roman" w:eastAsia="黑体" w:cs="Times New Roman"/>
          <w:color w:val="auto"/>
          <w:kern w:val="0"/>
          <w:position w:val="3"/>
          <w:sz w:val="32"/>
          <w:szCs w:val="32"/>
          <w:highlight w:val="none"/>
          <w:u w:val="none"/>
          <w:lang w:val="zh-CN" w:eastAsia="zh-CN" w:bidi="ar-SA"/>
        </w:rPr>
        <w:t>六、改进建议</w:t>
      </w:r>
    </w:p>
    <w:p w14:paraId="269DCDD3">
      <w:pPr>
        <w:keepNext w:val="0"/>
        <w:keepLines w:val="0"/>
        <w:pageBreakBefore w:val="0"/>
        <w:tabs>
          <w:tab w:val="left" w:pos="1911"/>
        </w:tabs>
        <w:kinsoku/>
        <w:wordWrap/>
        <w:overflowPunct/>
        <w:topLinePunct w:val="0"/>
        <w:autoSpaceDE/>
        <w:autoSpaceDN/>
        <w:bidi w:val="0"/>
        <w:adjustRightInd/>
        <w:snapToGrid/>
        <w:spacing w:line="353" w:lineRule="auto"/>
        <w:ind w:firstLine="640" w:firstLineChars="200"/>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1039944C">
      <w:pPr>
        <w:pStyle w:val="36"/>
        <w:keepNext w:val="0"/>
        <w:keepLines w:val="0"/>
        <w:pageBreakBefore w:val="0"/>
        <w:widowControl w:val="0"/>
        <w:kinsoku/>
        <w:wordWrap/>
        <w:overflowPunct/>
        <w:topLinePunct w:val="0"/>
        <w:autoSpaceDE/>
        <w:autoSpaceDN/>
        <w:bidi w:val="0"/>
        <w:adjustRightInd/>
        <w:snapToGrid/>
        <w:spacing w:line="300" w:lineRule="auto"/>
        <w:ind w:left="0" w:leftChars="0"/>
        <w:jc w:val="center"/>
        <w:textAlignment w:val="auto"/>
        <w:rPr>
          <w:rFonts w:hint="default" w:ascii="Times New Roman" w:hAnsi="Times New Roman" w:eastAsia="方正小标宋_GBK" w:cs="Times New Roman"/>
          <w:color w:val="auto"/>
          <w:kern w:val="2"/>
          <w:sz w:val="44"/>
          <w:szCs w:val="44"/>
          <w:highlight w:val="none"/>
          <w:lang w:val="en-US" w:eastAsia="zh-CN"/>
        </w:rPr>
      </w:pPr>
      <w:bookmarkStart w:id="49" w:name="_Toc15377226"/>
    </w:p>
    <w:p w14:paraId="6473904C">
      <w:pPr>
        <w:pStyle w:val="36"/>
        <w:keepNext w:val="0"/>
        <w:keepLines w:val="0"/>
        <w:pageBreakBefore w:val="0"/>
        <w:widowControl w:val="0"/>
        <w:kinsoku/>
        <w:wordWrap/>
        <w:overflowPunct/>
        <w:topLinePunct w:val="0"/>
        <w:autoSpaceDE/>
        <w:autoSpaceDN/>
        <w:bidi w:val="0"/>
        <w:adjustRightInd/>
        <w:snapToGrid/>
        <w:spacing w:line="300" w:lineRule="auto"/>
        <w:ind w:left="0" w:leftChars="0"/>
        <w:jc w:val="center"/>
        <w:textAlignment w:val="auto"/>
        <w:rPr>
          <w:rFonts w:hint="default" w:ascii="Times New Roman" w:hAnsi="Times New Roman" w:eastAsia="方正小标宋_GBK" w:cs="Times New Roman"/>
          <w:color w:val="auto"/>
          <w:kern w:val="2"/>
          <w:sz w:val="44"/>
          <w:szCs w:val="44"/>
          <w:highlight w:val="none"/>
          <w:lang w:val="en-US" w:eastAsia="zh-CN"/>
        </w:rPr>
      </w:pPr>
      <w:r>
        <w:rPr>
          <w:rFonts w:hint="default" w:ascii="Times New Roman" w:hAnsi="Times New Roman" w:eastAsia="方正小标宋_GBK" w:cs="Times New Roman"/>
          <w:color w:val="auto"/>
          <w:kern w:val="2"/>
          <w:sz w:val="44"/>
          <w:szCs w:val="44"/>
          <w:highlight w:val="none"/>
          <w:lang w:val="en-US" w:eastAsia="zh-CN"/>
        </w:rPr>
        <w:t>中央引导地方科技发展资金项目绩效评价报告</w:t>
      </w:r>
    </w:p>
    <w:p w14:paraId="36587FCF">
      <w:pPr>
        <w:pStyle w:val="36"/>
        <w:keepNext w:val="0"/>
        <w:keepLines w:val="0"/>
        <w:pageBreakBefore w:val="0"/>
        <w:widowControl w:val="0"/>
        <w:kinsoku/>
        <w:wordWrap/>
        <w:overflowPunct/>
        <w:topLinePunct w:val="0"/>
        <w:autoSpaceDE/>
        <w:autoSpaceDN/>
        <w:bidi w:val="0"/>
        <w:adjustRightInd/>
        <w:snapToGrid/>
        <w:spacing w:line="300" w:lineRule="auto"/>
        <w:ind w:left="0" w:leftChars="0" w:firstLine="1292" w:firstLineChars="404"/>
        <w:jc w:val="both"/>
        <w:textAlignment w:val="auto"/>
        <w:rPr>
          <w:rFonts w:hint="default" w:ascii="Times New Roman" w:hAnsi="Times New Roman" w:eastAsia="楷体_GB2312" w:cs="Times New Roman"/>
          <w:b w:val="0"/>
          <w:bCs/>
          <w:color w:val="auto"/>
          <w:kern w:val="2"/>
          <w:sz w:val="32"/>
          <w:szCs w:val="32"/>
          <w:highlight w:val="none"/>
          <w:u w:val="none"/>
          <w:lang w:val="en-US" w:eastAsia="zh-CN" w:bidi="ar-SA"/>
        </w:rPr>
      </w:pPr>
      <w:r>
        <w:rPr>
          <w:rFonts w:hint="eastAsia" w:ascii="Times New Roman" w:hAnsi="Times New Roman" w:eastAsia="楷体_GB2312" w:cs="Times New Roman"/>
          <w:b w:val="0"/>
          <w:bCs/>
          <w:color w:val="auto"/>
          <w:kern w:val="2"/>
          <w:sz w:val="32"/>
          <w:szCs w:val="32"/>
          <w:highlight w:val="none"/>
          <w:u w:val="none"/>
          <w:lang w:val="en-US" w:eastAsia="zh-CN" w:bidi="ar-SA"/>
        </w:rPr>
        <w:t>（</w:t>
      </w:r>
      <w:r>
        <w:rPr>
          <w:rFonts w:hint="eastAsia" w:ascii="楷体_GB2312" w:hAnsi="楷体_GB2312" w:eastAsia="楷体_GB2312" w:cs="楷体_GB2312"/>
          <w:sz w:val="32"/>
          <w:szCs w:val="32"/>
        </w:rPr>
        <w:t>新型生物质燃料技术成果转化与应用项目</w:t>
      </w:r>
      <w:r>
        <w:rPr>
          <w:rFonts w:hint="eastAsia" w:ascii="Times New Roman" w:hAnsi="Times New Roman" w:eastAsia="楷体_GB2312" w:cs="Times New Roman"/>
          <w:b w:val="0"/>
          <w:bCs/>
          <w:color w:val="auto"/>
          <w:kern w:val="2"/>
          <w:sz w:val="32"/>
          <w:szCs w:val="32"/>
          <w:highlight w:val="none"/>
          <w:u w:val="none"/>
          <w:lang w:val="en-US" w:eastAsia="zh-CN" w:bidi="ar-SA"/>
        </w:rPr>
        <w:t>）</w:t>
      </w:r>
    </w:p>
    <w:p w14:paraId="0C003B7F">
      <w:pPr>
        <w:pStyle w:val="36"/>
        <w:keepNext w:val="0"/>
        <w:keepLines w:val="0"/>
        <w:pageBreakBefore w:val="0"/>
        <w:widowControl w:val="0"/>
        <w:kinsoku/>
        <w:wordWrap/>
        <w:overflowPunct/>
        <w:topLinePunct w:val="0"/>
        <w:autoSpaceDE/>
        <w:autoSpaceDN/>
        <w:bidi w:val="0"/>
        <w:adjustRightInd/>
        <w:snapToGrid/>
        <w:spacing w:line="300" w:lineRule="auto"/>
        <w:ind w:left="0" w:leftChars="0" w:firstLine="640"/>
        <w:jc w:val="center"/>
        <w:textAlignment w:val="auto"/>
        <w:rPr>
          <w:rFonts w:hint="default" w:ascii="Times New Roman" w:hAnsi="Times New Roman" w:eastAsia="楷体_GB2312" w:cs="Times New Roman"/>
          <w:b w:val="0"/>
          <w:bCs/>
          <w:color w:val="auto"/>
          <w:kern w:val="2"/>
          <w:sz w:val="32"/>
          <w:szCs w:val="32"/>
          <w:highlight w:val="none"/>
          <w:u w:val="none"/>
          <w:lang w:val="zh-CN" w:eastAsia="zh-CN" w:bidi="ar-SA"/>
        </w:rPr>
      </w:pPr>
    </w:p>
    <w:p w14:paraId="7931855D">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14:paraId="3506CBEE">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（一）设立背景及</w:t>
      </w:r>
      <w:r>
        <w:rPr>
          <w:rFonts w:hint="default" w:ascii="Times New Roman" w:hAnsi="Times New Roman" w:eastAsia="楷体_GB2312" w:cs="Times New Roman"/>
          <w:b/>
          <w:color w:val="auto"/>
          <w:sz w:val="32"/>
          <w:szCs w:val="32"/>
          <w:highlight w:val="none"/>
          <w:u w:val="none"/>
          <w:lang w:val="en-US" w:eastAsia="zh-CN"/>
        </w:rPr>
        <w:t>基本情</w:t>
      </w:r>
      <w:r>
        <w:rPr>
          <w:rFonts w:hint="default" w:ascii="Times New Roman" w:hAnsi="Times New Roman" w:eastAsia="楷体_GB2312" w:cs="Times New Roman"/>
          <w:b/>
          <w:color w:val="auto"/>
          <w:sz w:val="32"/>
          <w:szCs w:val="32"/>
          <w:highlight w:val="none"/>
          <w:u w:val="none"/>
          <w:lang w:val="zh-CN"/>
        </w:rPr>
        <w:t>况。</w:t>
      </w:r>
    </w:p>
    <w:p w14:paraId="0541EC1B">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kern w:val="0"/>
          <w:position w:val="0"/>
          <w:sz w:val="32"/>
          <w:szCs w:val="32"/>
          <w:highlight w:val="none"/>
          <w:lang w:val="en-US" w:eastAsia="zh-CN" w:bidi="ar-SA"/>
        </w:rPr>
      </w:pPr>
      <w:r>
        <w:rPr>
          <w:rFonts w:hint="default" w:ascii="Times New Roman" w:hAnsi="Times New Roman" w:eastAsia="仿宋_GB2312" w:cs="Times New Roman"/>
          <w:b/>
          <w:bCs/>
          <w:kern w:val="0"/>
          <w:position w:val="0"/>
          <w:sz w:val="32"/>
          <w:szCs w:val="32"/>
          <w:highlight w:val="none"/>
          <w:lang w:val="en-US" w:eastAsia="zh-CN" w:bidi="ar-SA"/>
        </w:rPr>
        <w:t>1.项目设立原因及背景。</w:t>
      </w:r>
      <w:r>
        <w:rPr>
          <w:rFonts w:hint="default" w:ascii="Times New Roman" w:hAnsi="Times New Roman" w:eastAsia="仿宋_GB2312" w:cs="Times New Roman"/>
          <w:b w:val="0"/>
          <w:bCs w:val="0"/>
          <w:kern w:val="0"/>
          <w:position w:val="0"/>
          <w:sz w:val="32"/>
          <w:szCs w:val="32"/>
          <w:highlight w:val="none"/>
          <w:lang w:val="en-US" w:eastAsia="zh-CN" w:bidi="ar-SA"/>
        </w:rPr>
        <w:t>生物质能源是一种清洁的可再生能源，攀枝花每年可循环利用的生物质原料供应量约达到330万吨，生物质致密成型燃料配生物质制气项目将带动本市数十亿生物质能源产业的规模。本项目将为本地区可再生能源的持续发展和环境保护起到积极的贡献并带来极大的社会效益。</w:t>
      </w:r>
    </w:p>
    <w:p w14:paraId="3DCA709C">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lang w:val="en-US" w:eastAsia="zh-CN"/>
        </w:rPr>
        <w:t>.项目</w:t>
      </w:r>
      <w:r>
        <w:rPr>
          <w:rFonts w:hint="default" w:ascii="Times New Roman" w:hAnsi="Times New Roman" w:eastAsia="仿宋_GB2312" w:cs="Times New Roman"/>
          <w:b/>
          <w:bCs/>
          <w:color w:val="000000"/>
          <w:kern w:val="0"/>
          <w:sz w:val="32"/>
          <w:szCs w:val="32"/>
        </w:rPr>
        <w:t>立项</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资金申报依据</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zh-CN" w:eastAsia="zh-CN"/>
        </w:rPr>
        <w:t>四川森田新能源科技有限公司按照四川省科技厅门户网站发布的</w:t>
      </w:r>
      <w:r>
        <w:rPr>
          <w:rFonts w:hint="default" w:ascii="Times New Roman" w:hAnsi="Times New Roman" w:eastAsia="仿宋_GB2312" w:cs="Times New Roman"/>
          <w:b w:val="0"/>
          <w:bCs w:val="0"/>
          <w:color w:val="000000"/>
          <w:kern w:val="0"/>
          <w:sz w:val="32"/>
          <w:szCs w:val="32"/>
          <w:lang w:val="en-US" w:eastAsia="zh-CN"/>
        </w:rPr>
        <w:t>2022年中央引导地方科技发展专项资金</w:t>
      </w:r>
      <w:r>
        <w:rPr>
          <w:rFonts w:hint="default" w:ascii="Times New Roman" w:hAnsi="Times New Roman" w:eastAsia="仿宋_GB2312" w:cs="Times New Roman"/>
          <w:b w:val="0"/>
          <w:bCs w:val="0"/>
          <w:color w:val="000000"/>
          <w:kern w:val="0"/>
          <w:sz w:val="32"/>
          <w:szCs w:val="32"/>
          <w:lang w:val="zh-CN" w:eastAsia="zh-CN"/>
        </w:rPr>
        <w:t>申报指南，登录四川省科技管理信息系统填写申报材料并提交，经市科技局审核后推荐报送省科技厅受理、评审、立项。</w:t>
      </w:r>
    </w:p>
    <w:p w14:paraId="7820B67B">
      <w:pPr>
        <w:keepNext w:val="0"/>
        <w:keepLines w:val="0"/>
        <w:pageBreakBefore w:val="0"/>
        <w:kinsoku/>
        <w:wordWrap/>
        <w:overflowPunct/>
        <w:topLinePunct w:val="0"/>
        <w:autoSpaceDE/>
        <w:autoSpaceDN/>
        <w:bidi w:val="0"/>
        <w:adjustRightInd/>
        <w:snapToGrid/>
        <w:spacing w:line="353" w:lineRule="auto"/>
        <w:ind w:firstLine="643" w:firstLineChars="200"/>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3.</w:t>
      </w:r>
      <w:r>
        <w:rPr>
          <w:rFonts w:hint="default" w:ascii="Times New Roman" w:hAnsi="Times New Roman" w:eastAsia="仿宋_GB2312" w:cs="Times New Roman"/>
          <w:b/>
          <w:bCs/>
          <w:color w:val="000000"/>
          <w:kern w:val="0"/>
          <w:sz w:val="32"/>
          <w:szCs w:val="32"/>
          <w:lang w:eastAsia="zh-CN"/>
        </w:rPr>
        <w:t>项目主要内容。</w:t>
      </w:r>
      <w:r>
        <w:rPr>
          <w:rFonts w:hint="default" w:ascii="Times New Roman" w:hAnsi="Times New Roman" w:eastAsia="仿宋_GB2312" w:cs="Times New Roman"/>
          <w:b w:val="0"/>
          <w:bCs w:val="0"/>
          <w:color w:val="000000"/>
          <w:kern w:val="0"/>
          <w:sz w:val="32"/>
          <w:szCs w:val="32"/>
          <w:lang w:val="en-US" w:eastAsia="zh-CN"/>
        </w:rPr>
        <w:t>通过本次项目开展建立一条年产生物质致密成型燃料20万吨的生产线,可以每年利用生物质可再生资源30万吨可节约标煤 19 万吨，减少二氧化碳排放 54 万吨、二氧化硫约 1080 吨，氨氢化合物 1250吨。</w:t>
      </w:r>
    </w:p>
    <w:p w14:paraId="57083FE4">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4.</w:t>
      </w:r>
      <w:r>
        <w:rPr>
          <w:rFonts w:hint="default" w:ascii="Times New Roman" w:hAnsi="Times New Roman" w:eastAsia="仿宋_GB2312" w:cs="Times New Roman"/>
          <w:b/>
          <w:bCs/>
          <w:color w:val="000000"/>
          <w:kern w:val="0"/>
          <w:sz w:val="32"/>
          <w:szCs w:val="32"/>
        </w:rPr>
        <w:t>主管部门职能</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zh-CN" w:eastAsia="zh-CN"/>
        </w:rPr>
        <w:t>四川森田新能源科技有限公司</w:t>
      </w:r>
      <w:r>
        <w:rPr>
          <w:rFonts w:hint="eastAsia" w:ascii="Times New Roman" w:hAnsi="Times New Roman" w:eastAsia="仿宋_GB2312" w:cs="Times New Roman"/>
          <w:b w:val="0"/>
          <w:bCs w:val="0"/>
          <w:kern w:val="0"/>
          <w:position w:val="0"/>
          <w:sz w:val="32"/>
          <w:szCs w:val="32"/>
          <w:highlight w:val="none"/>
          <w:lang w:val="en-US" w:eastAsia="zh-CN" w:bidi="ar-SA"/>
        </w:rPr>
        <w:t>作为项目申报单位，</w:t>
      </w:r>
      <w:r>
        <w:rPr>
          <w:rFonts w:hint="default" w:ascii="Times New Roman" w:hAnsi="Times New Roman" w:eastAsia="仿宋_GB2312" w:cs="Times New Roman"/>
          <w:b w:val="0"/>
          <w:bCs w:val="0"/>
          <w:color w:val="000000"/>
          <w:kern w:val="0"/>
          <w:sz w:val="32"/>
          <w:szCs w:val="32"/>
          <w:lang w:val="en-US" w:eastAsia="zh-CN"/>
        </w:rPr>
        <w:t>负责该项目进行方案制定、项目立项申报、建设实施、过程监督、项目验收等工作的具体实施。</w:t>
      </w:r>
    </w:p>
    <w:p w14:paraId="5C6080AE">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p>
    <w:p w14:paraId="67D8C644">
      <w:pPr>
        <w:keepNext w:val="0"/>
        <w:keepLines w:val="0"/>
        <w:pageBreakBefore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1</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项目资金管理办法制定情况</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zh-CN" w:eastAsia="zh-CN"/>
        </w:rPr>
        <w:t>项目单位财务管理制度健全，账务处理及时，会计核算规范。</w:t>
      </w:r>
      <w:r>
        <w:rPr>
          <w:rFonts w:hint="eastAsia" w:ascii="Times New Roman" w:hAnsi="Times New Roman" w:eastAsia="仿宋_GB2312" w:cs="Times New Roman"/>
          <w:color w:val="000000"/>
          <w:kern w:val="0"/>
          <w:sz w:val="32"/>
          <w:szCs w:val="32"/>
          <w:lang w:val="zh-CN"/>
        </w:rPr>
        <w:t>资金使用严格按照《财政部科技部关于印发&lt;中央引导地方科技发展资金管理办法&gt;的通知》(财教〔2021〕204号)、《四川省财政厅四川省科学技术厅关于印发&lt;四川省中央引导地方科技发展专项资金管理实施细则(试行)&gt;的通知》(川财教〔2020〕97号)规定执行。</w:t>
      </w:r>
    </w:p>
    <w:p w14:paraId="0AB795BE">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3" w:firstLineChars="200"/>
        <w:contextualSpacing/>
        <w:jc w:val="both"/>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项目实施目标与</w:t>
      </w:r>
      <w:r>
        <w:rPr>
          <w:rFonts w:hint="default" w:ascii="Times New Roman" w:hAnsi="Times New Roman" w:eastAsia="仿宋_GB2312" w:cs="Times New Roman"/>
          <w:b/>
          <w:bCs/>
          <w:color w:val="000000"/>
          <w:kern w:val="0"/>
          <w:sz w:val="32"/>
          <w:szCs w:val="32"/>
          <w:lang w:val="en-US" w:eastAsia="zh-CN"/>
        </w:rPr>
        <w:t>主要工作</w:t>
      </w:r>
      <w:r>
        <w:rPr>
          <w:rFonts w:hint="default" w:ascii="Times New Roman" w:hAnsi="Times New Roman" w:eastAsia="仿宋_GB2312" w:cs="Times New Roman"/>
          <w:b/>
          <w:bCs/>
          <w:color w:val="000000"/>
          <w:kern w:val="0"/>
          <w:sz w:val="32"/>
          <w:szCs w:val="32"/>
        </w:rPr>
        <w:t>任务</w:t>
      </w:r>
      <w:r>
        <w:rPr>
          <w:rFonts w:hint="default"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val="0"/>
          <w:bCs w:val="0"/>
          <w:color w:val="000000"/>
          <w:kern w:val="0"/>
          <w:sz w:val="32"/>
          <w:szCs w:val="32"/>
          <w:lang w:val="en-US" w:eastAsia="zh-CN"/>
        </w:rPr>
        <w:t>通过项目实施，</w:t>
      </w:r>
      <w:r>
        <w:rPr>
          <w:rFonts w:hint="default" w:ascii="Times New Roman" w:hAnsi="Times New Roman" w:eastAsia="仿宋_GB2312" w:cs="Times New Roman"/>
          <w:b w:val="0"/>
          <w:bCs w:val="0"/>
          <w:color w:val="000000"/>
          <w:kern w:val="0"/>
          <w:sz w:val="32"/>
          <w:szCs w:val="32"/>
          <w:lang w:val="zh-CN" w:eastAsia="zh-CN"/>
        </w:rPr>
        <w:t>转化科技成果数量10个；产品质量满足水分≤11%、密度≥1.22kg/m3、灰分≤1.6%、热值≥4200；项目带动社会投入与引导资金投入比例为40；项目促进科技投资融资金融800万元；培训从事技术创新服务人员20人；提供技术咨询/技术服务数量100次；节约标煤19万吨；减少二氧化碳、二氧化硫、氮氢化合物排放，其中二氧化碳54万吨、二氧化硫1080吨、氮氢化合物1250吨排放；新增就业岗位90个</w:t>
      </w:r>
      <w:r>
        <w:rPr>
          <w:rFonts w:hint="eastAsia" w:ascii="Times New Roman" w:hAnsi="Times New Roman" w:eastAsia="仿宋_GB2312" w:cs="Times New Roman"/>
          <w:b w:val="0"/>
          <w:bCs w:val="0"/>
          <w:color w:val="000000"/>
          <w:kern w:val="0"/>
          <w:sz w:val="32"/>
          <w:szCs w:val="32"/>
          <w:lang w:val="zh-CN" w:eastAsia="zh-CN"/>
        </w:rPr>
        <w:t>。</w:t>
      </w:r>
    </w:p>
    <w:p w14:paraId="2828940F">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3" w:firstLineChars="200"/>
        <w:contextualSpacing/>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bCs/>
          <w:color w:val="000000"/>
          <w:kern w:val="0"/>
          <w:sz w:val="32"/>
          <w:szCs w:val="32"/>
          <w:lang w:val="en-US" w:eastAsia="zh-CN"/>
        </w:rPr>
        <w:t>3.项目</w:t>
      </w:r>
      <w:r>
        <w:rPr>
          <w:rFonts w:hint="default" w:ascii="Times New Roman" w:hAnsi="Times New Roman" w:eastAsia="仿宋_GB2312" w:cs="Times New Roman"/>
          <w:b/>
          <w:bCs/>
          <w:color w:val="000000"/>
          <w:kern w:val="0"/>
          <w:sz w:val="32"/>
          <w:szCs w:val="32"/>
        </w:rPr>
        <w:t>支持方向</w:t>
      </w:r>
      <w:r>
        <w:rPr>
          <w:rFonts w:hint="default"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val="zh-CN"/>
        </w:rPr>
        <w:t>项目资金属于后补助资金，主要支持企业开展科技成果转化。</w:t>
      </w:r>
    </w:p>
    <w:p w14:paraId="67E34441">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70C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default" w:ascii="Times New Roman" w:hAnsi="Times New Roman" w:eastAsia="楷体_GB2312" w:cs="Times New Roman"/>
          <w:b/>
          <w:color w:val="auto"/>
          <w:sz w:val="32"/>
          <w:szCs w:val="32"/>
          <w:highlight w:val="none"/>
          <w:u w:val="none"/>
          <w:lang w:val="zh-CN" w:eastAsia="zh-CN"/>
        </w:rPr>
        <w:t>。</w:t>
      </w:r>
      <w:r>
        <w:rPr>
          <w:rFonts w:hint="eastAsia" w:ascii="Times New Roman" w:hAnsi="Times New Roman" w:eastAsia="仿宋_GB2312" w:cs="Times New Roman"/>
          <w:color w:val="000000"/>
          <w:kern w:val="0"/>
          <w:sz w:val="32"/>
          <w:szCs w:val="32"/>
          <w:lang w:val="zh-CN"/>
        </w:rPr>
        <w:t>本项目拟投入资金总额100万元，其中专项资金50万元，自筹资金50万元。资金全部用于项目《新型生物质燃料技术成果转化与应用》中的间接费、直接费用及项目业务费和劳务费的支出。其中间接费用10万元（绩效支出6万），直接费用</w:t>
      </w:r>
      <w:r>
        <w:rPr>
          <w:rFonts w:hint="eastAsia" w:ascii="Times New Roman" w:hAnsi="Times New Roman" w:eastAsia="仿宋_GB2312" w:cs="Times New Roman"/>
          <w:color w:val="auto"/>
          <w:kern w:val="0"/>
          <w:sz w:val="32"/>
          <w:szCs w:val="32"/>
          <w:lang w:val="zh-CN"/>
        </w:rPr>
        <w:t>40万元</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Times New Roman"/>
          <w:color w:val="auto"/>
          <w:kern w:val="0"/>
          <w:sz w:val="32"/>
          <w:szCs w:val="32"/>
          <w:lang w:val="zh-CN"/>
        </w:rPr>
        <w:t>业务费（含材料、测试化验加工、燃料动力、差旅费、会议费、国际合作与交流、出版、文献、信息传播、知识产权事务和其他费用）35万，劳务费（含专家咨询费）5万</w:t>
      </w:r>
      <w:r>
        <w:rPr>
          <w:rFonts w:hint="eastAsia" w:ascii="仿宋_GB2312" w:hAnsi="仿宋_GB2312" w:eastAsia="仿宋_GB2312" w:cs="仿宋_GB2312"/>
          <w:color w:val="auto"/>
          <w:kern w:val="0"/>
          <w:sz w:val="32"/>
          <w:szCs w:val="32"/>
          <w:lang w:val="zh-CN"/>
        </w:rPr>
        <w:t>]</w:t>
      </w:r>
      <w:r>
        <w:rPr>
          <w:rFonts w:hint="eastAsia" w:ascii="Times New Roman" w:hAnsi="Times New Roman" w:eastAsia="仿宋_GB2312" w:cs="Times New Roman"/>
          <w:color w:val="auto"/>
          <w:kern w:val="0"/>
          <w:sz w:val="32"/>
          <w:szCs w:val="32"/>
          <w:lang w:val="zh-CN"/>
        </w:rPr>
        <w:t>。</w:t>
      </w:r>
    </w:p>
    <w:p w14:paraId="2AED4E02">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3" w:firstLineChars="200"/>
        <w:contextualSpacing/>
        <w:jc w:val="both"/>
        <w:textAlignment w:val="auto"/>
        <w:rPr>
          <w:rFonts w:hint="default" w:ascii="Times New Roman" w:hAnsi="Times New Roman" w:eastAsia="楷体_GB2312" w:cs="Times New Roman"/>
          <w:b/>
          <w:color w:val="auto"/>
          <w:sz w:val="32"/>
          <w:szCs w:val="32"/>
          <w:highlight w:val="none"/>
          <w:u w:val="none"/>
          <w:lang w:val="zh-CN" w:eastAsia="zh-CN"/>
        </w:rPr>
      </w:pPr>
      <w:r>
        <w:rPr>
          <w:rFonts w:hint="default" w:ascii="Times New Roman" w:hAnsi="Times New Roman" w:eastAsia="楷体_GB2312" w:cs="Times New Roman"/>
          <w:b/>
          <w:color w:val="auto"/>
          <w:sz w:val="32"/>
          <w:szCs w:val="32"/>
          <w:highlight w:val="none"/>
          <w:u w:val="none"/>
          <w:lang w:val="zh-CN" w:eastAsia="zh-CN"/>
        </w:rPr>
        <w:t>（四）项目绩效目标设置。</w:t>
      </w:r>
    </w:p>
    <w:p w14:paraId="48ABFA2B">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0" w:firstLineChars="200"/>
        <w:contextualSpacing/>
        <w:jc w:val="both"/>
        <w:textAlignment w:val="auto"/>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val="zh-CN"/>
        </w:rPr>
        <w:t>转化科技成果数量10个；</w:t>
      </w:r>
    </w:p>
    <w:p w14:paraId="671BCBD4">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0" w:firstLineChars="200"/>
        <w:contextualSpacing/>
        <w:jc w:val="both"/>
        <w:textAlignment w:val="auto"/>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zh-CN"/>
        </w:rPr>
        <w:t>质量绩效：产品质量满足以下技术要求：水分≤11%、密度≥1.22kg/m3、灰分≤1.6%、热值≥4200；</w:t>
      </w:r>
    </w:p>
    <w:p w14:paraId="6467137E">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0" w:firstLineChars="200"/>
        <w:contextualSpacing/>
        <w:jc w:val="both"/>
        <w:textAlignment w:val="auto"/>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val="zh-CN"/>
        </w:rPr>
        <w:t>经济效益指标：项目带动社会投入与引导资金投入比例为40；项目促进科技投资融资金融800万元；</w:t>
      </w:r>
    </w:p>
    <w:p w14:paraId="4F7413E0">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0" w:firstLineChars="200"/>
        <w:contextualSpacing/>
        <w:jc w:val="both"/>
        <w:textAlignment w:val="auto"/>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en-US" w:eastAsia="zh-CN"/>
        </w:rPr>
        <w:t>4.</w:t>
      </w:r>
      <w:r>
        <w:rPr>
          <w:rFonts w:hint="eastAsia" w:ascii="Times New Roman" w:hAnsi="Times New Roman" w:eastAsia="仿宋_GB2312" w:cs="Times New Roman"/>
          <w:color w:val="000000"/>
          <w:kern w:val="0"/>
          <w:sz w:val="32"/>
          <w:szCs w:val="32"/>
          <w:lang w:val="zh-CN"/>
        </w:rPr>
        <w:t>社会效益指标：培训从事技术创新服务人员20人；提供技术咨询/技术服务数量100次；新增就业岗位90个；</w:t>
      </w:r>
    </w:p>
    <w:p w14:paraId="6E037635">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0" w:firstLineChars="200"/>
        <w:contextualSpacing/>
        <w:jc w:val="both"/>
        <w:textAlignment w:val="auto"/>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val="zh-CN"/>
        </w:rPr>
        <w:t>生态效益指标：节约标煤19万吨；减少二氧化碳、二氧化硫、氮氢化合物排放，其中二氧化碳54万吨、二氧化硫1080吨、氮氢化合物1250吨排放；</w:t>
      </w:r>
    </w:p>
    <w:p w14:paraId="0CB89F2B">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14:paraId="5C93ED53">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（一）评价目的。</w:t>
      </w:r>
      <w:r>
        <w:rPr>
          <w:rFonts w:hint="default" w:ascii="Times New Roman" w:hAnsi="Times New Roman" w:eastAsia="仿宋_GB2312" w:cs="Times New Roman"/>
          <w:color w:val="000000"/>
          <w:kern w:val="0"/>
          <w:sz w:val="32"/>
          <w:szCs w:val="32"/>
        </w:rPr>
        <w:t>通过项目绩效自评，全面了解和掌握项目的实际执行情况和实施效果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客观评价项目资金的支出使用效率和效益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发现项目执行过程中存在的问题和不足，提出改进措施和建议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为项目的后续管理和决策提供科学依据和参考。</w:t>
      </w:r>
    </w:p>
    <w:p w14:paraId="6CD795C9">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（二）预设问题及评价重点。</w:t>
      </w:r>
      <w:r>
        <w:rPr>
          <w:rFonts w:hint="default" w:ascii="Times New Roman" w:hAnsi="Times New Roman" w:eastAsia="仿宋_GB2312" w:cs="Times New Roman"/>
          <w:b w:val="0"/>
          <w:bCs w:val="0"/>
          <w:kern w:val="0"/>
          <w:position w:val="0"/>
          <w:sz w:val="32"/>
          <w:szCs w:val="32"/>
          <w:highlight w:val="none"/>
          <w:lang w:val="zh-CN" w:eastAsia="zh-CN" w:bidi="ar-SA"/>
        </w:rPr>
        <w:t>根据绩效评价指标体系，对资金支出使用全过程及其实施效果进行综合评价和判断。评价重点包括：项目资金的分配和使用是否符合预算计划和规定；项目是否按照预定的时间节点和目标任务完成；项目实施过程中是否遵循了相关的管理制度和规定；项目是否取得了预期的经济效益和社会效益。</w:t>
      </w:r>
    </w:p>
    <w:p w14:paraId="6B30E81E">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（三）评价选点。</w:t>
      </w:r>
      <w:r>
        <w:rPr>
          <w:rFonts w:hint="eastAsia" w:ascii="仿宋" w:hAnsi="仿宋" w:eastAsia="仿宋"/>
          <w:color w:val="auto"/>
          <w:sz w:val="32"/>
          <w:szCs w:val="32"/>
          <w:lang w:val="zh-CN"/>
        </w:rPr>
        <w:t>根据项目</w:t>
      </w:r>
      <w:r>
        <w:rPr>
          <w:rFonts w:hint="eastAsia" w:ascii="仿宋" w:hAnsi="仿宋" w:eastAsia="仿宋"/>
          <w:color w:val="auto"/>
          <w:sz w:val="32"/>
          <w:szCs w:val="32"/>
          <w:lang w:val="en-US" w:eastAsia="zh-CN"/>
        </w:rPr>
        <w:t>实施</w:t>
      </w:r>
      <w:r>
        <w:rPr>
          <w:rFonts w:hint="eastAsia" w:ascii="仿宋" w:hAnsi="仿宋" w:eastAsia="仿宋"/>
          <w:color w:val="auto"/>
          <w:sz w:val="32"/>
          <w:szCs w:val="32"/>
          <w:lang w:val="zh-CN"/>
        </w:rPr>
        <w:t>成果现状进行评价。</w:t>
      </w:r>
    </w:p>
    <w:p w14:paraId="52C947A4">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（四）评价方法。</w:t>
      </w:r>
      <w:r>
        <w:rPr>
          <w:rFonts w:hint="default" w:ascii="Times New Roman" w:hAnsi="Times New Roman" w:eastAsia="仿宋_GB2312" w:cs="Times New Roman"/>
          <w:b w:val="0"/>
          <w:bCs w:val="0"/>
          <w:kern w:val="0"/>
          <w:position w:val="0"/>
          <w:sz w:val="32"/>
          <w:szCs w:val="32"/>
          <w:highlight w:val="none"/>
          <w:lang w:val="zh-CN" w:eastAsia="zh-CN" w:bidi="ar-SA"/>
        </w:rPr>
        <w:t>根据本项目情况和评价重点，采用单位自评法开展具体评价工作。</w:t>
      </w:r>
    </w:p>
    <w:p w14:paraId="3C01CA3F">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Cs/>
          <w:lang w:eastAsia="zh-CN"/>
        </w:rPr>
      </w:pPr>
      <w:r>
        <w:rPr>
          <w:rFonts w:hint="default" w:ascii="Times New Roman" w:hAnsi="Times New Roman" w:eastAsia="楷体_GB2312" w:cs="Times New Roman"/>
          <w:b/>
          <w:color w:val="auto"/>
          <w:sz w:val="32"/>
          <w:szCs w:val="32"/>
          <w:highlight w:val="none"/>
          <w:u w:val="none"/>
          <w:lang w:val="zh-CN"/>
        </w:rPr>
        <w:t>（五）评价组织。</w:t>
      </w:r>
      <w:r>
        <w:rPr>
          <w:rFonts w:hint="default" w:ascii="Times New Roman" w:hAnsi="Times New Roman" w:eastAsia="仿宋_GB2312" w:cs="Times New Roman"/>
          <w:b w:val="0"/>
          <w:bCs w:val="0"/>
          <w:kern w:val="0"/>
          <w:position w:val="0"/>
          <w:sz w:val="32"/>
          <w:szCs w:val="32"/>
          <w:highlight w:val="none"/>
          <w:lang w:val="zh-CN" w:eastAsia="zh-CN" w:bidi="ar-SA"/>
        </w:rPr>
        <w:t>本次绩效自评工作由项目实施单位自行组织</w:t>
      </w:r>
      <w:r>
        <w:rPr>
          <w:rFonts w:hint="eastAsia" w:ascii="Times New Roman" w:hAnsi="Times New Roman" w:eastAsia="仿宋_GB2312" w:cs="Times New Roman"/>
          <w:b w:val="0"/>
          <w:bCs w:val="0"/>
          <w:kern w:val="0"/>
          <w:position w:val="0"/>
          <w:sz w:val="32"/>
          <w:szCs w:val="32"/>
          <w:highlight w:val="none"/>
          <w:lang w:val="zh-CN" w:eastAsia="zh-CN" w:bidi="ar-SA"/>
        </w:rPr>
        <w:t>。</w:t>
      </w:r>
    </w:p>
    <w:p w14:paraId="58931F13">
      <w:pPr>
        <w:keepNext w:val="0"/>
        <w:keepLines w:val="0"/>
        <w:pageBreakBefore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14:paraId="59312DF9">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（一）</w:t>
      </w:r>
      <w:r>
        <w:rPr>
          <w:rFonts w:hint="default"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76F50492">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1.项目决策。</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lang w:eastAsia="zh-CN"/>
        </w:rPr>
        <w:t>项目设立、调整符合《四川省中央引导地方科技发展专项资金管理实施细则》和决策程序要求；项目规划符合中央、省委省政府有关决策部署安排，</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绩效目标设置科学合理；</w:t>
      </w:r>
      <w:r>
        <w:rPr>
          <w:rFonts w:hint="eastAsia" w:ascii="仿宋_GB2312" w:hAnsi="仿宋_GB2312" w:eastAsia="仿宋_GB2312" w:cs="仿宋_GB2312"/>
          <w:color w:val="000000"/>
          <w:sz w:val="32"/>
          <w:szCs w:val="32"/>
          <w:lang w:val="en-US" w:eastAsia="zh-CN"/>
        </w:rPr>
        <w:t>项目资金与项目总体规划、行业发展相匹配，体现“集中财力办大事”原则</w:t>
      </w:r>
      <w:r>
        <w:rPr>
          <w:rFonts w:hint="eastAsia" w:ascii="仿宋_GB2312" w:hAnsi="仿宋_GB2312" w:eastAsia="仿宋_GB2312" w:cs="仿宋_GB2312"/>
          <w:color w:val="000000"/>
          <w:sz w:val="32"/>
          <w:szCs w:val="32"/>
          <w:lang w:eastAsia="zh-CN"/>
        </w:rPr>
        <w:t>。</w:t>
      </w:r>
    </w:p>
    <w:p w14:paraId="2294B083">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2.项目管理。</w:t>
      </w:r>
      <w:r>
        <w:rPr>
          <w:rFonts w:hint="eastAsia" w:ascii="仿宋_GB2312" w:hAnsi="仿宋_GB2312" w:eastAsia="仿宋_GB2312" w:cs="仿宋_GB2312"/>
          <w:color w:val="000000"/>
          <w:sz w:val="32"/>
          <w:szCs w:val="32"/>
          <w:lang w:val="en-US" w:eastAsia="zh-CN"/>
        </w:rPr>
        <w:t>资金管理办法健全完善，不存在管理制度缺失、管理办法过期情况；项目资金分配合理，项目管理、审批符合管理要求；项目全面完成绩效目标、绩效评价等预算绩效管理工作，不存在对资金分配和项目管理指导力度不够的情况，开展评价、监督、指导工作有力有效。</w:t>
      </w:r>
    </w:p>
    <w:p w14:paraId="50A11636">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3.项目实施。</w:t>
      </w:r>
      <w:r>
        <w:rPr>
          <w:rFonts w:hint="default" w:ascii="Times New Roman" w:hAnsi="Times New Roman" w:eastAsia="仿宋_GB2312" w:cs="Times New Roman"/>
          <w:b w:val="0"/>
          <w:bCs w:val="0"/>
          <w:color w:val="auto"/>
          <w:kern w:val="0"/>
          <w:position w:val="0"/>
          <w:sz w:val="32"/>
          <w:szCs w:val="32"/>
          <w:highlight w:val="none"/>
          <w:lang w:val="zh-CN" w:eastAsia="zh-CN" w:bidi="ar-SA"/>
        </w:rPr>
        <w:t>严格按照预算计划执行项目资金支出，确保了资金的专款专用和合理使用；资金使用符合相关法规和政策要求，未出现违规使用和浪费现象。</w:t>
      </w:r>
    </w:p>
    <w:p w14:paraId="1590E4B7">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4.项目结果。</w:t>
      </w:r>
      <w:r>
        <w:rPr>
          <w:rFonts w:hint="eastAsia" w:ascii="Times New Roman" w:hAnsi="Times New Roman" w:eastAsia="仿宋_GB2312" w:cs="Times New Roman"/>
          <w:b w:val="0"/>
          <w:bCs w:val="0"/>
          <w:color w:val="auto"/>
          <w:kern w:val="0"/>
          <w:position w:val="0"/>
          <w:sz w:val="32"/>
          <w:szCs w:val="32"/>
          <w:highlight w:val="none"/>
          <w:lang w:val="en-US" w:eastAsia="zh-CN" w:bidi="ar-SA"/>
        </w:rPr>
        <w:t>项目完成预期目标，实施结果与绩效目标相匹配，反映目标实现程度；项目实际完成时间与计划完成时间一致。</w:t>
      </w:r>
    </w:p>
    <w:p w14:paraId="555B1728">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eastAsia"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4C4A14B6">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w:t>
      </w:r>
      <w:r>
        <w:rPr>
          <w:rFonts w:hint="default" w:ascii="Times New Roman" w:hAnsi="Times New Roman" w:eastAsia="楷体_GB2312" w:cs="Times New Roman"/>
          <w:b/>
          <w:bCs/>
          <w:color w:val="000000"/>
          <w:kern w:val="0"/>
          <w:sz w:val="32"/>
          <w:szCs w:val="32"/>
          <w:highlight w:val="none"/>
          <w:shd w:val="clear" w:color="auto" w:fill="FFFFFF"/>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绩效分析。</w:t>
      </w: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56740D92">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、评价结论</w:t>
      </w:r>
    </w:p>
    <w:p w14:paraId="219432CE">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bookmarkStart w:id="50" w:name="OLE_LINK2"/>
      <w:r>
        <w:rPr>
          <w:rFonts w:hint="default" w:ascii="Times New Roman" w:hAnsi="Times New Roman" w:eastAsia="仿宋_GB2312" w:cs="Times New Roman"/>
          <w:b w:val="0"/>
          <w:bCs w:val="0"/>
          <w:kern w:val="0"/>
          <w:position w:val="0"/>
          <w:sz w:val="32"/>
          <w:szCs w:val="32"/>
          <w:highlight w:val="none"/>
          <w:lang w:val="zh-CN" w:eastAsia="zh-CN" w:bidi="ar-SA"/>
        </w:rPr>
        <w:t>结合专项项目支出绩效评价指标体系，该项目省级专项资金主要用于支持地方开展科技成果转化，项目单位严格按照有关管理办法执行，项目资金管理使用规范，绩效目标全部实现，项目的实施对于促进企业自主创新和经济社会发展起到了积极的推动作用。</w:t>
      </w:r>
      <w:bookmarkEnd w:id="50"/>
    </w:p>
    <w:p w14:paraId="1C6494C9">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五、存在主要问题</w:t>
      </w:r>
    </w:p>
    <w:p w14:paraId="109988C7">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eastAsia" w:ascii="Times New Roman" w:hAnsi="Times New Roman" w:eastAsia="仿宋_GB2312" w:cs="Times New Roman"/>
          <w:b w:val="0"/>
          <w:bCs w:val="0"/>
          <w:kern w:val="0"/>
          <w:position w:val="0"/>
          <w:sz w:val="32"/>
          <w:szCs w:val="32"/>
          <w:highlight w:val="none"/>
          <w:lang w:val="en-US" w:eastAsia="zh-CN" w:bidi="ar-SA"/>
        </w:rPr>
      </w:pP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217C8AF2">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kern w:val="0"/>
          <w:position w:val="3"/>
          <w:sz w:val="32"/>
          <w:szCs w:val="32"/>
          <w:highlight w:val="none"/>
          <w:u w:val="none"/>
          <w:lang w:val="zh-CN" w:eastAsia="zh-CN" w:bidi="ar-SA"/>
        </w:rPr>
      </w:pPr>
      <w:r>
        <w:rPr>
          <w:rFonts w:hint="default" w:ascii="Times New Roman" w:hAnsi="Times New Roman" w:eastAsia="黑体" w:cs="Times New Roman"/>
          <w:color w:val="auto"/>
          <w:kern w:val="0"/>
          <w:position w:val="3"/>
          <w:sz w:val="32"/>
          <w:szCs w:val="32"/>
          <w:highlight w:val="none"/>
          <w:u w:val="none"/>
          <w:lang w:val="zh-CN" w:eastAsia="zh-CN" w:bidi="ar-SA"/>
        </w:rPr>
        <w:t>六、改进建议</w:t>
      </w:r>
    </w:p>
    <w:p w14:paraId="783F90BF">
      <w:pPr>
        <w:keepNext w:val="0"/>
        <w:keepLines w:val="0"/>
        <w:pageBreakBefore w:val="0"/>
        <w:tabs>
          <w:tab w:val="left" w:pos="1911"/>
        </w:tabs>
        <w:kinsoku/>
        <w:wordWrap/>
        <w:overflowPunct/>
        <w:topLinePunct w:val="0"/>
        <w:autoSpaceDE/>
        <w:autoSpaceDN/>
        <w:bidi w:val="0"/>
        <w:adjustRightInd/>
        <w:snapToGrid/>
        <w:spacing w:line="353" w:lineRule="auto"/>
        <w:ind w:firstLine="640" w:firstLineChars="200"/>
        <w:jc w:val="left"/>
        <w:textAlignment w:val="auto"/>
        <w:rPr>
          <w:rFonts w:hint="eastAsia" w:ascii="Times New Roman" w:hAnsi="Times New Roman" w:eastAsia="仿宋_GB2312" w:cs="Times New Roman"/>
          <w:b w:val="0"/>
          <w:bCs w:val="0"/>
          <w:kern w:val="0"/>
          <w:position w:val="0"/>
          <w:sz w:val="32"/>
          <w:szCs w:val="32"/>
          <w:highlight w:val="none"/>
          <w:lang w:val="en-US" w:eastAsia="zh-CN" w:bidi="ar-SA"/>
        </w:rPr>
      </w:pPr>
      <w:r>
        <w:rPr>
          <w:rFonts w:hint="eastAsia" w:ascii="Times New Roman" w:hAnsi="Times New Roman" w:eastAsia="仿宋_GB2312" w:cs="Times New Roman"/>
          <w:b w:val="0"/>
          <w:bCs w:val="0"/>
          <w:kern w:val="0"/>
          <w:position w:val="0"/>
          <w:sz w:val="32"/>
          <w:szCs w:val="32"/>
          <w:highlight w:val="none"/>
          <w:lang w:val="en-US" w:eastAsia="zh-CN" w:bidi="ar-SA"/>
        </w:rPr>
        <w:t>无。</w:t>
      </w:r>
      <w:bookmarkEnd w:id="49"/>
    </w:p>
    <w:p w14:paraId="1DA7DC3A">
      <w:pPr>
        <w:keepNext w:val="0"/>
        <w:keepLines w:val="0"/>
        <w:pageBreakBefore w:val="0"/>
        <w:tabs>
          <w:tab w:val="left" w:pos="1911"/>
        </w:tabs>
        <w:kinsoku/>
        <w:wordWrap/>
        <w:overflowPunct/>
        <w:topLinePunct w:val="0"/>
        <w:autoSpaceDE/>
        <w:autoSpaceDN/>
        <w:bidi w:val="0"/>
        <w:adjustRightInd/>
        <w:snapToGrid/>
        <w:spacing w:line="353" w:lineRule="auto"/>
        <w:ind w:firstLine="640" w:firstLineChars="200"/>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p>
    <w:p w14:paraId="3E520909">
      <w:pPr>
        <w:pStyle w:val="36"/>
        <w:keepNext w:val="0"/>
        <w:keepLines w:val="0"/>
        <w:pageBreakBefore w:val="0"/>
        <w:widowControl w:val="0"/>
        <w:kinsoku/>
        <w:wordWrap/>
        <w:overflowPunct/>
        <w:topLinePunct w:val="0"/>
        <w:autoSpaceDE/>
        <w:autoSpaceDN/>
        <w:bidi w:val="0"/>
        <w:adjustRightInd/>
        <w:snapToGrid/>
        <w:spacing w:line="300" w:lineRule="auto"/>
        <w:ind w:left="0" w:leftChars="0"/>
        <w:jc w:val="center"/>
        <w:textAlignment w:val="auto"/>
        <w:rPr>
          <w:rFonts w:hint="default" w:ascii="Times New Roman" w:hAnsi="Times New Roman" w:eastAsia="方正小标宋_GBK" w:cs="Times New Roman"/>
          <w:color w:val="auto"/>
          <w:spacing w:val="-17"/>
          <w:kern w:val="2"/>
          <w:sz w:val="44"/>
          <w:szCs w:val="44"/>
          <w:highlight w:val="none"/>
          <w:lang w:val="en-US" w:eastAsia="zh-CN"/>
        </w:rPr>
      </w:pPr>
      <w:r>
        <w:rPr>
          <w:rFonts w:hint="default" w:ascii="Times New Roman" w:hAnsi="Times New Roman" w:eastAsia="方正小标宋_GBK" w:cs="Times New Roman"/>
          <w:color w:val="auto"/>
          <w:spacing w:val="-17"/>
          <w:kern w:val="2"/>
          <w:sz w:val="44"/>
          <w:szCs w:val="44"/>
          <w:highlight w:val="none"/>
          <w:lang w:val="en-US" w:eastAsia="zh-CN"/>
        </w:rPr>
        <w:t>四川省科技计划项目专项资金项目绩效评价报告</w:t>
      </w:r>
    </w:p>
    <w:p w14:paraId="3D9B0EA1">
      <w:pPr>
        <w:pStyle w:val="36"/>
        <w:keepNext w:val="0"/>
        <w:keepLines w:val="0"/>
        <w:pageBreakBefore w:val="0"/>
        <w:widowControl w:val="0"/>
        <w:kinsoku/>
        <w:wordWrap/>
        <w:overflowPunct/>
        <w:topLinePunct w:val="0"/>
        <w:autoSpaceDE/>
        <w:autoSpaceDN/>
        <w:bidi w:val="0"/>
        <w:adjustRightInd/>
        <w:snapToGrid/>
        <w:spacing w:line="300" w:lineRule="auto"/>
        <w:ind w:left="0" w:leftChars="0" w:firstLine="640"/>
        <w:jc w:val="center"/>
        <w:textAlignment w:val="auto"/>
        <w:rPr>
          <w:rFonts w:hint="default" w:ascii="Times New Roman" w:hAnsi="Times New Roman" w:eastAsia="楷体_GB2312" w:cs="Times New Roman"/>
          <w:b w:val="0"/>
          <w:bCs/>
          <w:color w:val="auto"/>
          <w:kern w:val="2"/>
          <w:sz w:val="32"/>
          <w:szCs w:val="32"/>
          <w:highlight w:val="none"/>
          <w:u w:val="none"/>
          <w:lang w:val="en-US" w:eastAsia="zh-CN" w:bidi="ar-SA"/>
        </w:rPr>
      </w:pPr>
      <w:r>
        <w:rPr>
          <w:rFonts w:hint="eastAsia" w:ascii="Times New Roman" w:hAnsi="Times New Roman" w:eastAsia="楷体_GB2312" w:cs="Times New Roman"/>
          <w:b w:val="0"/>
          <w:bCs/>
          <w:color w:val="auto"/>
          <w:kern w:val="2"/>
          <w:sz w:val="32"/>
          <w:szCs w:val="32"/>
          <w:highlight w:val="none"/>
          <w:u w:val="none"/>
          <w:lang w:val="en-US" w:eastAsia="zh-CN" w:bidi="ar-SA"/>
        </w:rPr>
        <w:t>（竹芋新飞羽规模化种植技术研究与应用示范项目）</w:t>
      </w:r>
    </w:p>
    <w:p w14:paraId="2C3696FB">
      <w:pPr>
        <w:pStyle w:val="36"/>
        <w:keepNext w:val="0"/>
        <w:keepLines w:val="0"/>
        <w:pageBreakBefore w:val="0"/>
        <w:widowControl w:val="0"/>
        <w:kinsoku/>
        <w:wordWrap/>
        <w:overflowPunct/>
        <w:topLinePunct w:val="0"/>
        <w:autoSpaceDE/>
        <w:autoSpaceDN/>
        <w:bidi w:val="0"/>
        <w:adjustRightInd/>
        <w:snapToGrid/>
        <w:spacing w:line="300" w:lineRule="auto"/>
        <w:ind w:left="0" w:leftChars="0" w:firstLine="640"/>
        <w:jc w:val="center"/>
        <w:textAlignment w:val="auto"/>
        <w:rPr>
          <w:rFonts w:hint="default" w:ascii="Times New Roman" w:hAnsi="Times New Roman" w:eastAsia="楷体_GB2312" w:cs="Times New Roman"/>
          <w:b w:val="0"/>
          <w:bCs/>
          <w:color w:val="auto"/>
          <w:kern w:val="2"/>
          <w:sz w:val="32"/>
          <w:szCs w:val="32"/>
          <w:highlight w:val="none"/>
          <w:u w:val="none"/>
          <w:lang w:val="zh-CN" w:eastAsia="zh-CN" w:bidi="ar-SA"/>
        </w:rPr>
      </w:pPr>
    </w:p>
    <w:p w14:paraId="6349E49E">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14:paraId="3D18A63F">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（一）设立背景及</w:t>
      </w:r>
      <w:r>
        <w:rPr>
          <w:rFonts w:hint="default" w:ascii="Times New Roman" w:hAnsi="Times New Roman" w:eastAsia="楷体_GB2312" w:cs="Times New Roman"/>
          <w:b/>
          <w:color w:val="auto"/>
          <w:sz w:val="32"/>
          <w:szCs w:val="32"/>
          <w:highlight w:val="none"/>
          <w:u w:val="none"/>
          <w:lang w:val="en-US" w:eastAsia="zh-CN"/>
        </w:rPr>
        <w:t>基本情</w:t>
      </w:r>
      <w:r>
        <w:rPr>
          <w:rFonts w:hint="default" w:ascii="Times New Roman" w:hAnsi="Times New Roman" w:eastAsia="楷体_GB2312" w:cs="Times New Roman"/>
          <w:b/>
          <w:color w:val="auto"/>
          <w:sz w:val="32"/>
          <w:szCs w:val="32"/>
          <w:highlight w:val="none"/>
          <w:u w:val="none"/>
          <w:lang w:val="zh-CN"/>
        </w:rPr>
        <w:t>况。</w:t>
      </w:r>
    </w:p>
    <w:p w14:paraId="5FDA050B">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bCs/>
          <w:kern w:val="0"/>
          <w:position w:val="0"/>
          <w:sz w:val="32"/>
          <w:szCs w:val="32"/>
          <w:highlight w:val="none"/>
          <w:lang w:val="en-US" w:eastAsia="zh-CN" w:bidi="ar-SA"/>
        </w:rPr>
        <w:t>1.项目设立原因及背景。</w:t>
      </w:r>
      <w:r>
        <w:rPr>
          <w:rFonts w:hint="eastAsia" w:ascii="Times New Roman" w:hAnsi="Times New Roman" w:eastAsia="仿宋_GB2312" w:cs="Times New Roman"/>
          <w:b w:val="0"/>
          <w:bCs w:val="0"/>
          <w:color w:val="000000"/>
          <w:kern w:val="0"/>
          <w:sz w:val="32"/>
          <w:szCs w:val="32"/>
          <w:lang w:val="en-US" w:eastAsia="zh-CN"/>
        </w:rPr>
        <w:t>新飞羽竹芋是高端观叶植物，但种植难度较大，市场</w:t>
      </w:r>
      <w:r>
        <w:rPr>
          <w:rFonts w:hint="default" w:ascii="Times New Roman" w:hAnsi="Times New Roman" w:eastAsia="仿宋_GB2312" w:cs="Times New Roman"/>
          <w:b w:val="0"/>
          <w:bCs w:val="0"/>
          <w:color w:val="000000"/>
          <w:kern w:val="0"/>
          <w:sz w:val="32"/>
          <w:szCs w:val="32"/>
          <w:lang w:val="en-US" w:eastAsia="zh-CN"/>
        </w:rPr>
        <w:t>缺乏大规格高品质产品。项目单位</w:t>
      </w:r>
      <w:r>
        <w:rPr>
          <w:rFonts w:hint="eastAsia" w:ascii="Times New Roman" w:hAnsi="Times New Roman" w:eastAsia="仿宋_GB2312" w:cs="Times New Roman"/>
          <w:b w:val="0"/>
          <w:bCs w:val="0"/>
          <w:color w:val="000000"/>
          <w:kern w:val="0"/>
          <w:sz w:val="32"/>
          <w:szCs w:val="32"/>
          <w:lang w:val="en-US" w:eastAsia="zh-CN"/>
        </w:rPr>
        <w:t>自有</w:t>
      </w:r>
      <w:r>
        <w:rPr>
          <w:rFonts w:hint="default" w:ascii="Times New Roman" w:hAnsi="Times New Roman" w:eastAsia="仿宋_GB2312" w:cs="Times New Roman"/>
          <w:b w:val="0"/>
          <w:bCs w:val="0"/>
          <w:color w:val="000000"/>
          <w:kern w:val="0"/>
          <w:sz w:val="32"/>
          <w:szCs w:val="32"/>
          <w:lang w:val="en-US" w:eastAsia="zh-CN"/>
        </w:rPr>
        <w:t>“竹芋新飞羽的规模化种植方法”发明专利，有效填补了市场空白</w:t>
      </w:r>
      <w:r>
        <w:rPr>
          <w:rFonts w:hint="eastAsia" w:ascii="Times New Roman" w:hAnsi="Times New Roman" w:eastAsia="仿宋_GB2312" w:cs="Times New Roman"/>
          <w:b w:val="0"/>
          <w:bCs w:val="0"/>
          <w:color w:val="000000"/>
          <w:kern w:val="0"/>
          <w:sz w:val="32"/>
          <w:szCs w:val="32"/>
          <w:lang w:val="en-US" w:eastAsia="zh-CN"/>
        </w:rPr>
        <w:t>，具有较好的市场前景</w:t>
      </w:r>
      <w:r>
        <w:rPr>
          <w:rFonts w:hint="default" w:ascii="Times New Roman" w:hAnsi="Times New Roman" w:eastAsia="仿宋_GB2312" w:cs="Times New Roman"/>
          <w:b w:val="0"/>
          <w:bCs w:val="0"/>
          <w:color w:val="000000"/>
          <w:kern w:val="0"/>
          <w:sz w:val="32"/>
          <w:szCs w:val="32"/>
          <w:lang w:val="en-US" w:eastAsia="zh-CN"/>
        </w:rPr>
        <w:t>。</w:t>
      </w:r>
    </w:p>
    <w:p w14:paraId="1FE72942">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lang w:val="en-US" w:eastAsia="zh-CN"/>
        </w:rPr>
        <w:t>.项目</w:t>
      </w:r>
      <w:r>
        <w:rPr>
          <w:rFonts w:hint="default" w:ascii="Times New Roman" w:hAnsi="Times New Roman" w:eastAsia="仿宋_GB2312" w:cs="Times New Roman"/>
          <w:b/>
          <w:bCs/>
          <w:color w:val="000000"/>
          <w:kern w:val="0"/>
          <w:sz w:val="32"/>
          <w:szCs w:val="32"/>
        </w:rPr>
        <w:t>立项</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资金申报依据</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color w:val="000000"/>
          <w:kern w:val="0"/>
          <w:sz w:val="32"/>
          <w:szCs w:val="32"/>
          <w:lang w:val="en-US" w:eastAsia="zh-CN"/>
        </w:rPr>
        <w:t>攀枝花丽新园艺技术有限公司依据</w:t>
      </w:r>
      <w:r>
        <w:rPr>
          <w:rFonts w:hint="default" w:ascii="Times New Roman" w:hAnsi="Times New Roman" w:eastAsia="仿宋_GB2312" w:cs="Times New Roman"/>
          <w:b w:val="0"/>
          <w:bCs w:val="0"/>
          <w:color w:val="000000"/>
          <w:kern w:val="0"/>
          <w:sz w:val="32"/>
          <w:szCs w:val="32"/>
          <w:lang w:val="zh-CN" w:eastAsia="zh-CN"/>
        </w:rPr>
        <w:t>《攀枝花市科学技术局关于申报2022年度攀枝花市省级定向财力转移支付科技项目的通知》</w:t>
      </w:r>
      <w:r>
        <w:rPr>
          <w:rFonts w:hint="default" w:ascii="Times New Roman" w:hAnsi="Times New Roman" w:eastAsia="仿宋_GB2312" w:cs="Times New Roman"/>
          <w:b w:val="0"/>
          <w:bCs w:val="0"/>
          <w:color w:val="000000"/>
          <w:kern w:val="0"/>
          <w:sz w:val="32"/>
          <w:szCs w:val="32"/>
          <w:lang w:val="en-US" w:eastAsia="zh-CN"/>
        </w:rPr>
        <w:t>和申报指南，</w:t>
      </w:r>
      <w:r>
        <w:rPr>
          <w:rFonts w:hint="default" w:ascii="Times New Roman" w:hAnsi="Times New Roman" w:eastAsia="仿宋_GB2312" w:cs="Times New Roman"/>
          <w:b w:val="0"/>
          <w:bCs w:val="0"/>
          <w:color w:val="000000"/>
          <w:kern w:val="0"/>
          <w:sz w:val="32"/>
          <w:szCs w:val="32"/>
          <w:lang w:val="zh-CN" w:eastAsia="zh-CN"/>
        </w:rPr>
        <w:t>登录</w:t>
      </w:r>
      <w:r>
        <w:rPr>
          <w:rFonts w:hint="default" w:ascii="Times New Roman" w:hAnsi="Times New Roman" w:eastAsia="仿宋_GB2312" w:cs="Times New Roman"/>
          <w:b w:val="0"/>
          <w:bCs w:val="0"/>
          <w:color w:val="000000"/>
          <w:kern w:val="0"/>
          <w:sz w:val="32"/>
          <w:szCs w:val="32"/>
          <w:lang w:val="en-US" w:eastAsia="zh-CN"/>
        </w:rPr>
        <w:t>攀枝花市科技创新服务平台</w:t>
      </w:r>
      <w:r>
        <w:rPr>
          <w:rFonts w:hint="default" w:ascii="Times New Roman" w:hAnsi="Times New Roman" w:eastAsia="仿宋_GB2312" w:cs="Times New Roman"/>
          <w:b w:val="0"/>
          <w:bCs w:val="0"/>
          <w:color w:val="000000"/>
          <w:kern w:val="0"/>
          <w:sz w:val="32"/>
          <w:szCs w:val="32"/>
          <w:lang w:val="zh-CN" w:eastAsia="zh-CN"/>
        </w:rPr>
        <w:t>填写申报材料并提交，经</w:t>
      </w:r>
      <w:r>
        <w:rPr>
          <w:rFonts w:hint="default" w:ascii="Times New Roman" w:hAnsi="Times New Roman" w:eastAsia="仿宋_GB2312" w:cs="Times New Roman"/>
          <w:b w:val="0"/>
          <w:bCs w:val="0"/>
          <w:color w:val="000000"/>
          <w:kern w:val="0"/>
          <w:sz w:val="32"/>
          <w:szCs w:val="32"/>
          <w:lang w:val="en-US" w:eastAsia="zh-CN"/>
        </w:rPr>
        <w:t>区</w:t>
      </w:r>
      <w:r>
        <w:rPr>
          <w:rFonts w:hint="default" w:ascii="Times New Roman" w:hAnsi="Times New Roman" w:eastAsia="仿宋_GB2312" w:cs="Times New Roman"/>
          <w:b w:val="0"/>
          <w:bCs w:val="0"/>
          <w:color w:val="000000"/>
          <w:kern w:val="0"/>
          <w:sz w:val="32"/>
          <w:szCs w:val="32"/>
          <w:lang w:val="zh-CN" w:eastAsia="zh-CN"/>
        </w:rPr>
        <w:t>科技局审核后推荐报送</w:t>
      </w:r>
      <w:r>
        <w:rPr>
          <w:rFonts w:hint="default" w:ascii="Times New Roman" w:hAnsi="Times New Roman" w:eastAsia="仿宋_GB2312" w:cs="Times New Roman"/>
          <w:b w:val="0"/>
          <w:bCs w:val="0"/>
          <w:color w:val="000000"/>
          <w:kern w:val="0"/>
          <w:sz w:val="32"/>
          <w:szCs w:val="32"/>
          <w:lang w:val="en-US" w:eastAsia="zh-CN"/>
        </w:rPr>
        <w:t>市科技局</w:t>
      </w:r>
      <w:r>
        <w:rPr>
          <w:rFonts w:hint="default" w:ascii="Times New Roman" w:hAnsi="Times New Roman" w:eastAsia="仿宋_GB2312" w:cs="Times New Roman"/>
          <w:b w:val="0"/>
          <w:bCs w:val="0"/>
          <w:color w:val="000000"/>
          <w:kern w:val="0"/>
          <w:sz w:val="32"/>
          <w:szCs w:val="32"/>
          <w:lang w:val="zh-CN" w:eastAsia="zh-CN"/>
        </w:rPr>
        <w:t>受理、评审、立项。</w:t>
      </w:r>
      <w:r>
        <w:rPr>
          <w:rFonts w:hint="eastAsia" w:ascii="Times New Roman" w:hAnsi="Times New Roman" w:eastAsia="仿宋_GB2312" w:cs="Times New Roman"/>
          <w:b w:val="0"/>
          <w:bCs w:val="0"/>
          <w:color w:val="000000"/>
          <w:kern w:val="0"/>
          <w:sz w:val="32"/>
          <w:szCs w:val="32"/>
          <w:lang w:val="en-US" w:eastAsia="zh-CN"/>
        </w:rPr>
        <w:t>竹芋新飞羽规模化种植技术研究与应用示范项目，于2023年3月立项，项目总投入资金60万元，其中市级科技项目资金30万元，企业配套资金30万元。</w:t>
      </w:r>
    </w:p>
    <w:p w14:paraId="799B4171">
      <w:pPr>
        <w:keepNext w:val="0"/>
        <w:keepLines w:val="0"/>
        <w:pageBreakBefore w:val="0"/>
        <w:kinsoku/>
        <w:wordWrap/>
        <w:overflowPunct/>
        <w:topLinePunct w:val="0"/>
        <w:autoSpaceDE/>
        <w:autoSpaceDN/>
        <w:bidi w:val="0"/>
        <w:adjustRightInd/>
        <w:snapToGrid/>
        <w:spacing w:line="353" w:lineRule="auto"/>
        <w:ind w:firstLine="643" w:firstLineChars="200"/>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3.</w:t>
      </w:r>
      <w:r>
        <w:rPr>
          <w:rFonts w:hint="default" w:ascii="Times New Roman" w:hAnsi="Times New Roman" w:eastAsia="仿宋_GB2312" w:cs="Times New Roman"/>
          <w:b/>
          <w:bCs/>
          <w:color w:val="000000"/>
          <w:kern w:val="0"/>
          <w:sz w:val="32"/>
          <w:szCs w:val="32"/>
          <w:lang w:eastAsia="zh-CN"/>
        </w:rPr>
        <w:t>项目主要内容。</w:t>
      </w:r>
      <w:r>
        <w:rPr>
          <w:rFonts w:hint="default" w:ascii="Times New Roman" w:hAnsi="Times New Roman" w:eastAsia="仿宋_GB2312" w:cs="Times New Roman"/>
          <w:sz w:val="32"/>
          <w:szCs w:val="32"/>
          <w:lang w:val="en-US" w:eastAsia="zh-CN"/>
        </w:rPr>
        <w:t>项目通过专利转化，进行规模化种植竹芋新飞羽并开展竹芋新飞羽的小苗炼苗技术研究、其他竹芋盆花规模化种植技术研究、竹芋类盆花虫害防治技术研究。</w:t>
      </w:r>
    </w:p>
    <w:p w14:paraId="67A049AA">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lang w:val="en-US" w:eastAsia="zh-CN"/>
        </w:rPr>
        <w:t>4.</w:t>
      </w:r>
      <w:r>
        <w:rPr>
          <w:rFonts w:hint="default" w:ascii="Times New Roman" w:hAnsi="Times New Roman" w:eastAsia="仿宋_GB2312" w:cs="Times New Roman"/>
          <w:b/>
          <w:bCs/>
          <w:color w:val="000000"/>
          <w:kern w:val="0"/>
          <w:sz w:val="32"/>
          <w:szCs w:val="32"/>
        </w:rPr>
        <w:t>主管部门职能</w:t>
      </w:r>
      <w:r>
        <w:rPr>
          <w:rFonts w:hint="default"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val="0"/>
          <w:bCs w:val="0"/>
          <w:kern w:val="0"/>
          <w:position w:val="0"/>
          <w:sz w:val="32"/>
          <w:szCs w:val="32"/>
          <w:highlight w:val="none"/>
          <w:lang w:val="en-US" w:eastAsia="zh-CN" w:bidi="ar-SA"/>
        </w:rPr>
        <w:t>攀枝花丽新园艺技术有限公司作为项目申报单位，</w:t>
      </w:r>
      <w:r>
        <w:rPr>
          <w:rFonts w:hint="default" w:ascii="Times New Roman" w:hAnsi="Times New Roman" w:eastAsia="仿宋_GB2312" w:cs="Times New Roman"/>
          <w:b w:val="0"/>
          <w:bCs w:val="0"/>
          <w:color w:val="000000"/>
          <w:kern w:val="0"/>
          <w:sz w:val="32"/>
          <w:szCs w:val="32"/>
          <w:lang w:val="en-US" w:eastAsia="zh-CN"/>
        </w:rPr>
        <w:t>负责该项目进行方案制定、项目立项申报、建设实施、过程监督、项目验收等工作的具体实施。</w:t>
      </w:r>
    </w:p>
    <w:p w14:paraId="1308E2E7">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实施目的及支持方向。</w:t>
      </w:r>
    </w:p>
    <w:p w14:paraId="0F3D206D">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bCs/>
          <w:color w:val="000000"/>
          <w:kern w:val="0"/>
          <w:sz w:val="32"/>
          <w:szCs w:val="32"/>
        </w:rPr>
        <w:t>1</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项目资金管理办法制定情况</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kern w:val="0"/>
          <w:position w:val="0"/>
          <w:sz w:val="32"/>
          <w:szCs w:val="32"/>
          <w:highlight w:val="none"/>
          <w:lang w:val="zh-CN" w:eastAsia="zh-CN" w:bidi="ar-SA"/>
        </w:rPr>
        <w:t>资金使用严格按照《攀枝花市市级科技计划项目管理办法》（攀科发〔2021〕22号）和《攀枝花市省级定向财力转移支付科技项目管理暂行办法》（攀科发〔2021〕51号）规定执行。</w:t>
      </w:r>
    </w:p>
    <w:p w14:paraId="3E6233EB">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default" w:ascii="Times New Roman" w:hAnsi="Times New Roman" w:eastAsia="仿宋_GB2312" w:cs="Times New Roman"/>
          <w:b/>
          <w:bCs/>
          <w:color w:val="000000"/>
          <w:kern w:val="0"/>
          <w:sz w:val="32"/>
          <w:szCs w:val="32"/>
          <w:lang w:eastAsia="zh-CN"/>
        </w:rPr>
      </w:pPr>
      <w:r>
        <w:rPr>
          <w:rFonts w:hint="default" w:ascii="Times New Roman" w:hAnsi="Times New Roman" w:eastAsia="仿宋_GB2312" w:cs="Times New Roman"/>
          <w:b/>
          <w:bCs/>
          <w:color w:val="000000"/>
          <w:kern w:val="0"/>
          <w:sz w:val="32"/>
          <w:szCs w:val="32"/>
        </w:rPr>
        <w:t>2</w:t>
      </w:r>
      <w:r>
        <w:rPr>
          <w:rFonts w:hint="default" w:ascii="Times New Roman" w:hAnsi="Times New Roman"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rPr>
        <w:t>项目实施目标与</w:t>
      </w:r>
      <w:r>
        <w:rPr>
          <w:rFonts w:hint="default" w:ascii="Times New Roman" w:hAnsi="Times New Roman" w:eastAsia="仿宋_GB2312" w:cs="Times New Roman"/>
          <w:b/>
          <w:bCs/>
          <w:color w:val="000000"/>
          <w:kern w:val="0"/>
          <w:sz w:val="32"/>
          <w:szCs w:val="32"/>
          <w:lang w:val="en-US" w:eastAsia="zh-CN"/>
        </w:rPr>
        <w:t>主要工作</w:t>
      </w:r>
      <w:r>
        <w:rPr>
          <w:rFonts w:hint="default" w:ascii="Times New Roman" w:hAnsi="Times New Roman" w:eastAsia="仿宋_GB2312" w:cs="Times New Roman"/>
          <w:b/>
          <w:bCs/>
          <w:color w:val="000000"/>
          <w:kern w:val="0"/>
          <w:sz w:val="32"/>
          <w:szCs w:val="32"/>
        </w:rPr>
        <w:t>任务</w:t>
      </w:r>
      <w:r>
        <w:rPr>
          <w:rFonts w:hint="default"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val="0"/>
          <w:bCs w:val="0"/>
          <w:kern w:val="0"/>
          <w:position w:val="0"/>
          <w:sz w:val="32"/>
          <w:szCs w:val="32"/>
          <w:highlight w:val="none"/>
          <w:lang w:val="en-US" w:eastAsia="zh-CN" w:bidi="ar-SA"/>
        </w:rPr>
        <w:t>项目</w:t>
      </w:r>
      <w:r>
        <w:rPr>
          <w:rFonts w:hint="default" w:ascii="Times New Roman" w:hAnsi="Times New Roman" w:eastAsia="仿宋_GB2312" w:cs="Times New Roman"/>
          <w:b w:val="0"/>
          <w:bCs w:val="0"/>
          <w:kern w:val="0"/>
          <w:position w:val="0"/>
          <w:sz w:val="32"/>
          <w:szCs w:val="32"/>
          <w:highlight w:val="none"/>
          <w:lang w:val="zh-CN" w:eastAsia="zh-CN" w:bidi="ar-SA"/>
        </w:rPr>
        <w:t>通过</w:t>
      </w:r>
      <w:r>
        <w:rPr>
          <w:rFonts w:hint="eastAsia" w:ascii="Times New Roman" w:hAnsi="Times New Roman" w:eastAsia="仿宋_GB2312" w:cs="Times New Roman"/>
          <w:b w:val="0"/>
          <w:bCs w:val="0"/>
          <w:kern w:val="0"/>
          <w:position w:val="0"/>
          <w:sz w:val="32"/>
          <w:szCs w:val="32"/>
          <w:highlight w:val="none"/>
          <w:lang w:val="en-US" w:eastAsia="zh-CN" w:bidi="ar-SA"/>
        </w:rPr>
        <w:t>专利转化，进行规模化种植新飞羽竹芋并开展小苗炼苗技术、青苹果竹芋规模化种植技术、竹芋类盆花虫害防治技术等的研究，</w:t>
      </w:r>
      <w:r>
        <w:rPr>
          <w:rFonts w:hint="default" w:ascii="Times New Roman" w:hAnsi="Times New Roman" w:eastAsia="仿宋_GB2312" w:cs="Times New Roman"/>
          <w:b w:val="0"/>
          <w:bCs w:val="0"/>
          <w:kern w:val="0"/>
          <w:position w:val="0"/>
          <w:sz w:val="32"/>
          <w:szCs w:val="32"/>
          <w:highlight w:val="none"/>
          <w:lang w:val="zh-CN" w:eastAsia="zh-CN" w:bidi="ar-SA"/>
        </w:rPr>
        <w:t>快速实现专利技术</w:t>
      </w:r>
      <w:r>
        <w:rPr>
          <w:rFonts w:hint="eastAsia" w:ascii="Times New Roman" w:hAnsi="Times New Roman" w:eastAsia="仿宋_GB2312" w:cs="Times New Roman"/>
          <w:b w:val="0"/>
          <w:bCs w:val="0"/>
          <w:kern w:val="0"/>
          <w:position w:val="0"/>
          <w:sz w:val="32"/>
          <w:szCs w:val="32"/>
          <w:highlight w:val="none"/>
          <w:lang w:val="en-US" w:eastAsia="zh-CN" w:bidi="ar-SA"/>
        </w:rPr>
        <w:t>转化</w:t>
      </w:r>
      <w:r>
        <w:rPr>
          <w:rFonts w:hint="default" w:ascii="Times New Roman" w:hAnsi="Times New Roman" w:eastAsia="仿宋_GB2312" w:cs="Times New Roman"/>
          <w:b w:val="0"/>
          <w:bCs w:val="0"/>
          <w:kern w:val="0"/>
          <w:position w:val="0"/>
          <w:sz w:val="32"/>
          <w:szCs w:val="32"/>
          <w:highlight w:val="none"/>
          <w:lang w:val="zh-CN" w:eastAsia="zh-CN" w:bidi="ar-SA"/>
        </w:rPr>
        <w:t>，推动企业</w:t>
      </w:r>
      <w:r>
        <w:rPr>
          <w:rFonts w:hint="eastAsia" w:ascii="Times New Roman" w:hAnsi="Times New Roman" w:eastAsia="仿宋_GB2312" w:cs="Times New Roman"/>
          <w:b w:val="0"/>
          <w:bCs w:val="0"/>
          <w:kern w:val="0"/>
          <w:position w:val="0"/>
          <w:sz w:val="32"/>
          <w:szCs w:val="32"/>
          <w:highlight w:val="none"/>
          <w:lang w:val="en-US" w:eastAsia="zh-CN" w:bidi="ar-SA"/>
        </w:rPr>
        <w:t>技术提升</w:t>
      </w:r>
      <w:r>
        <w:rPr>
          <w:rFonts w:hint="default" w:ascii="Times New Roman" w:hAnsi="Times New Roman" w:eastAsia="仿宋_GB2312" w:cs="Times New Roman"/>
          <w:b w:val="0"/>
          <w:bCs w:val="0"/>
          <w:kern w:val="0"/>
          <w:position w:val="0"/>
          <w:sz w:val="32"/>
          <w:szCs w:val="32"/>
          <w:highlight w:val="none"/>
          <w:lang w:val="zh-CN" w:eastAsia="zh-CN" w:bidi="ar-SA"/>
        </w:rPr>
        <w:t>，</w:t>
      </w:r>
      <w:r>
        <w:rPr>
          <w:rFonts w:hint="eastAsia" w:ascii="Times New Roman" w:hAnsi="Times New Roman" w:eastAsia="仿宋_GB2312" w:cs="Times New Roman"/>
          <w:b w:val="0"/>
          <w:bCs w:val="0"/>
          <w:kern w:val="0"/>
          <w:position w:val="0"/>
          <w:sz w:val="32"/>
          <w:szCs w:val="32"/>
          <w:highlight w:val="none"/>
          <w:lang w:val="en-US" w:eastAsia="zh-CN" w:bidi="ar-SA"/>
        </w:rPr>
        <w:t>促进企业发展，</w:t>
      </w:r>
      <w:r>
        <w:rPr>
          <w:rFonts w:hint="default" w:ascii="Times New Roman" w:hAnsi="Times New Roman" w:eastAsia="仿宋_GB2312" w:cs="Times New Roman"/>
          <w:b w:val="0"/>
          <w:bCs w:val="0"/>
          <w:kern w:val="0"/>
          <w:position w:val="0"/>
          <w:sz w:val="32"/>
          <w:szCs w:val="32"/>
          <w:highlight w:val="none"/>
          <w:lang w:val="zh-CN" w:eastAsia="zh-CN" w:bidi="ar-SA"/>
        </w:rPr>
        <w:t>进而带动攀枝花特色花卉产业发展，为攀枝花农业产业转型做出</w:t>
      </w:r>
      <w:r>
        <w:rPr>
          <w:rFonts w:hint="eastAsia" w:ascii="Times New Roman" w:hAnsi="Times New Roman" w:eastAsia="仿宋_GB2312" w:cs="Times New Roman"/>
          <w:b w:val="0"/>
          <w:bCs w:val="0"/>
          <w:kern w:val="0"/>
          <w:position w:val="0"/>
          <w:sz w:val="32"/>
          <w:szCs w:val="32"/>
          <w:highlight w:val="none"/>
          <w:lang w:val="en-US" w:eastAsia="zh-CN" w:bidi="ar-SA"/>
        </w:rPr>
        <w:t>有益</w:t>
      </w:r>
      <w:r>
        <w:rPr>
          <w:rFonts w:hint="default" w:ascii="Times New Roman" w:hAnsi="Times New Roman" w:eastAsia="仿宋_GB2312" w:cs="Times New Roman"/>
          <w:b w:val="0"/>
          <w:bCs w:val="0"/>
          <w:kern w:val="0"/>
          <w:position w:val="0"/>
          <w:sz w:val="32"/>
          <w:szCs w:val="32"/>
          <w:highlight w:val="none"/>
          <w:lang w:val="zh-CN" w:eastAsia="zh-CN" w:bidi="ar-SA"/>
        </w:rPr>
        <w:t>探索。</w:t>
      </w:r>
    </w:p>
    <w:p w14:paraId="7A5C00D6">
      <w:pPr>
        <w:keepNext w:val="0"/>
        <w:keepLines w:val="0"/>
        <w:pageBreakBefore w:val="0"/>
        <w:widowControl/>
        <w:numPr>
          <w:ilvl w:val="0"/>
          <w:numId w:val="0"/>
        </w:numPr>
        <w:kinsoku/>
        <w:wordWrap/>
        <w:overflowPunct/>
        <w:topLinePunct w:val="0"/>
        <w:autoSpaceDE/>
        <w:autoSpaceDN/>
        <w:bidi w:val="0"/>
        <w:adjustRightInd/>
        <w:snapToGrid/>
        <w:spacing w:line="353" w:lineRule="auto"/>
        <w:ind w:firstLine="643" w:firstLineChars="200"/>
        <w:contextualSpacing/>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bCs/>
          <w:color w:val="000000"/>
          <w:kern w:val="0"/>
          <w:sz w:val="32"/>
          <w:szCs w:val="32"/>
          <w:lang w:val="en-US" w:eastAsia="zh-CN"/>
        </w:rPr>
        <w:t>3.项目</w:t>
      </w:r>
      <w:r>
        <w:rPr>
          <w:rFonts w:hint="default" w:ascii="Times New Roman" w:hAnsi="Times New Roman" w:eastAsia="仿宋_GB2312" w:cs="Times New Roman"/>
          <w:b/>
          <w:bCs/>
          <w:color w:val="000000"/>
          <w:kern w:val="0"/>
          <w:sz w:val="32"/>
          <w:szCs w:val="32"/>
        </w:rPr>
        <w:t>支持方向</w:t>
      </w:r>
      <w:r>
        <w:rPr>
          <w:rFonts w:hint="default"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val="0"/>
          <w:bCs w:val="0"/>
          <w:kern w:val="0"/>
          <w:position w:val="0"/>
          <w:sz w:val="32"/>
          <w:szCs w:val="32"/>
          <w:highlight w:val="none"/>
          <w:lang w:val="zh-CN" w:eastAsia="zh-CN" w:bidi="ar-SA"/>
        </w:rPr>
        <w:t>项目资金属于前补助资金，主要支持企业开展竹芋新飞羽规模化种植关键技术攻关与应用示范。</w:t>
      </w:r>
    </w:p>
    <w:p w14:paraId="353C062E">
      <w:pPr>
        <w:keepNext w:val="0"/>
        <w:keepLines w:val="0"/>
        <w:pageBreakBefore w:val="0"/>
        <w:widowControl/>
        <w:numPr>
          <w:ilvl w:val="0"/>
          <w:numId w:val="0"/>
        </w:numPr>
        <w:kinsoku/>
        <w:wordWrap/>
        <w:overflowPunct/>
        <w:topLinePunct w:val="0"/>
        <w:autoSpaceDE/>
        <w:autoSpaceDN/>
        <w:bidi w:val="0"/>
        <w:adjustRightInd/>
        <w:snapToGrid/>
        <w:spacing w:line="353" w:lineRule="auto"/>
        <w:ind w:left="0" w:leftChars="0" w:firstLine="643" w:firstLineChars="200"/>
        <w:contextualSpacing/>
        <w:jc w:val="left"/>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eastAsia="zh-CN"/>
        </w:rPr>
        <w:t>（三）</w:t>
      </w:r>
      <w:r>
        <w:rPr>
          <w:rFonts w:hint="default" w:ascii="Times New Roman" w:hAnsi="Times New Roman" w:eastAsia="楷体_GB2312" w:cs="Times New Roman"/>
          <w:b/>
          <w:color w:val="auto"/>
          <w:sz w:val="32"/>
          <w:szCs w:val="32"/>
          <w:highlight w:val="none"/>
          <w:u w:val="none"/>
          <w:lang w:val="en-US" w:eastAsia="zh-CN"/>
        </w:rPr>
        <w:t>预算安排及分配管理</w:t>
      </w:r>
      <w:r>
        <w:rPr>
          <w:rFonts w:hint="default" w:ascii="Times New Roman" w:hAnsi="Times New Roman" w:eastAsia="楷体_GB2312" w:cs="Times New Roman"/>
          <w:b/>
          <w:color w:val="auto"/>
          <w:sz w:val="32"/>
          <w:szCs w:val="32"/>
          <w:highlight w:val="none"/>
          <w:u w:val="none"/>
          <w:lang w:val="zh-CN" w:eastAsia="zh-CN"/>
        </w:rPr>
        <w:t>。</w:t>
      </w:r>
      <w:r>
        <w:rPr>
          <w:rFonts w:hint="default" w:ascii="Times New Roman" w:hAnsi="Times New Roman" w:eastAsia="仿宋_GB2312" w:cs="Times New Roman"/>
          <w:sz w:val="32"/>
          <w:szCs w:val="32"/>
          <w:lang w:val="en-US" w:eastAsia="zh-CN"/>
        </w:rPr>
        <w:t>项目资金由财政资金30万元和企业自筹资金30万元构成</w:t>
      </w:r>
      <w:r>
        <w:rPr>
          <w:rFonts w:hint="eastAsia" w:ascii="Times New Roman" w:hAnsi="Times New Roman" w:eastAsia="仿宋_GB2312" w:cs="Times New Roman"/>
          <w:sz w:val="32"/>
          <w:szCs w:val="32"/>
          <w:lang w:val="en-US" w:eastAsia="zh-CN"/>
        </w:rPr>
        <w:t xml:space="preserve">，全部按项目任务书相关支出类别使用。项目资金的实际支出情况，资金开支范围、标准及支付进度情况如下表，支付依据合规合法，资金支付与预算相符。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185"/>
        <w:gridCol w:w="1515"/>
        <w:gridCol w:w="1256"/>
        <w:gridCol w:w="1554"/>
        <w:gridCol w:w="712"/>
      </w:tblGrid>
      <w:tr w14:paraId="6A8E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073" w:type="dxa"/>
            <w:vMerge w:val="restart"/>
            <w:tcBorders>
              <w:top w:val="single" w:color="auto" w:sz="4" w:space="0"/>
              <w:left w:val="single" w:color="auto" w:sz="4" w:space="0"/>
              <w:bottom w:val="single" w:color="auto" w:sz="4" w:space="0"/>
              <w:right w:val="single" w:color="auto" w:sz="4" w:space="0"/>
            </w:tcBorders>
            <w:noWrap w:val="0"/>
            <w:vAlign w:val="center"/>
          </w:tcPr>
          <w:p w14:paraId="6206C09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科 目 名 称</w:t>
            </w:r>
          </w:p>
        </w:tc>
        <w:tc>
          <w:tcPr>
            <w:tcW w:w="2700" w:type="dxa"/>
            <w:gridSpan w:val="2"/>
            <w:tcBorders>
              <w:top w:val="single" w:color="auto" w:sz="4" w:space="0"/>
              <w:left w:val="single" w:color="auto" w:sz="4" w:space="0"/>
              <w:bottom w:val="single" w:color="auto" w:sz="4" w:space="0"/>
              <w:right w:val="single" w:color="auto" w:sz="4" w:space="0"/>
            </w:tcBorders>
            <w:noWrap w:val="0"/>
            <w:vAlign w:val="center"/>
          </w:tcPr>
          <w:p w14:paraId="758A68A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经费预算批复数</w:t>
            </w:r>
          </w:p>
        </w:tc>
        <w:tc>
          <w:tcPr>
            <w:tcW w:w="2810" w:type="dxa"/>
            <w:gridSpan w:val="2"/>
            <w:tcBorders>
              <w:top w:val="single" w:color="auto" w:sz="4" w:space="0"/>
              <w:left w:val="single" w:color="auto" w:sz="4" w:space="0"/>
              <w:bottom w:val="single" w:color="auto" w:sz="4" w:space="0"/>
              <w:right w:val="single" w:color="auto" w:sz="4" w:space="0"/>
            </w:tcBorders>
            <w:noWrap w:val="0"/>
            <w:vAlign w:val="center"/>
          </w:tcPr>
          <w:p w14:paraId="0D4174F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经费决算数</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0CFD2C6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r>
              <w:rPr>
                <w:rFonts w:hint="eastAsia" w:ascii="楷体_GB2312" w:eastAsia="楷体_GB2312"/>
                <w:b/>
                <w:sz w:val="28"/>
                <w:szCs w:val="28"/>
              </w:rPr>
              <w:t>备注</w:t>
            </w:r>
          </w:p>
        </w:tc>
      </w:tr>
      <w:tr w14:paraId="47C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73" w:type="dxa"/>
            <w:vMerge w:val="continue"/>
            <w:tcBorders>
              <w:top w:val="single" w:color="auto" w:sz="4" w:space="0"/>
              <w:left w:val="single" w:color="auto" w:sz="4" w:space="0"/>
              <w:bottom w:val="single" w:color="auto" w:sz="4" w:space="0"/>
              <w:right w:val="single" w:color="auto" w:sz="4" w:space="0"/>
            </w:tcBorders>
            <w:noWrap w:val="0"/>
            <w:vAlign w:val="center"/>
          </w:tcPr>
          <w:p w14:paraId="4BEB51C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21392E2">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预算合计</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4A7B872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其中：市拨经费</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71BD5A6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决算合计</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7AC4CF9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rPr>
              <w:t>其中：市拨经费</w:t>
            </w: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540539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楷体_GB2312" w:eastAsia="楷体_GB2312"/>
                <w:b/>
                <w:sz w:val="28"/>
                <w:szCs w:val="28"/>
              </w:rPr>
            </w:pPr>
          </w:p>
        </w:tc>
      </w:tr>
      <w:tr w14:paraId="792B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039A37D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设备费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38D241D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0.3</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06A3492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0.3</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7E9BAC6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楷体_GB2312" w:eastAsia="楷体_GB2312"/>
                <w:b/>
                <w:sz w:val="28"/>
                <w:szCs w:val="28"/>
                <w:lang w:val="en-US" w:eastAsia="zh-CN"/>
              </w:rPr>
            </w:pPr>
            <w:r>
              <w:rPr>
                <w:rFonts w:hint="eastAsia" w:ascii="楷体_GB2312" w:eastAsia="楷体_GB2312"/>
                <w:b/>
                <w:sz w:val="28"/>
                <w:szCs w:val="28"/>
                <w:lang w:val="en-US" w:eastAsia="zh-CN"/>
              </w:rPr>
              <w:t>0.4093</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5AA9CA3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0.3</w:t>
            </w:r>
          </w:p>
        </w:tc>
        <w:tc>
          <w:tcPr>
            <w:tcW w:w="712" w:type="dxa"/>
            <w:tcBorders>
              <w:top w:val="single" w:color="auto" w:sz="4" w:space="0"/>
              <w:left w:val="single" w:color="auto" w:sz="4" w:space="0"/>
              <w:bottom w:val="single" w:color="auto" w:sz="4" w:space="0"/>
              <w:right w:val="single" w:color="auto" w:sz="4" w:space="0"/>
            </w:tcBorders>
            <w:noWrap w:val="0"/>
            <w:vAlign w:val="top"/>
          </w:tcPr>
          <w:p w14:paraId="3F039CE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7EF8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374A5A4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材料费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223F11B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49.4</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0171169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24.4</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68B6C7EF">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楷体_GB2312" w:eastAsia="楷体_GB2312"/>
                <w:b/>
                <w:sz w:val="28"/>
                <w:szCs w:val="28"/>
                <w:lang w:val="en-US" w:eastAsia="zh-CN"/>
              </w:rPr>
            </w:pPr>
            <w:r>
              <w:rPr>
                <w:rFonts w:hint="eastAsia" w:ascii="楷体_GB2312" w:eastAsia="楷体_GB2312"/>
                <w:b/>
                <w:sz w:val="28"/>
                <w:szCs w:val="28"/>
                <w:lang w:val="en-US" w:eastAsia="zh-CN"/>
              </w:rPr>
              <w:t>49.4</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6056FFD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24.4</w:t>
            </w:r>
          </w:p>
        </w:tc>
        <w:tc>
          <w:tcPr>
            <w:tcW w:w="712" w:type="dxa"/>
            <w:tcBorders>
              <w:top w:val="single" w:color="auto" w:sz="4" w:space="0"/>
              <w:left w:val="single" w:color="auto" w:sz="4" w:space="0"/>
              <w:bottom w:val="single" w:color="auto" w:sz="4" w:space="0"/>
              <w:right w:val="single" w:color="auto" w:sz="4" w:space="0"/>
            </w:tcBorders>
            <w:noWrap w:val="0"/>
            <w:vAlign w:val="top"/>
          </w:tcPr>
          <w:p w14:paraId="71ABEAC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455E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138A7F0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测试化验加工费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78FD301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25C5B290">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top"/>
          </w:tcPr>
          <w:p w14:paraId="627EA00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54" w:type="dxa"/>
            <w:tcBorders>
              <w:top w:val="single" w:color="auto" w:sz="4" w:space="0"/>
              <w:left w:val="single" w:color="auto" w:sz="4" w:space="0"/>
              <w:bottom w:val="single" w:color="auto" w:sz="4" w:space="0"/>
              <w:right w:val="single" w:color="auto" w:sz="4" w:space="0"/>
            </w:tcBorders>
            <w:noWrap w:val="0"/>
            <w:vAlign w:val="top"/>
          </w:tcPr>
          <w:p w14:paraId="1A1240E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6F52361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1311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6EAE371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燃料动力费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6FAA3EC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8</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299DE9F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3</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4912F2B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eastAsia="楷体_GB2312"/>
                <w:b/>
                <w:sz w:val="28"/>
                <w:szCs w:val="28"/>
                <w:lang w:val="en-US" w:eastAsia="zh-CN"/>
              </w:rPr>
            </w:pPr>
            <w:r>
              <w:rPr>
                <w:rFonts w:hint="eastAsia" w:ascii="楷体_GB2312" w:eastAsia="楷体_GB2312"/>
                <w:b/>
                <w:sz w:val="28"/>
                <w:szCs w:val="28"/>
                <w:lang w:val="en-US" w:eastAsia="zh-CN"/>
              </w:rPr>
              <w:t>8</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49DB654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3</w:t>
            </w:r>
          </w:p>
        </w:tc>
        <w:tc>
          <w:tcPr>
            <w:tcW w:w="712" w:type="dxa"/>
            <w:tcBorders>
              <w:top w:val="single" w:color="auto" w:sz="4" w:space="0"/>
              <w:left w:val="single" w:color="auto" w:sz="4" w:space="0"/>
              <w:bottom w:val="single" w:color="auto" w:sz="4" w:space="0"/>
              <w:right w:val="single" w:color="auto" w:sz="4" w:space="0"/>
            </w:tcBorders>
            <w:noWrap w:val="0"/>
            <w:vAlign w:val="top"/>
          </w:tcPr>
          <w:p w14:paraId="40E90945">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79808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353535F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差旅/会议/国际合作与交流费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41855FC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1</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291F659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1</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2BD2816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eastAsia="楷体_GB2312"/>
                <w:b/>
                <w:sz w:val="28"/>
                <w:szCs w:val="28"/>
                <w:lang w:val="en-US" w:eastAsia="zh-CN"/>
              </w:rPr>
            </w:pPr>
            <w:r>
              <w:rPr>
                <w:rFonts w:hint="eastAsia" w:ascii="楷体_GB2312" w:eastAsia="楷体_GB2312"/>
                <w:b/>
                <w:sz w:val="28"/>
                <w:szCs w:val="28"/>
                <w:lang w:val="en-US" w:eastAsia="zh-CN"/>
              </w:rPr>
              <w:t>1.23653</w:t>
            </w:r>
          </w:p>
          <w:p w14:paraId="0AC788F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楷体_GB2312" w:eastAsia="楷体_GB2312"/>
                <w:b/>
                <w:sz w:val="28"/>
                <w:szCs w:val="28"/>
                <w:lang w:val="en-US" w:eastAsia="zh-CN"/>
              </w:rPr>
            </w:pPr>
          </w:p>
        </w:tc>
        <w:tc>
          <w:tcPr>
            <w:tcW w:w="1554" w:type="dxa"/>
            <w:tcBorders>
              <w:top w:val="single" w:color="auto" w:sz="4" w:space="0"/>
              <w:left w:val="single" w:color="auto" w:sz="4" w:space="0"/>
              <w:bottom w:val="single" w:color="auto" w:sz="4" w:space="0"/>
              <w:right w:val="single" w:color="auto" w:sz="4" w:space="0"/>
            </w:tcBorders>
            <w:noWrap w:val="0"/>
            <w:vAlign w:val="top"/>
          </w:tcPr>
          <w:p w14:paraId="5A6730D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top"/>
          </w:tcPr>
          <w:p w14:paraId="460D0CB0">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21CF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3" w:type="dxa"/>
            <w:tcBorders>
              <w:top w:val="single" w:color="auto" w:sz="4" w:space="0"/>
              <w:left w:val="single" w:color="auto" w:sz="4" w:space="0"/>
              <w:bottom w:val="single" w:color="auto" w:sz="4" w:space="0"/>
              <w:right w:val="single" w:color="auto" w:sz="4" w:space="0"/>
            </w:tcBorders>
            <w:noWrap w:val="0"/>
            <w:vAlign w:val="top"/>
          </w:tcPr>
          <w:p w14:paraId="752C451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出版／文献／信息传播／知识产权事务费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12C71B0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0.3</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01101CC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0.3</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0D2B8F9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楷体_GB2312" w:eastAsia="楷体_GB2312"/>
                <w:b/>
                <w:sz w:val="28"/>
                <w:szCs w:val="28"/>
                <w:lang w:val="en-US" w:eastAsia="zh-CN"/>
              </w:rPr>
            </w:pPr>
            <w:r>
              <w:rPr>
                <w:rFonts w:hint="eastAsia" w:ascii="楷体_GB2312" w:eastAsia="楷体_GB2312"/>
                <w:b/>
                <w:sz w:val="28"/>
                <w:szCs w:val="28"/>
                <w:lang w:val="en-US" w:eastAsia="zh-CN"/>
              </w:rPr>
              <w:t>0.3275</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79DDC6B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0.3</w:t>
            </w:r>
          </w:p>
        </w:tc>
        <w:tc>
          <w:tcPr>
            <w:tcW w:w="712" w:type="dxa"/>
            <w:tcBorders>
              <w:top w:val="single" w:color="auto" w:sz="4" w:space="0"/>
              <w:left w:val="single" w:color="auto" w:sz="4" w:space="0"/>
              <w:bottom w:val="single" w:color="auto" w:sz="4" w:space="0"/>
              <w:right w:val="single" w:color="auto" w:sz="4" w:space="0"/>
            </w:tcBorders>
            <w:noWrap w:val="0"/>
            <w:vAlign w:val="top"/>
          </w:tcPr>
          <w:p w14:paraId="6063443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5C551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123AF79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劳务费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01DBB725">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1</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075CD016">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1</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530B332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eastAsia="楷体_GB2312"/>
                <w:b/>
                <w:sz w:val="28"/>
                <w:szCs w:val="28"/>
                <w:lang w:val="en-US" w:eastAsia="zh-CN"/>
              </w:rPr>
            </w:pPr>
            <w:r>
              <w:rPr>
                <w:rFonts w:hint="eastAsia" w:ascii="楷体_GB2312" w:eastAsia="楷体_GB2312"/>
                <w:b/>
                <w:sz w:val="28"/>
                <w:szCs w:val="28"/>
                <w:lang w:val="en-US" w:eastAsia="zh-CN"/>
              </w:rPr>
              <w:t>1</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5F16A7B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1</w:t>
            </w:r>
          </w:p>
        </w:tc>
        <w:tc>
          <w:tcPr>
            <w:tcW w:w="712" w:type="dxa"/>
            <w:tcBorders>
              <w:top w:val="single" w:color="auto" w:sz="4" w:space="0"/>
              <w:left w:val="single" w:color="auto" w:sz="4" w:space="0"/>
              <w:bottom w:val="single" w:color="auto" w:sz="4" w:space="0"/>
              <w:right w:val="single" w:color="auto" w:sz="4" w:space="0"/>
            </w:tcBorders>
            <w:noWrap w:val="0"/>
            <w:vAlign w:val="top"/>
          </w:tcPr>
          <w:p w14:paraId="7415A82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60201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21F0121B">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hAnsi="??" w:eastAsia="楷体_GB2312" w:cs="宋体"/>
                <w:sz w:val="28"/>
                <w:szCs w:val="28"/>
              </w:rPr>
              <w:t>专家咨询费</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23457E0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C0085CC">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top"/>
          </w:tcPr>
          <w:p w14:paraId="11CEE5C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54" w:type="dxa"/>
            <w:tcBorders>
              <w:top w:val="single" w:color="auto" w:sz="4" w:space="0"/>
              <w:left w:val="single" w:color="auto" w:sz="4" w:space="0"/>
              <w:bottom w:val="single" w:color="auto" w:sz="4" w:space="0"/>
              <w:right w:val="single" w:color="auto" w:sz="4" w:space="0"/>
            </w:tcBorders>
            <w:noWrap w:val="0"/>
            <w:vAlign w:val="top"/>
          </w:tcPr>
          <w:p w14:paraId="73D395F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6C29B4D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3C11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5E62EB6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hAnsi="??" w:eastAsia="楷体_GB2312" w:cs="宋体"/>
                <w:sz w:val="28"/>
                <w:szCs w:val="28"/>
              </w:rPr>
            </w:pPr>
            <w:r>
              <w:rPr>
                <w:rFonts w:hint="eastAsia" w:ascii="楷体_GB2312" w:hAnsi="??" w:eastAsia="楷体_GB2312" w:cs="宋体"/>
                <w:sz w:val="28"/>
                <w:szCs w:val="28"/>
              </w:rPr>
              <w:t>其他费用</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358236F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1E4C8EA3">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top"/>
          </w:tcPr>
          <w:p w14:paraId="7663306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54" w:type="dxa"/>
            <w:tcBorders>
              <w:top w:val="single" w:color="auto" w:sz="4" w:space="0"/>
              <w:left w:val="single" w:color="auto" w:sz="4" w:space="0"/>
              <w:bottom w:val="single" w:color="auto" w:sz="4" w:space="0"/>
              <w:right w:val="single" w:color="auto" w:sz="4" w:space="0"/>
            </w:tcBorders>
            <w:noWrap w:val="0"/>
            <w:vAlign w:val="top"/>
          </w:tcPr>
          <w:p w14:paraId="6B289D3D">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35291CE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03A5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463FB0B8">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hAnsi="??" w:eastAsia="楷体_GB2312" w:cs="宋体"/>
                <w:sz w:val="28"/>
                <w:szCs w:val="28"/>
              </w:rPr>
            </w:pPr>
            <w:r>
              <w:rPr>
                <w:rFonts w:hint="eastAsia" w:ascii="楷体_GB2312" w:hAnsi="??" w:eastAsia="楷体_GB2312" w:cs="宋体"/>
                <w:sz w:val="28"/>
                <w:szCs w:val="28"/>
              </w:rPr>
              <w:t>间接费用</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29F804E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top"/>
          </w:tcPr>
          <w:p w14:paraId="2124797A">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256" w:type="dxa"/>
            <w:tcBorders>
              <w:top w:val="single" w:color="auto" w:sz="4" w:space="0"/>
              <w:left w:val="single" w:color="auto" w:sz="4" w:space="0"/>
              <w:bottom w:val="single" w:color="auto" w:sz="4" w:space="0"/>
              <w:right w:val="single" w:color="auto" w:sz="4" w:space="0"/>
            </w:tcBorders>
            <w:noWrap w:val="0"/>
            <w:vAlign w:val="top"/>
          </w:tcPr>
          <w:p w14:paraId="7FBA11B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1554" w:type="dxa"/>
            <w:tcBorders>
              <w:top w:val="single" w:color="auto" w:sz="4" w:space="0"/>
              <w:left w:val="single" w:color="auto" w:sz="4" w:space="0"/>
              <w:bottom w:val="single" w:color="auto" w:sz="4" w:space="0"/>
              <w:right w:val="single" w:color="auto" w:sz="4" w:space="0"/>
            </w:tcBorders>
            <w:noWrap w:val="0"/>
            <w:vAlign w:val="top"/>
          </w:tcPr>
          <w:p w14:paraId="23D5EAD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p>
        </w:tc>
        <w:tc>
          <w:tcPr>
            <w:tcW w:w="712" w:type="dxa"/>
            <w:tcBorders>
              <w:top w:val="single" w:color="auto" w:sz="4" w:space="0"/>
              <w:left w:val="single" w:color="auto" w:sz="4" w:space="0"/>
              <w:bottom w:val="single" w:color="auto" w:sz="4" w:space="0"/>
              <w:right w:val="single" w:color="auto" w:sz="4" w:space="0"/>
            </w:tcBorders>
            <w:noWrap w:val="0"/>
            <w:vAlign w:val="top"/>
          </w:tcPr>
          <w:p w14:paraId="528178C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r w14:paraId="25606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tcBorders>
              <w:top w:val="single" w:color="auto" w:sz="4" w:space="0"/>
              <w:left w:val="single" w:color="auto" w:sz="4" w:space="0"/>
              <w:bottom w:val="single" w:color="auto" w:sz="4" w:space="0"/>
              <w:right w:val="single" w:color="auto" w:sz="4" w:space="0"/>
            </w:tcBorders>
            <w:noWrap w:val="0"/>
            <w:vAlign w:val="top"/>
          </w:tcPr>
          <w:p w14:paraId="1BA74B9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hAnsi="??" w:eastAsia="楷体_GB2312" w:cs="宋体"/>
                <w:sz w:val="28"/>
                <w:szCs w:val="28"/>
              </w:rPr>
            </w:pPr>
            <w:r>
              <w:rPr>
                <w:rFonts w:hint="eastAsia" w:ascii="楷体_GB2312" w:hAnsi="??" w:eastAsia="楷体_GB2312" w:cs="宋体"/>
                <w:sz w:val="28"/>
                <w:szCs w:val="28"/>
              </w:rPr>
              <w:t>合    计</w:t>
            </w:r>
          </w:p>
        </w:tc>
        <w:tc>
          <w:tcPr>
            <w:tcW w:w="1185" w:type="dxa"/>
            <w:tcBorders>
              <w:top w:val="single" w:color="auto" w:sz="4" w:space="0"/>
              <w:left w:val="single" w:color="auto" w:sz="4" w:space="0"/>
              <w:bottom w:val="single" w:color="auto" w:sz="4" w:space="0"/>
              <w:right w:val="single" w:color="auto" w:sz="4" w:space="0"/>
            </w:tcBorders>
            <w:noWrap w:val="0"/>
            <w:vAlign w:val="top"/>
          </w:tcPr>
          <w:p w14:paraId="483C1037">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60</w:t>
            </w:r>
          </w:p>
        </w:tc>
        <w:tc>
          <w:tcPr>
            <w:tcW w:w="1515" w:type="dxa"/>
            <w:tcBorders>
              <w:top w:val="single" w:color="auto" w:sz="4" w:space="0"/>
              <w:left w:val="single" w:color="auto" w:sz="4" w:space="0"/>
              <w:bottom w:val="single" w:color="auto" w:sz="4" w:space="0"/>
              <w:right w:val="single" w:color="auto" w:sz="4" w:space="0"/>
            </w:tcBorders>
            <w:noWrap w:val="0"/>
            <w:vAlign w:val="top"/>
          </w:tcPr>
          <w:p w14:paraId="12ACE48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30</w:t>
            </w:r>
          </w:p>
        </w:tc>
        <w:tc>
          <w:tcPr>
            <w:tcW w:w="1256" w:type="dxa"/>
            <w:tcBorders>
              <w:top w:val="single" w:color="auto" w:sz="4" w:space="0"/>
              <w:left w:val="single" w:color="auto" w:sz="4" w:space="0"/>
              <w:bottom w:val="single" w:color="auto" w:sz="4" w:space="0"/>
              <w:right w:val="single" w:color="auto" w:sz="4" w:space="0"/>
            </w:tcBorders>
            <w:noWrap w:val="0"/>
            <w:vAlign w:val="top"/>
          </w:tcPr>
          <w:p w14:paraId="1CDF3059">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楷体_GB2312" w:eastAsia="楷体_GB2312"/>
                <w:b/>
                <w:sz w:val="28"/>
                <w:szCs w:val="28"/>
                <w:lang w:val="en-US" w:eastAsia="zh-CN"/>
              </w:rPr>
            </w:pPr>
            <w:r>
              <w:rPr>
                <w:rFonts w:hint="eastAsia" w:ascii="楷体_GB2312" w:eastAsia="楷体_GB2312"/>
                <w:b/>
                <w:sz w:val="28"/>
                <w:szCs w:val="28"/>
                <w:lang w:val="en-US" w:eastAsia="zh-CN"/>
              </w:rPr>
              <w:t>60.37333</w:t>
            </w:r>
          </w:p>
        </w:tc>
        <w:tc>
          <w:tcPr>
            <w:tcW w:w="1554" w:type="dxa"/>
            <w:tcBorders>
              <w:top w:val="single" w:color="auto" w:sz="4" w:space="0"/>
              <w:left w:val="single" w:color="auto" w:sz="4" w:space="0"/>
              <w:bottom w:val="single" w:color="auto" w:sz="4" w:space="0"/>
              <w:right w:val="single" w:color="auto" w:sz="4" w:space="0"/>
            </w:tcBorders>
            <w:noWrap w:val="0"/>
            <w:vAlign w:val="top"/>
          </w:tcPr>
          <w:p w14:paraId="64F73EC1">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ascii="楷体_GB2312" w:eastAsia="楷体_GB2312"/>
                <w:b/>
                <w:sz w:val="28"/>
                <w:szCs w:val="28"/>
              </w:rPr>
            </w:pPr>
            <w:r>
              <w:rPr>
                <w:rFonts w:hint="eastAsia" w:ascii="楷体_GB2312" w:eastAsia="楷体_GB2312"/>
                <w:b/>
                <w:sz w:val="28"/>
                <w:szCs w:val="28"/>
                <w:lang w:val="en-US" w:eastAsia="zh-CN"/>
              </w:rPr>
              <w:t>30</w:t>
            </w:r>
          </w:p>
        </w:tc>
        <w:tc>
          <w:tcPr>
            <w:tcW w:w="712" w:type="dxa"/>
            <w:tcBorders>
              <w:top w:val="single" w:color="auto" w:sz="4" w:space="0"/>
              <w:left w:val="single" w:color="auto" w:sz="4" w:space="0"/>
              <w:bottom w:val="single" w:color="auto" w:sz="4" w:space="0"/>
              <w:right w:val="single" w:color="auto" w:sz="4" w:space="0"/>
            </w:tcBorders>
            <w:noWrap w:val="0"/>
            <w:vAlign w:val="top"/>
          </w:tcPr>
          <w:p w14:paraId="26F30AF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楷体_GB2312" w:eastAsia="楷体_GB2312"/>
                <w:b/>
                <w:sz w:val="28"/>
                <w:szCs w:val="28"/>
              </w:rPr>
            </w:pPr>
          </w:p>
        </w:tc>
      </w:tr>
    </w:tbl>
    <w:p w14:paraId="52BB30D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eastAsia="zh-CN"/>
        </w:rPr>
        <w:t>（四）项目绩效目标设置。</w:t>
      </w:r>
      <w:r>
        <w:rPr>
          <w:rFonts w:hint="eastAsia" w:ascii="Times New Roman" w:hAnsi="Times New Roman" w:eastAsia="仿宋_GB2312" w:cs="Times New Roman"/>
          <w:b w:val="0"/>
          <w:bCs w:val="0"/>
          <w:kern w:val="0"/>
          <w:position w:val="0"/>
          <w:sz w:val="32"/>
          <w:szCs w:val="32"/>
          <w:highlight w:val="none"/>
          <w:lang w:val="en-US" w:eastAsia="zh-CN" w:bidi="ar-SA"/>
        </w:rPr>
        <w:t>本项目通过专利转化，进行规模化种植竹芋新飞羽并开展竹芋新飞羽的小苗炼苗技术研究、其他竹芋盆花规模化种植技术研究、竹芋类盆花虫害防治技术研究，实现年产新飞羽竹芋 4-5 万盆，其单品销售收入100-150万元，年利税20-40万元；引入1-2个竹芋品种进行规模化种植，培养技术骨干2-3名，形成专利1项，技术规程2项。</w:t>
      </w:r>
    </w:p>
    <w:p w14:paraId="648C3FC2">
      <w:pPr>
        <w:keepNext w:val="0"/>
        <w:keepLines w:val="0"/>
        <w:pageBreakBefore w:val="0"/>
        <w:widowControl w:val="0"/>
        <w:kinsoku/>
        <w:wordWrap/>
        <w:overflowPunct/>
        <w:topLinePunct w:val="0"/>
        <w:autoSpaceDE/>
        <w:autoSpaceDN/>
        <w:bidi w:val="0"/>
        <w:adjustRightInd/>
        <w:snapToGrid/>
        <w:spacing w:line="353" w:lineRule="auto"/>
        <w:ind w:firstLine="640" w:firstLineChars="200"/>
        <w:textAlignment w:val="auto"/>
        <w:outlineLvl w:val="9"/>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eastAsia="zh-CN"/>
        </w:rPr>
        <w:t>评价实施</w:t>
      </w:r>
    </w:p>
    <w:p w14:paraId="23910797">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（一）评价目的。</w:t>
      </w:r>
      <w:r>
        <w:rPr>
          <w:rFonts w:hint="default" w:ascii="Times New Roman" w:hAnsi="Times New Roman" w:eastAsia="仿宋_GB2312" w:cs="Times New Roman"/>
          <w:color w:val="000000"/>
          <w:kern w:val="0"/>
          <w:sz w:val="32"/>
          <w:szCs w:val="32"/>
        </w:rPr>
        <w:t>通过项目绩效自评，全面了解和掌握项目的实际执行情况和实施效果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客观评价项目资金的支出使用效率和效益</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发现项目执行过程中存在的问题和不足，提出改进措施和建议</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为项目的后续管理和决策提供科学依据和参考。</w:t>
      </w:r>
    </w:p>
    <w:p w14:paraId="2E49F9F8">
      <w:pPr>
        <w:keepNext w:val="0"/>
        <w:keepLines w:val="0"/>
        <w:pageBreakBefore w:val="0"/>
        <w:widowControl w:val="0"/>
        <w:kinsoku/>
        <w:wordWrap/>
        <w:overflowPunct/>
        <w:topLinePunct w:val="0"/>
        <w:autoSpaceDE/>
        <w:autoSpaceDN/>
        <w:bidi w:val="0"/>
        <w:adjustRightInd/>
        <w:snapToGrid/>
        <w:spacing w:line="353" w:lineRule="auto"/>
        <w:ind w:left="0" w:leftChars="0" w:firstLine="643" w:firstLineChars="20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（二）预设问题及评价重点。</w:t>
      </w:r>
      <w:r>
        <w:rPr>
          <w:rFonts w:hint="default" w:ascii="Times New Roman" w:hAnsi="Times New Roman" w:eastAsia="仿宋_GB2312" w:cs="Times New Roman"/>
          <w:b w:val="0"/>
          <w:bCs w:val="0"/>
          <w:kern w:val="0"/>
          <w:position w:val="0"/>
          <w:sz w:val="32"/>
          <w:szCs w:val="32"/>
          <w:highlight w:val="none"/>
          <w:lang w:val="zh-CN" w:eastAsia="zh-CN" w:bidi="ar-SA"/>
        </w:rPr>
        <w:t>根据绩效评价指标体系，对资金支出使用全过程及其实施效果进行综合评价和判断。评价重点包括：项目资金的分配和使用是否符合预算计划和规定；项目是否按照预定的时间节点和目标任务完成；项目实施过程中是否遵循了相关的管理制度和规定；项目是否取得了预期的经济效益和社会效益。</w:t>
      </w:r>
    </w:p>
    <w:p w14:paraId="5DD93584">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楷体_GB2312" w:cs="Times New Roman"/>
          <w:b/>
          <w:color w:val="auto"/>
          <w:sz w:val="32"/>
          <w:szCs w:val="32"/>
          <w:highlight w:val="none"/>
          <w:u w:val="none"/>
          <w:lang w:val="zh-CN"/>
        </w:rPr>
      </w:pPr>
      <w:r>
        <w:rPr>
          <w:rFonts w:hint="default" w:ascii="Times New Roman" w:hAnsi="Times New Roman" w:eastAsia="楷体_GB2312" w:cs="Times New Roman"/>
          <w:b/>
          <w:color w:val="auto"/>
          <w:sz w:val="32"/>
          <w:szCs w:val="32"/>
          <w:highlight w:val="none"/>
          <w:u w:val="none"/>
          <w:lang w:val="zh-CN"/>
        </w:rPr>
        <w:t>（三）评价选点。</w:t>
      </w:r>
      <w:r>
        <w:rPr>
          <w:rFonts w:hint="eastAsia" w:ascii="仿宋" w:hAnsi="仿宋" w:eastAsia="仿宋"/>
          <w:color w:val="auto"/>
          <w:sz w:val="32"/>
          <w:szCs w:val="32"/>
          <w:lang w:val="zh-CN"/>
        </w:rPr>
        <w:t>根据项目</w:t>
      </w:r>
      <w:r>
        <w:rPr>
          <w:rFonts w:hint="eastAsia" w:ascii="仿宋" w:hAnsi="仿宋" w:eastAsia="仿宋"/>
          <w:color w:val="auto"/>
          <w:sz w:val="32"/>
          <w:szCs w:val="32"/>
          <w:lang w:val="en-US" w:eastAsia="zh-CN"/>
        </w:rPr>
        <w:t>实施</w:t>
      </w:r>
      <w:r>
        <w:rPr>
          <w:rFonts w:hint="eastAsia" w:ascii="仿宋" w:hAnsi="仿宋" w:eastAsia="仿宋"/>
          <w:color w:val="auto"/>
          <w:sz w:val="32"/>
          <w:szCs w:val="32"/>
          <w:lang w:val="zh-CN"/>
        </w:rPr>
        <w:t>成果现状进行评价。</w:t>
      </w:r>
    </w:p>
    <w:p w14:paraId="77D49ECE">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（四）评价方法。</w:t>
      </w:r>
      <w:r>
        <w:rPr>
          <w:rFonts w:hint="default" w:ascii="Times New Roman" w:hAnsi="Times New Roman" w:eastAsia="仿宋_GB2312" w:cs="Times New Roman"/>
          <w:b w:val="0"/>
          <w:bCs w:val="0"/>
          <w:kern w:val="0"/>
          <w:position w:val="0"/>
          <w:sz w:val="32"/>
          <w:szCs w:val="32"/>
          <w:highlight w:val="none"/>
          <w:lang w:val="zh-CN" w:eastAsia="zh-CN" w:bidi="ar-SA"/>
        </w:rPr>
        <w:t>根据本项目情况和评价重点，采用单位自评法开展具体评价工作。</w:t>
      </w:r>
    </w:p>
    <w:p w14:paraId="67C98B78">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楷体_GB2312" w:cs="Times New Roman"/>
          <w:b/>
          <w:color w:val="auto"/>
          <w:sz w:val="32"/>
          <w:szCs w:val="32"/>
          <w:highlight w:val="none"/>
          <w:u w:val="none"/>
          <w:lang w:val="zh-CN"/>
        </w:rPr>
        <w:t>（五）评价组织。</w:t>
      </w:r>
      <w:r>
        <w:rPr>
          <w:rFonts w:hint="default" w:ascii="Times New Roman" w:hAnsi="Times New Roman" w:eastAsia="仿宋_GB2312" w:cs="Times New Roman"/>
          <w:b w:val="0"/>
          <w:bCs w:val="0"/>
          <w:kern w:val="0"/>
          <w:position w:val="0"/>
          <w:sz w:val="32"/>
          <w:szCs w:val="32"/>
          <w:highlight w:val="none"/>
          <w:lang w:val="zh-CN" w:eastAsia="zh-CN" w:bidi="ar-SA"/>
        </w:rPr>
        <w:t>本次绩效自评工作由项目实施单位自行组织，评价组人员构成如下：</w:t>
      </w:r>
    </w:p>
    <w:p w14:paraId="4DE4889B">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组长：负责全面指导和监督评价工作。</w:t>
      </w:r>
    </w:p>
    <w:p w14:paraId="75AE5A1F">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项目管理人员：负责提供项目实施过程中的相关资料和数据。</w:t>
      </w:r>
    </w:p>
    <w:p w14:paraId="398F79D8">
      <w:pPr>
        <w:keepNext w:val="0"/>
        <w:keepLines w:val="0"/>
        <w:pageBreakBefore w:val="0"/>
        <w:widowControl w:val="0"/>
        <w:kinsoku/>
        <w:wordWrap/>
        <w:overflowPunct/>
        <w:topLinePunct w:val="0"/>
        <w:autoSpaceDE/>
        <w:autoSpaceDN/>
        <w:bidi w:val="0"/>
        <w:adjustRightInd/>
        <w:snapToGrid/>
        <w:spacing w:line="353" w:lineRule="auto"/>
        <w:ind w:left="0" w:leftChars="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lang w:eastAsia="zh-CN"/>
        </w:rPr>
        <w:t>.</w:t>
      </w:r>
      <w:r>
        <w:rPr>
          <w:rFonts w:hint="default" w:ascii="Times New Roman" w:hAnsi="Times New Roman" w:eastAsia="仿宋_GB2312" w:cs="Times New Roman"/>
          <w:sz w:val="32"/>
          <w:szCs w:val="32"/>
          <w:highlight w:val="none"/>
          <w:lang w:val="en-US" w:eastAsia="zh-CN"/>
        </w:rPr>
        <w:t>项目实施</w:t>
      </w:r>
      <w:r>
        <w:rPr>
          <w:rFonts w:hint="eastAsia" w:ascii="Times New Roman" w:hAnsi="Times New Roman" w:eastAsia="仿宋_GB2312" w:cs="Times New Roman"/>
          <w:sz w:val="32"/>
          <w:szCs w:val="32"/>
          <w:highlight w:val="none"/>
          <w:lang w:val="en-US" w:eastAsia="zh-CN"/>
        </w:rPr>
        <w:t>人员：负责项目实施评价。对项目预算执行情况、资金使用情况开展评价工作。</w:t>
      </w:r>
    </w:p>
    <w:p w14:paraId="6C0A3E11">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default" w:ascii="Times New Roman" w:hAnsi="Times New Roman" w:eastAsia="仿宋_GB2312" w:cs="Times New Roman"/>
          <w:bCs/>
          <w:lang w:eastAsia="zh-CN"/>
        </w:rPr>
      </w:pPr>
      <w:r>
        <w:rPr>
          <w:rFonts w:hint="eastAsia"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财务人员：负责对项目资金的支出使用情况进行核查和分析。</w:t>
      </w:r>
    </w:p>
    <w:p w14:paraId="2DFFD78E">
      <w:pPr>
        <w:keepNext w:val="0"/>
        <w:keepLines w:val="0"/>
        <w:pageBreakBefore w:val="0"/>
        <w:kinsoku/>
        <w:wordWrap/>
        <w:overflowPunct/>
        <w:topLinePunct w:val="0"/>
        <w:autoSpaceDE/>
        <w:autoSpaceDN/>
        <w:bidi w:val="0"/>
        <w:adjustRightInd/>
        <w:snapToGrid/>
        <w:spacing w:line="353" w:lineRule="auto"/>
        <w:ind w:firstLine="640" w:firstLineChars="200"/>
        <w:textAlignment w:val="auto"/>
        <w:rPr>
          <w:rFonts w:hint="default" w:ascii="Times New Roman" w:hAnsi="Times New Roman" w:cs="Times New Roman"/>
          <w:color w:val="auto"/>
          <w:sz w:val="32"/>
          <w:szCs w:val="32"/>
          <w:highlight w:val="none"/>
          <w:u w:val="none"/>
          <w:lang w:val="zh-CN"/>
        </w:rPr>
      </w:pP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绩效分析</w:t>
      </w:r>
      <w:r>
        <w:rPr>
          <w:rFonts w:hint="default" w:ascii="Times New Roman" w:hAnsi="Times New Roman" w:cs="Times New Roman"/>
          <w:color w:val="auto"/>
          <w:sz w:val="32"/>
          <w:szCs w:val="32"/>
          <w:highlight w:val="none"/>
          <w:u w:val="none"/>
          <w:lang w:val="zh-CN"/>
        </w:rPr>
        <w:tab/>
      </w:r>
    </w:p>
    <w:p w14:paraId="1303F2A6">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楷体_GB2312" w:cs="Times New Roman"/>
          <w:b/>
          <w:color w:val="auto"/>
          <w:sz w:val="32"/>
          <w:szCs w:val="32"/>
          <w:highlight w:val="none"/>
          <w:u w:val="none"/>
          <w:lang w:val="en-US" w:eastAsia="zh-CN"/>
        </w:rPr>
      </w:pPr>
      <w:r>
        <w:rPr>
          <w:rFonts w:hint="default" w:ascii="Times New Roman" w:hAnsi="Times New Roman" w:eastAsia="楷体_GB2312" w:cs="Times New Roman"/>
          <w:b/>
          <w:color w:val="auto"/>
          <w:sz w:val="32"/>
          <w:szCs w:val="32"/>
          <w:highlight w:val="none"/>
          <w:u w:val="none"/>
          <w:lang w:val="zh-CN"/>
        </w:rPr>
        <w:t>（一）</w:t>
      </w:r>
      <w:r>
        <w:rPr>
          <w:rFonts w:hint="default" w:ascii="Times New Roman" w:hAnsi="Times New Roman" w:eastAsia="楷体_GB2312" w:cs="Times New Roman"/>
          <w:b/>
          <w:color w:val="auto"/>
          <w:sz w:val="32"/>
          <w:szCs w:val="32"/>
          <w:highlight w:val="none"/>
          <w:u w:val="none"/>
          <w:lang w:val="en-US" w:eastAsia="zh-CN"/>
        </w:rPr>
        <w:t>通用指标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p>
    <w:p w14:paraId="1C288853">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1.项目决策。</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lang w:eastAsia="zh-CN"/>
        </w:rPr>
        <w:t>项目设立、调整符合</w:t>
      </w:r>
      <w:r>
        <w:rPr>
          <w:rFonts w:hint="eastAsia" w:ascii="仿宋_GB2312" w:hAnsi="仿宋_GB2312" w:eastAsia="仿宋_GB2312" w:cs="仿宋_GB2312"/>
          <w:color w:val="000000"/>
          <w:sz w:val="32"/>
          <w:szCs w:val="32"/>
          <w:lang w:val="en-US" w:eastAsia="zh-CN"/>
        </w:rPr>
        <w:t>《攀枝花市市级科技计划项目管理办法》和《攀枝花市省级定向财力转移支付科技项目管理暂行办法》</w:t>
      </w:r>
      <w:r>
        <w:rPr>
          <w:rFonts w:hint="eastAsia" w:ascii="仿宋_GB2312" w:hAnsi="仿宋_GB2312" w:eastAsia="仿宋_GB2312" w:cs="仿宋_GB2312"/>
          <w:color w:val="000000"/>
          <w:sz w:val="32"/>
          <w:szCs w:val="32"/>
          <w:lang w:eastAsia="zh-CN"/>
        </w:rPr>
        <w:t>和决策程序要求；项目规划符合中央、省委省政府有关决策部署安排，</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绩效目标设置科学合理；</w:t>
      </w:r>
      <w:r>
        <w:rPr>
          <w:rFonts w:hint="eastAsia" w:ascii="仿宋_GB2312" w:hAnsi="仿宋_GB2312" w:eastAsia="仿宋_GB2312" w:cs="仿宋_GB2312"/>
          <w:color w:val="000000"/>
          <w:sz w:val="32"/>
          <w:szCs w:val="32"/>
          <w:lang w:val="en-US" w:eastAsia="zh-CN"/>
        </w:rPr>
        <w:t>项目资金与项目总体规划、行业发展相匹配，体现“集中财力办大事”原则</w:t>
      </w:r>
      <w:r>
        <w:rPr>
          <w:rFonts w:hint="eastAsia" w:ascii="仿宋_GB2312" w:hAnsi="仿宋_GB2312" w:eastAsia="仿宋_GB2312" w:cs="仿宋_GB2312"/>
          <w:color w:val="000000"/>
          <w:sz w:val="32"/>
          <w:szCs w:val="32"/>
          <w:lang w:eastAsia="zh-CN"/>
        </w:rPr>
        <w:t>。</w:t>
      </w:r>
    </w:p>
    <w:p w14:paraId="78D34F78">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2.项目管理。</w:t>
      </w:r>
      <w:r>
        <w:rPr>
          <w:rFonts w:hint="eastAsia" w:ascii="仿宋_GB2312" w:hAnsi="仿宋_GB2312" w:eastAsia="仿宋_GB2312" w:cs="仿宋_GB2312"/>
          <w:color w:val="000000"/>
          <w:sz w:val="32"/>
          <w:szCs w:val="32"/>
          <w:lang w:val="en-US" w:eastAsia="zh-CN"/>
        </w:rPr>
        <w:t>资金管理办法健全完善，不存在管理制度缺失、管理办法过期情况；项目资金分配合理，项目管理、审批符合管理要求；项目全面完成绩效目标、绩效评价等预算绩效管理工作，不存在对资金分配和项目管理指导力度不够的情况，开展评价、监督、指导工作有力有效。</w:t>
      </w:r>
    </w:p>
    <w:p w14:paraId="7B8CD857">
      <w:pPr>
        <w:keepNext w:val="0"/>
        <w:keepLines w:val="0"/>
        <w:pageBreakBefore w:val="0"/>
        <w:widowControl w:val="0"/>
        <w:kinsoku/>
        <w:wordWrap/>
        <w:overflowPunct/>
        <w:topLinePunct w:val="0"/>
        <w:autoSpaceDE/>
        <w:autoSpaceDN/>
        <w:bidi w:val="0"/>
        <w:adjustRightInd/>
        <w:snapToGrid/>
        <w:spacing w:line="353" w:lineRule="auto"/>
        <w:ind w:firstLine="643" w:firstLineChars="200"/>
        <w:textAlignment w:val="auto"/>
        <w:outlineLvl w:val="9"/>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3.项目实施。</w:t>
      </w:r>
      <w:r>
        <w:rPr>
          <w:rFonts w:hint="default" w:ascii="Times New Roman" w:hAnsi="Times New Roman" w:eastAsia="仿宋_GB2312" w:cs="Times New Roman"/>
          <w:b w:val="0"/>
          <w:bCs w:val="0"/>
          <w:color w:val="auto"/>
          <w:kern w:val="0"/>
          <w:position w:val="0"/>
          <w:sz w:val="32"/>
          <w:szCs w:val="32"/>
          <w:highlight w:val="none"/>
          <w:lang w:val="zh-CN" w:eastAsia="zh-CN" w:bidi="ar-SA"/>
        </w:rPr>
        <w:t>严格按照预算计划执行项目资金支出，确保了资金的专款专用和合理使用；资金使用符合相关法规和政策要求，未出现违规使用和浪费现象。</w:t>
      </w:r>
    </w:p>
    <w:p w14:paraId="4DA34798">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default" w:ascii="Times New Roman" w:hAnsi="Times New Roman" w:eastAsia="仿宋_GB2312" w:cs="Times New Roman"/>
          <w:b w:val="0"/>
          <w:bCs w:val="0"/>
          <w:color w:val="auto"/>
          <w:kern w:val="0"/>
          <w:position w:val="0"/>
          <w:sz w:val="32"/>
          <w:szCs w:val="32"/>
          <w:highlight w:val="none"/>
          <w:lang w:val="zh-CN" w:eastAsia="zh-CN" w:bidi="ar-SA"/>
        </w:rPr>
      </w:pPr>
      <w:r>
        <w:rPr>
          <w:rFonts w:hint="default" w:ascii="Times New Roman" w:hAnsi="Times New Roman" w:eastAsia="仿宋_GB2312" w:cs="Times New Roman"/>
          <w:b/>
          <w:bCs/>
          <w:color w:val="auto"/>
          <w:kern w:val="0"/>
          <w:position w:val="0"/>
          <w:sz w:val="32"/>
          <w:szCs w:val="32"/>
          <w:highlight w:val="none"/>
          <w:lang w:val="en-US" w:eastAsia="zh-CN" w:bidi="ar-SA"/>
        </w:rPr>
        <w:t>4.项目结果。</w:t>
      </w:r>
      <w:r>
        <w:rPr>
          <w:rFonts w:hint="eastAsia" w:ascii="Times New Roman" w:hAnsi="Times New Roman" w:eastAsia="仿宋_GB2312" w:cs="Times New Roman"/>
          <w:b w:val="0"/>
          <w:bCs w:val="0"/>
          <w:color w:val="auto"/>
          <w:kern w:val="0"/>
          <w:position w:val="0"/>
          <w:sz w:val="32"/>
          <w:szCs w:val="32"/>
          <w:highlight w:val="none"/>
          <w:lang w:val="en-US" w:eastAsia="zh-CN" w:bidi="ar-SA"/>
        </w:rPr>
        <w:t>项目完成预期目标，实施结果与绩效目标相匹配，反映目标实现程度；项目计划完成时间2023年3月至2024年6月，实际完成时间与计划完成时间一致。</w:t>
      </w:r>
    </w:p>
    <w:p w14:paraId="68571496">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eastAsia"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楷体_GB2312" w:cs="Times New Roman"/>
          <w:b/>
          <w:color w:val="auto"/>
          <w:sz w:val="32"/>
          <w:szCs w:val="32"/>
          <w:highlight w:val="none"/>
          <w:u w:val="none"/>
          <w:lang w:val="zh-CN"/>
        </w:rPr>
        <w:t>（二）</w:t>
      </w:r>
      <w:r>
        <w:rPr>
          <w:rFonts w:hint="default" w:ascii="Times New Roman" w:hAnsi="Times New Roman"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21F57027">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default" w:ascii="Times New Roman" w:hAnsi="Times New Roman" w:eastAsia="仿宋_GB2312" w:cs="Times New Roman"/>
          <w:b w:val="0"/>
          <w:bCs w:val="0"/>
          <w:kern w:val="0"/>
          <w:position w:val="0"/>
          <w:sz w:val="32"/>
          <w:szCs w:val="32"/>
          <w:highlight w:val="none"/>
          <w:lang w:val="en-US" w:eastAsia="zh-CN" w:bidi="ar-SA"/>
        </w:rPr>
      </w:pPr>
      <w:r>
        <w:rPr>
          <w:rFonts w:hint="default" w:ascii="Times New Roman" w:hAnsi="Times New Roman" w:eastAsia="楷体_GB2312" w:cs="Times New Roman"/>
          <w:b/>
          <w:bCs/>
          <w:color w:val="000000"/>
          <w:kern w:val="0"/>
          <w:sz w:val="32"/>
          <w:szCs w:val="32"/>
          <w:highlight w:val="none"/>
          <w:shd w:val="clear" w:color="auto" w:fill="FFFFFF"/>
          <w:lang w:val="zh-CN" w:eastAsia="zh-CN"/>
        </w:rPr>
        <w:t>（三）</w:t>
      </w:r>
      <w:r>
        <w:rPr>
          <w:rFonts w:hint="default" w:ascii="Times New Roman" w:hAnsi="Times New Roman" w:eastAsia="楷体_GB2312" w:cs="Times New Roman"/>
          <w:b/>
          <w:bCs/>
          <w:color w:val="000000"/>
          <w:kern w:val="0"/>
          <w:sz w:val="32"/>
          <w:szCs w:val="32"/>
          <w:highlight w:val="none"/>
          <w:shd w:val="clear" w:color="auto" w:fill="FFFFFF"/>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eastAsia="zh-CN"/>
        </w:rPr>
        <w:t>绩效分析。</w:t>
      </w: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67B39D3F">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、评价结论</w:t>
      </w:r>
    </w:p>
    <w:p w14:paraId="649BF2A9">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仿宋_GB2312" w:cs="Times New Roman"/>
          <w:b w:val="0"/>
          <w:bCs w:val="0"/>
          <w:kern w:val="0"/>
          <w:position w:val="0"/>
          <w:sz w:val="32"/>
          <w:szCs w:val="32"/>
          <w:highlight w:val="none"/>
          <w:lang w:val="zh-CN" w:eastAsia="zh-CN" w:bidi="ar-SA"/>
        </w:rPr>
      </w:pPr>
      <w:r>
        <w:rPr>
          <w:rFonts w:hint="default" w:ascii="Times New Roman" w:hAnsi="Times New Roman" w:eastAsia="仿宋_GB2312" w:cs="Times New Roman"/>
          <w:b w:val="0"/>
          <w:bCs w:val="0"/>
          <w:kern w:val="0"/>
          <w:position w:val="0"/>
          <w:sz w:val="32"/>
          <w:szCs w:val="32"/>
          <w:highlight w:val="none"/>
          <w:lang w:val="zh-CN" w:eastAsia="zh-CN" w:bidi="ar-SA"/>
        </w:rPr>
        <w:t>结合专项项目支出绩效评价指标体系，攀枝花丽新园艺技术有限公司2022年省级科技计划转移支付专项资金到位及时，项目单位严格按照有关管理办法执行，项目资金管理使用规范，项目的实施对于促进企业自主创新和经济社会发展起到了积极的推动作用。</w:t>
      </w:r>
    </w:p>
    <w:p w14:paraId="6DFAE515">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五、存在主要问题</w:t>
      </w:r>
    </w:p>
    <w:p w14:paraId="3ADDBB7B">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eastAsia" w:ascii="Times New Roman" w:hAnsi="Times New Roman" w:eastAsia="仿宋_GB2312" w:cs="Times New Roman"/>
          <w:b w:val="0"/>
          <w:bCs w:val="0"/>
          <w:kern w:val="0"/>
          <w:position w:val="0"/>
          <w:sz w:val="32"/>
          <w:szCs w:val="32"/>
          <w:highlight w:val="none"/>
          <w:lang w:val="en-US" w:eastAsia="zh-CN" w:bidi="ar-SA"/>
        </w:rPr>
      </w:pP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2AE17072">
      <w:pPr>
        <w:pStyle w:val="3"/>
        <w:keepNext w:val="0"/>
        <w:keepLines w:val="0"/>
        <w:pageBreakBefore w:val="0"/>
        <w:numPr>
          <w:ilvl w:val="0"/>
          <w:numId w:val="0"/>
        </w:numPr>
        <w:tabs>
          <w:tab w:val="left" w:pos="2160"/>
        </w:tabs>
        <w:kinsoku/>
        <w:wordWrap/>
        <w:overflowPunct/>
        <w:topLinePunct w:val="0"/>
        <w:autoSpaceDE/>
        <w:autoSpaceDN/>
        <w:bidi w:val="0"/>
        <w:adjustRightInd/>
        <w:snapToGrid/>
        <w:spacing w:beforeLines="0" w:after="0" w:line="353" w:lineRule="auto"/>
        <w:ind w:firstLine="640" w:firstLineChars="200"/>
        <w:textAlignment w:val="auto"/>
        <w:rPr>
          <w:rFonts w:hint="default" w:ascii="Times New Roman" w:hAnsi="Times New Roman" w:eastAsia="黑体" w:cs="Times New Roman"/>
          <w:color w:val="auto"/>
          <w:kern w:val="0"/>
          <w:position w:val="3"/>
          <w:sz w:val="32"/>
          <w:szCs w:val="32"/>
          <w:highlight w:val="none"/>
          <w:u w:val="none"/>
          <w:lang w:val="zh-CN" w:eastAsia="zh-CN" w:bidi="ar-SA"/>
        </w:rPr>
      </w:pPr>
      <w:r>
        <w:rPr>
          <w:rFonts w:hint="default" w:ascii="Times New Roman" w:hAnsi="Times New Roman" w:eastAsia="黑体" w:cs="Times New Roman"/>
          <w:color w:val="auto"/>
          <w:kern w:val="0"/>
          <w:position w:val="3"/>
          <w:sz w:val="32"/>
          <w:szCs w:val="32"/>
          <w:highlight w:val="none"/>
          <w:u w:val="none"/>
          <w:lang w:val="zh-CN" w:eastAsia="zh-CN" w:bidi="ar-SA"/>
        </w:rPr>
        <w:t>六、改进建议</w:t>
      </w:r>
    </w:p>
    <w:p w14:paraId="7A58A06C">
      <w:pPr>
        <w:keepNext w:val="0"/>
        <w:keepLines w:val="0"/>
        <w:pageBreakBefore w:val="0"/>
        <w:tabs>
          <w:tab w:val="left" w:pos="1911"/>
        </w:tabs>
        <w:kinsoku/>
        <w:wordWrap/>
        <w:overflowPunct/>
        <w:topLinePunct w:val="0"/>
        <w:autoSpaceDE/>
        <w:autoSpaceDN/>
        <w:bidi w:val="0"/>
        <w:adjustRightInd/>
        <w:snapToGrid/>
        <w:spacing w:line="353" w:lineRule="auto"/>
        <w:ind w:firstLine="640" w:firstLineChars="200"/>
        <w:jc w:val="left"/>
        <w:textAlignment w:val="auto"/>
        <w:rPr>
          <w:rFonts w:hint="default" w:ascii="Times New Roman" w:hAnsi="Times New Roman" w:eastAsia="仿宋_GB2312" w:cs="Times New Roman"/>
          <w:b w:val="0"/>
          <w:bCs w:val="0"/>
          <w:kern w:val="0"/>
          <w:position w:val="0"/>
          <w:sz w:val="32"/>
          <w:szCs w:val="32"/>
          <w:highlight w:val="none"/>
          <w:lang w:val="en-US" w:eastAsia="zh-CN" w:bidi="ar-SA"/>
        </w:rPr>
      </w:pPr>
      <w:r>
        <w:rPr>
          <w:rFonts w:hint="eastAsia" w:ascii="Times New Roman" w:hAnsi="Times New Roman" w:eastAsia="仿宋_GB2312" w:cs="Times New Roman"/>
          <w:b w:val="0"/>
          <w:bCs w:val="0"/>
          <w:kern w:val="0"/>
          <w:position w:val="0"/>
          <w:sz w:val="32"/>
          <w:szCs w:val="32"/>
          <w:highlight w:val="none"/>
          <w:lang w:val="en-US" w:eastAsia="zh-CN" w:bidi="ar-SA"/>
        </w:rPr>
        <w:t>无。</w:t>
      </w:r>
    </w:p>
    <w:p w14:paraId="67FC698E">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eastAsia="仿宋_GB2312"/>
          <w:color w:val="FF0000"/>
          <w:sz w:val="32"/>
          <w:szCs w:val="32"/>
          <w:lang w:val="zh-CN"/>
        </w:rPr>
      </w:pPr>
    </w:p>
    <w:p w14:paraId="17BF651F">
      <w:pPr>
        <w:pStyle w:val="36"/>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_GBK" w:hAnsi="方正小标宋_GBK" w:eastAsia="方正小标宋_GBK" w:cs="方正小标宋_GBK"/>
          <w:color w:val="auto"/>
          <w:spacing w:val="-20"/>
          <w:kern w:val="2"/>
          <w:sz w:val="44"/>
          <w:szCs w:val="44"/>
          <w:highlight w:val="none"/>
          <w:lang w:val="en-US" w:eastAsia="zh-CN"/>
        </w:rPr>
      </w:pPr>
      <w:r>
        <w:rPr>
          <w:rFonts w:hint="eastAsia" w:ascii="方正小标宋_GBK" w:hAnsi="方正小标宋_GBK" w:eastAsia="方正小标宋_GBK" w:cs="方正小标宋_GBK"/>
          <w:color w:val="auto"/>
          <w:spacing w:val="-20"/>
          <w:kern w:val="2"/>
          <w:sz w:val="44"/>
          <w:szCs w:val="44"/>
          <w:highlight w:val="none"/>
          <w:lang w:val="en-US" w:eastAsia="zh-CN"/>
        </w:rPr>
        <w:t>四川省科技计划项目专项资金项目绩效评价报告</w:t>
      </w:r>
    </w:p>
    <w:p w14:paraId="61C66E15">
      <w:pPr>
        <w:pStyle w:val="36"/>
        <w:keepNext w:val="0"/>
        <w:keepLines w:val="0"/>
        <w:pageBreakBefore w:val="0"/>
        <w:widowControl w:val="0"/>
        <w:kinsoku/>
        <w:wordWrap/>
        <w:overflowPunct/>
        <w:topLinePunct w:val="0"/>
        <w:autoSpaceDE/>
        <w:autoSpaceDN/>
        <w:bidi w:val="0"/>
        <w:adjustRightInd/>
        <w:snapToGrid/>
        <w:spacing w:line="578" w:lineRule="exact"/>
        <w:ind w:left="0" w:leftChars="0" w:firstLine="640"/>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zh-CN" w:eastAsia="zh-CN"/>
        </w:rPr>
        <w:t>（“攀枝花市西区</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lang w:val="zh-CN" w:eastAsia="zh-CN"/>
        </w:rPr>
        <w:t>四川乡村振兴科技在线</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lang w:val="zh-CN" w:eastAsia="zh-CN"/>
        </w:rPr>
        <w:t>平台建设与运行维护（平台类）”</w:t>
      </w:r>
      <w:r>
        <w:rPr>
          <w:rFonts w:hint="eastAsia" w:ascii="楷体_GB2312" w:hAnsi="楷体_GB2312" w:eastAsia="楷体_GB2312" w:cs="楷体_GB2312"/>
          <w:color w:val="000000"/>
          <w:sz w:val="32"/>
          <w:szCs w:val="32"/>
          <w:lang w:val="en-US" w:eastAsia="zh-CN"/>
        </w:rPr>
        <w:t>项目</w:t>
      </w:r>
      <w:r>
        <w:rPr>
          <w:rFonts w:hint="eastAsia" w:ascii="楷体_GB2312" w:hAnsi="楷体_GB2312" w:eastAsia="楷体_GB2312" w:cs="楷体_GB2312"/>
          <w:color w:val="000000"/>
          <w:sz w:val="32"/>
          <w:szCs w:val="32"/>
          <w:lang w:val="zh-CN" w:eastAsia="zh-CN"/>
        </w:rPr>
        <w:t>）</w:t>
      </w:r>
    </w:p>
    <w:p w14:paraId="76EC563F">
      <w:pPr>
        <w:pStyle w:val="36"/>
        <w:keepNext w:val="0"/>
        <w:keepLines w:val="0"/>
        <w:pageBreakBefore w:val="0"/>
        <w:widowControl w:val="0"/>
        <w:kinsoku/>
        <w:wordWrap/>
        <w:overflowPunct/>
        <w:topLinePunct w:val="0"/>
        <w:autoSpaceDE/>
        <w:autoSpaceDN/>
        <w:bidi w:val="0"/>
        <w:adjustRightInd/>
        <w:snapToGrid/>
        <w:spacing w:line="578" w:lineRule="exact"/>
        <w:ind w:left="0" w:leftChars="0" w:firstLine="640"/>
        <w:jc w:val="center"/>
        <w:textAlignment w:val="auto"/>
        <w:rPr>
          <w:rFonts w:hint="eastAsia" w:ascii="方正小标宋_GBK" w:hAnsi="方正小标宋_GBK" w:eastAsia="方正小标宋_GBK" w:cs="方正小标宋_GBK"/>
          <w:color w:val="000000"/>
          <w:sz w:val="36"/>
          <w:szCs w:val="36"/>
          <w:lang w:val="en-US" w:eastAsia="zh-CN"/>
        </w:rPr>
      </w:pPr>
    </w:p>
    <w:p w14:paraId="4B3E3D5A">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14:paraId="1C5B448E">
      <w:pPr>
        <w:keepNext w:val="0"/>
        <w:keepLines w:val="0"/>
        <w:pageBreakBefore w:val="0"/>
        <w:widowControl/>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ascii="仿宋_GB2312" w:hAnsi="仿宋_GB2312" w:eastAsia="仿宋_GB2312" w:cs="仿宋_GB2312"/>
          <w:color w:val="000000"/>
          <w:kern w:val="0"/>
          <w:sz w:val="32"/>
          <w:szCs w:val="32"/>
          <w:shd w:val="clear" w:color="auto" w:fill="FFFFFF"/>
          <w:lang w:val="zh-CN"/>
        </w:rPr>
      </w:pPr>
      <w:r>
        <w:rPr>
          <w:rFonts w:hint="eastAsia" w:ascii="楷体_GB2312" w:hAnsi="宋体" w:eastAsia="楷体_GB2312"/>
          <w:b/>
          <w:color w:val="000000"/>
          <w:sz w:val="32"/>
          <w:szCs w:val="32"/>
          <w:lang w:val="zh-CN"/>
        </w:rPr>
        <w:t>（一）设立背景及基本情况。</w:t>
      </w:r>
    </w:p>
    <w:p w14:paraId="643B67DB">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b/>
          <w:bCs/>
          <w:color w:val="000000"/>
          <w:kern w:val="0"/>
          <w:sz w:val="32"/>
          <w:szCs w:val="32"/>
        </w:rPr>
        <w:t>1</w:t>
      </w:r>
      <w:r>
        <w:rPr>
          <w:rFonts w:hint="eastAsia" w:ascii="Times New Roman" w:hAnsi="Times New Roman" w:eastAsia="仿宋_GB2312"/>
          <w:b/>
          <w:bCs/>
          <w:color w:val="000000"/>
          <w:kern w:val="0"/>
          <w:sz w:val="32"/>
          <w:szCs w:val="32"/>
          <w:lang w:val="en-US" w:eastAsia="zh-CN"/>
        </w:rPr>
        <w:t>.</w:t>
      </w:r>
      <w:r>
        <w:rPr>
          <w:rFonts w:hint="eastAsia" w:ascii="Times New Roman" w:hAnsi="Times New Roman" w:eastAsia="仿宋_GB2312"/>
          <w:b/>
          <w:bCs/>
          <w:color w:val="000000"/>
          <w:kern w:val="0"/>
          <w:sz w:val="32"/>
          <w:szCs w:val="32"/>
        </w:rPr>
        <w:t>项目设立原因及背景</w:t>
      </w:r>
      <w:bookmarkStart w:id="51" w:name="OLE_LINK1"/>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color w:val="000000"/>
          <w:kern w:val="0"/>
          <w:sz w:val="32"/>
          <w:szCs w:val="32"/>
          <w:lang w:val="en-US" w:eastAsia="zh-CN"/>
        </w:rPr>
        <w:t>随着农业发展，特别是特色农业的发展，基层对农业科技服务的需求范围越来越广，服务要求越来越高，现有的农业科技服务方式满足不了基层的现实需要。“四川</w:t>
      </w:r>
      <w:r>
        <w:rPr>
          <w:rFonts w:hint="eastAsia" w:eastAsia="仿宋_GB2312"/>
          <w:color w:val="000000"/>
          <w:sz w:val="32"/>
          <w:szCs w:val="32"/>
          <w:lang w:val="en-US" w:eastAsia="zh-CN"/>
        </w:rPr>
        <w:t>乡村振兴科技</w:t>
      </w:r>
      <w:r>
        <w:rPr>
          <w:rFonts w:hint="eastAsia" w:ascii="Times New Roman" w:hAnsi="Times New Roman" w:eastAsia="仿宋_GB2312"/>
          <w:color w:val="000000"/>
          <w:kern w:val="0"/>
          <w:sz w:val="32"/>
          <w:szCs w:val="32"/>
          <w:lang w:val="en-US" w:eastAsia="zh-CN"/>
        </w:rPr>
        <w:t>在线”平台，通过信息化手段，共享全省农业科技人员，提供技术指导、信息服务，能够破解基层农业科技人员不足、专业不齐的问题。</w:t>
      </w:r>
    </w:p>
    <w:bookmarkEnd w:id="51"/>
    <w:p w14:paraId="3C17965F">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outlineLvl w:val="1"/>
        <w:rPr>
          <w:rFonts w:hint="eastAsia" w:eastAsia="仿宋_GB2312"/>
          <w:color w:val="000000"/>
          <w:sz w:val="32"/>
          <w:szCs w:val="32"/>
          <w:lang w:val="en-US" w:eastAsia="zh-CN"/>
        </w:rPr>
      </w:pPr>
      <w:r>
        <w:rPr>
          <w:rFonts w:hint="eastAsia" w:ascii="Times New Roman" w:hAnsi="Times New Roman" w:eastAsia="仿宋_GB2312"/>
          <w:b/>
          <w:bCs/>
          <w:color w:val="000000"/>
          <w:kern w:val="0"/>
          <w:sz w:val="32"/>
          <w:szCs w:val="32"/>
        </w:rPr>
        <w:t>2</w:t>
      </w:r>
      <w:r>
        <w:rPr>
          <w:rFonts w:hint="eastAsia" w:ascii="Times New Roman" w:hAnsi="Times New Roman" w:eastAsia="仿宋_GB2312"/>
          <w:b/>
          <w:bCs/>
          <w:color w:val="000000"/>
          <w:kern w:val="0"/>
          <w:sz w:val="32"/>
          <w:szCs w:val="32"/>
          <w:lang w:val="en-US" w:eastAsia="zh-CN"/>
        </w:rPr>
        <w:t>.项目</w:t>
      </w:r>
      <w:r>
        <w:rPr>
          <w:rFonts w:hint="eastAsia" w:ascii="Times New Roman" w:hAnsi="Times New Roman" w:eastAsia="仿宋_GB2312"/>
          <w:b/>
          <w:bCs/>
          <w:color w:val="000000"/>
          <w:kern w:val="0"/>
          <w:sz w:val="32"/>
          <w:szCs w:val="32"/>
        </w:rPr>
        <w:t>立项</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rPr>
        <w:t>资金申报依据</w:t>
      </w:r>
      <w:r>
        <w:rPr>
          <w:rFonts w:hint="eastAsia" w:ascii="Times New Roman" w:hAnsi="Times New Roman" w:eastAsia="仿宋_GB2312"/>
          <w:b/>
          <w:bCs/>
          <w:color w:val="000000"/>
          <w:kern w:val="0"/>
          <w:sz w:val="32"/>
          <w:szCs w:val="32"/>
          <w:lang w:eastAsia="zh-CN"/>
        </w:rPr>
        <w:t>。</w:t>
      </w:r>
      <w:r>
        <w:rPr>
          <w:rFonts w:hint="eastAsia" w:eastAsia="仿宋_GB2312"/>
          <w:color w:val="000000"/>
          <w:sz w:val="32"/>
          <w:szCs w:val="32"/>
          <w:lang w:val="en-US" w:eastAsia="zh-CN"/>
        </w:rPr>
        <w:t>根据《攀枝花市财政局 攀枝花市科学技术局关于下达2023年第一批省级科技计划项目专项资金预算的通知》(攀财资教〔2023〕28号)文件，攀枝花市西区“四川乡村振兴科技在线”平台建设与运行维护（平台类）立项经费20万元，资金的申报符合资金管理办法相关规定。</w:t>
      </w:r>
    </w:p>
    <w:p w14:paraId="76862304">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
          <w:bCs/>
          <w:color w:val="000000"/>
          <w:kern w:val="0"/>
          <w:sz w:val="32"/>
          <w:szCs w:val="32"/>
        </w:rPr>
        <w:t>项目主要内容</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color w:val="000000"/>
          <w:kern w:val="0"/>
          <w:sz w:val="32"/>
          <w:szCs w:val="32"/>
          <w:lang w:val="en-US" w:eastAsia="zh-CN"/>
        </w:rPr>
        <w:t>依托“</w:t>
      </w:r>
      <w:r>
        <w:rPr>
          <w:rFonts w:hint="eastAsia" w:eastAsia="仿宋_GB2312"/>
          <w:color w:val="000000"/>
          <w:sz w:val="32"/>
          <w:szCs w:val="32"/>
          <w:lang w:val="en-US" w:eastAsia="zh-CN"/>
        </w:rPr>
        <w:t>四川乡村振兴科技在线</w:t>
      </w:r>
      <w:r>
        <w:rPr>
          <w:rFonts w:hint="eastAsia" w:ascii="Times New Roman" w:hAnsi="Times New Roman" w:eastAsia="仿宋_GB2312"/>
          <w:color w:val="000000"/>
          <w:kern w:val="0"/>
          <w:sz w:val="32"/>
          <w:szCs w:val="32"/>
          <w:lang w:val="en-US" w:eastAsia="zh-CN"/>
        </w:rPr>
        <w:t>”平台，有效整合全区涉农领域相关科技资源，构建农村产业科技创新、成果转化、农技推广、人员培训与农村产业各环节上下贯通、优势互补、运转高效的现代农业科技信息管理与服务系统，提高农业科技服务信息化水平，全面提升农业科技服务质量和效率，推动农村产业现代化，切实增加农民收入。</w:t>
      </w:r>
    </w:p>
    <w:p w14:paraId="55B35C50">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
          <w:bCs/>
          <w:color w:val="000000"/>
          <w:kern w:val="0"/>
          <w:sz w:val="32"/>
          <w:szCs w:val="32"/>
        </w:rPr>
        <w:t>主管部门职能</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val="0"/>
          <w:bCs w:val="0"/>
          <w:color w:val="000000"/>
          <w:kern w:val="0"/>
          <w:sz w:val="32"/>
          <w:szCs w:val="32"/>
          <w:lang w:val="en-US" w:eastAsia="zh-CN"/>
        </w:rPr>
        <w:t>项目主管部门为</w:t>
      </w:r>
      <w:r>
        <w:rPr>
          <w:rFonts w:hint="eastAsia" w:eastAsia="仿宋_GB2312"/>
          <w:color w:val="000000"/>
          <w:sz w:val="32"/>
          <w:szCs w:val="32"/>
          <w:lang w:val="en-US" w:eastAsia="zh-CN"/>
        </w:rPr>
        <w:t>攀枝花市农易达青年创业农业开发有限公司，</w:t>
      </w:r>
      <w:r>
        <w:rPr>
          <w:rFonts w:hint="eastAsia" w:ascii="Times New Roman" w:hAnsi="Times New Roman" w:eastAsia="仿宋_GB2312"/>
          <w:color w:val="000000"/>
          <w:kern w:val="0"/>
          <w:sz w:val="32"/>
          <w:szCs w:val="32"/>
        </w:rPr>
        <w:t>作为“四川乡村振兴科技在线”</w:t>
      </w:r>
      <w:r>
        <w:rPr>
          <w:rFonts w:hint="eastAsia" w:ascii="Times New Roman" w:hAnsi="Times New Roman" w:eastAsia="仿宋_GB2312"/>
          <w:color w:val="000000"/>
          <w:kern w:val="0"/>
          <w:sz w:val="32"/>
          <w:szCs w:val="32"/>
          <w:lang w:val="en-US" w:eastAsia="zh-CN"/>
        </w:rPr>
        <w:t>西区</w:t>
      </w:r>
      <w:r>
        <w:rPr>
          <w:rFonts w:hint="eastAsia" w:ascii="Times New Roman" w:hAnsi="Times New Roman" w:eastAsia="仿宋_GB2312"/>
          <w:color w:val="000000"/>
          <w:kern w:val="0"/>
          <w:sz w:val="32"/>
          <w:szCs w:val="32"/>
        </w:rPr>
        <w:t>平台实体运行机构，在项目实施过程中，负责项目的组织、协调和管理工作，承担资源调度、补助审核、平台日常维护与管理、宣传推介、科技服务等职能</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确保项目的顺利实施。</w:t>
      </w:r>
    </w:p>
    <w:p w14:paraId="2706A1BB">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ascii="仿宋_GB2312" w:hAnsi="仿宋_GB2312" w:eastAsia="仿宋_GB2312" w:cs="仿宋_GB2312"/>
          <w:color w:val="000000"/>
          <w:kern w:val="0"/>
          <w:sz w:val="32"/>
          <w:szCs w:val="32"/>
          <w:shd w:val="clear" w:color="auto" w:fill="FFFFFF"/>
          <w:lang w:val="zh-CN"/>
        </w:rPr>
      </w:pPr>
      <w:r>
        <w:rPr>
          <w:rFonts w:hint="eastAsia" w:ascii="楷体_GB2312" w:hAnsi="宋体" w:eastAsia="楷体_GB2312"/>
          <w:b/>
          <w:color w:val="000000"/>
          <w:sz w:val="32"/>
          <w:szCs w:val="32"/>
          <w:lang w:val="zh-CN"/>
        </w:rPr>
        <w:t>（二）</w:t>
      </w:r>
      <w:r>
        <w:rPr>
          <w:rFonts w:ascii="楷体_GB2312" w:hAnsi="宋体" w:eastAsia="楷体_GB2312"/>
          <w:b/>
          <w:color w:val="000000"/>
          <w:sz w:val="32"/>
          <w:szCs w:val="32"/>
        </w:rPr>
        <w:t>实施目的及支持方向</w:t>
      </w:r>
      <w:r>
        <w:rPr>
          <w:rFonts w:hint="eastAsia" w:ascii="楷体_GB2312" w:hAnsi="宋体" w:eastAsia="楷体_GB2312"/>
          <w:b/>
          <w:color w:val="000000"/>
          <w:sz w:val="32"/>
          <w:szCs w:val="32"/>
        </w:rPr>
        <w:t>。</w:t>
      </w:r>
    </w:p>
    <w:p w14:paraId="1F7C59F1">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1</w:t>
      </w:r>
      <w:r>
        <w:rPr>
          <w:rFonts w:hint="eastAsia" w:ascii="Times New Roman" w:hAnsi="Times New Roman" w:eastAsia="仿宋_GB2312"/>
          <w:b/>
          <w:bCs/>
          <w:color w:val="000000"/>
          <w:kern w:val="0"/>
          <w:sz w:val="32"/>
          <w:szCs w:val="32"/>
          <w:lang w:val="en-US" w:eastAsia="zh-CN"/>
        </w:rPr>
        <w:t>.</w:t>
      </w:r>
      <w:r>
        <w:rPr>
          <w:rFonts w:hint="eastAsia" w:ascii="Times New Roman" w:hAnsi="Times New Roman" w:eastAsia="仿宋_GB2312"/>
          <w:b/>
          <w:bCs/>
          <w:color w:val="000000"/>
          <w:kern w:val="0"/>
          <w:sz w:val="32"/>
          <w:szCs w:val="32"/>
        </w:rPr>
        <w:t>项目资金管理办法制定情况</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color w:val="000000"/>
          <w:kern w:val="0"/>
          <w:sz w:val="32"/>
          <w:szCs w:val="32"/>
        </w:rPr>
        <w:t>为确保“四川乡村振兴科技在线”平台项目资金的合理使用和有效监管，</w:t>
      </w:r>
      <w:r>
        <w:rPr>
          <w:rFonts w:hint="eastAsia" w:ascii="Times New Roman" w:hAnsi="Times New Roman" w:eastAsia="仿宋_GB2312"/>
          <w:kern w:val="0"/>
          <w:sz w:val="32"/>
          <w:szCs w:val="32"/>
          <w:lang w:val="en-US" w:eastAsia="zh-CN"/>
        </w:rPr>
        <w:t>项目严格按照《四川省科技计划管理办法》（川科政〔2022〕4号）、《四川省科技计划项目专项资金管理办法》（川财规〔2019〕10号）文件要求实施，同时，</w:t>
      </w:r>
      <w:r>
        <w:rPr>
          <w:rFonts w:ascii="Times New Roman" w:hAnsi="Times New Roman" w:eastAsia="仿宋_GB2312"/>
          <w:color w:val="000000"/>
          <w:kern w:val="0"/>
          <w:sz w:val="32"/>
          <w:szCs w:val="32"/>
        </w:rPr>
        <w:t>项目实施单位</w:t>
      </w:r>
      <w:r>
        <w:rPr>
          <w:rFonts w:hint="eastAsia" w:ascii="Times New Roman" w:hAnsi="Times New Roman" w:eastAsia="仿宋_GB2312"/>
          <w:color w:val="000000"/>
          <w:kern w:val="0"/>
          <w:sz w:val="32"/>
          <w:szCs w:val="32"/>
        </w:rPr>
        <w:t>（</w:t>
      </w:r>
      <w:r>
        <w:rPr>
          <w:rFonts w:hint="eastAsia" w:eastAsia="仿宋_GB2312"/>
          <w:color w:val="000000"/>
          <w:sz w:val="32"/>
          <w:szCs w:val="32"/>
          <w:lang w:val="en-US" w:eastAsia="zh-CN"/>
        </w:rPr>
        <w:t>攀枝花市农易达青年创业农业开发有限公司</w:t>
      </w:r>
      <w:r>
        <w:rPr>
          <w:rFonts w:hint="eastAsia" w:ascii="Times New Roman" w:hAnsi="Times New Roman" w:eastAsia="仿宋_GB2312"/>
          <w:color w:val="000000"/>
          <w:kern w:val="0"/>
          <w:sz w:val="32"/>
          <w:szCs w:val="32"/>
        </w:rPr>
        <w:t>）遵循公开、公平、公正的原则，制定了各项</w:t>
      </w:r>
      <w:r>
        <w:rPr>
          <w:rFonts w:ascii="Times New Roman" w:hAnsi="Times New Roman" w:eastAsia="仿宋_GB2312"/>
          <w:color w:val="000000"/>
          <w:kern w:val="0"/>
          <w:sz w:val="32"/>
          <w:szCs w:val="32"/>
        </w:rPr>
        <w:t>财务管理制度</w:t>
      </w:r>
      <w:r>
        <w:rPr>
          <w:rFonts w:hint="eastAsia" w:ascii="Times New Roman" w:hAnsi="Times New Roman" w:eastAsia="仿宋_GB2312"/>
          <w:color w:val="000000"/>
          <w:kern w:val="0"/>
          <w:sz w:val="32"/>
          <w:szCs w:val="32"/>
        </w:rPr>
        <w:t>，实行项目预算管理，明确资金使用范围和标准，加强内部审计，确保资金使用符合规定。</w:t>
      </w:r>
      <w:r>
        <w:rPr>
          <w:rFonts w:ascii="Times New Roman" w:hAnsi="Times New Roman" w:eastAsia="仿宋_GB2312"/>
          <w:color w:val="000000"/>
          <w:kern w:val="0"/>
          <w:sz w:val="32"/>
          <w:szCs w:val="32"/>
        </w:rPr>
        <w:t>严格</w:t>
      </w:r>
      <w:r>
        <w:rPr>
          <w:rFonts w:hint="eastAsia" w:ascii="Times New Roman" w:hAnsi="Times New Roman" w:eastAsia="仿宋_GB2312"/>
          <w:color w:val="000000"/>
          <w:kern w:val="0"/>
          <w:sz w:val="32"/>
          <w:szCs w:val="32"/>
        </w:rPr>
        <w:t>按照各项</w:t>
      </w:r>
      <w:r>
        <w:rPr>
          <w:rFonts w:ascii="Times New Roman" w:hAnsi="Times New Roman" w:eastAsia="仿宋_GB2312"/>
          <w:color w:val="000000"/>
          <w:kern w:val="0"/>
          <w:sz w:val="32"/>
          <w:szCs w:val="32"/>
        </w:rPr>
        <w:t>财务管理制度执行，账务处理及时，会计核算规范</w:t>
      </w:r>
      <w:r>
        <w:rPr>
          <w:rFonts w:hint="eastAsia" w:ascii="Times New Roman" w:hAnsi="Times New Roman" w:eastAsia="仿宋_GB2312"/>
          <w:color w:val="000000"/>
          <w:kern w:val="0"/>
          <w:sz w:val="32"/>
          <w:szCs w:val="32"/>
        </w:rPr>
        <w:t>。</w:t>
      </w:r>
    </w:p>
    <w:p w14:paraId="47F5924B">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2</w:t>
      </w:r>
      <w:r>
        <w:rPr>
          <w:rFonts w:hint="eastAsia" w:ascii="Times New Roman" w:hAnsi="Times New Roman" w:eastAsia="仿宋_GB2312"/>
          <w:b/>
          <w:bCs/>
          <w:color w:val="000000"/>
          <w:kern w:val="0"/>
          <w:sz w:val="32"/>
          <w:szCs w:val="32"/>
          <w:lang w:val="en-US" w:eastAsia="zh-CN"/>
        </w:rPr>
        <w:t>.</w:t>
      </w:r>
      <w:r>
        <w:rPr>
          <w:rFonts w:hint="eastAsia" w:ascii="Times New Roman" w:hAnsi="Times New Roman" w:eastAsia="仿宋_GB2312"/>
          <w:b/>
          <w:bCs/>
          <w:color w:val="000000"/>
          <w:kern w:val="0"/>
          <w:sz w:val="32"/>
          <w:szCs w:val="32"/>
        </w:rPr>
        <w:t>项目实施目标与</w:t>
      </w:r>
      <w:r>
        <w:rPr>
          <w:rFonts w:hint="eastAsia" w:ascii="Times New Roman" w:hAnsi="Times New Roman" w:eastAsia="仿宋_GB2312"/>
          <w:b/>
          <w:bCs/>
          <w:color w:val="000000"/>
          <w:kern w:val="0"/>
          <w:sz w:val="32"/>
          <w:szCs w:val="32"/>
          <w:lang w:val="en-US" w:eastAsia="zh-CN"/>
        </w:rPr>
        <w:t>主要工作</w:t>
      </w:r>
      <w:r>
        <w:rPr>
          <w:rFonts w:hint="eastAsia" w:ascii="Times New Roman" w:hAnsi="Times New Roman" w:eastAsia="仿宋_GB2312"/>
          <w:b/>
          <w:bCs/>
          <w:color w:val="000000"/>
          <w:kern w:val="0"/>
          <w:sz w:val="32"/>
          <w:szCs w:val="32"/>
        </w:rPr>
        <w:t>任务</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color w:val="000000"/>
          <w:kern w:val="0"/>
          <w:sz w:val="32"/>
          <w:szCs w:val="32"/>
          <w:lang w:val="en-US" w:eastAsia="zh-CN"/>
        </w:rPr>
        <w:t>加强“四川乡村振兴科技在线”平台西区平台运管中心运行、维护、升级管理；扩大信息员、分诊员与专家队伍，组织专家开展在线咨询服务；组织平台推介与培训；上报技术供给、产业信息、供销对接等信息。</w:t>
      </w:r>
    </w:p>
    <w:p w14:paraId="2C5A342E">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3.项目</w:t>
      </w:r>
      <w:r>
        <w:rPr>
          <w:rFonts w:hint="eastAsia" w:ascii="Times New Roman" w:hAnsi="Times New Roman" w:eastAsia="仿宋_GB2312" w:cs="Times New Roman"/>
          <w:b/>
          <w:bCs/>
          <w:color w:val="000000"/>
          <w:kern w:val="0"/>
          <w:sz w:val="32"/>
          <w:szCs w:val="32"/>
        </w:rPr>
        <w:t>支持方向</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val="0"/>
          <w:bCs w:val="0"/>
          <w:color w:val="000000"/>
          <w:kern w:val="0"/>
          <w:sz w:val="32"/>
          <w:szCs w:val="32"/>
        </w:rPr>
        <w:t>主要支持“四川乡村振兴科技在线”等服务平台的建设与运行维护，‌确保平台的稳定运行和有效服务。</w:t>
      </w:r>
    </w:p>
    <w:p w14:paraId="158C0D17">
      <w:pPr>
        <w:keepNext w:val="0"/>
        <w:keepLines w:val="0"/>
        <w:pageBreakBefore w:val="0"/>
        <w:widowControl/>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eastAsia"/>
          <w:color w:val="auto"/>
          <w:lang w:val="zh-CN"/>
        </w:rPr>
      </w:pPr>
      <w:r>
        <w:rPr>
          <w:rFonts w:hint="eastAsia" w:ascii="楷体_GB2312" w:hAnsi="宋体" w:eastAsia="楷体_GB2312"/>
          <w:b/>
          <w:color w:val="000000"/>
          <w:sz w:val="32"/>
          <w:szCs w:val="32"/>
          <w:lang w:val="zh-CN"/>
        </w:rPr>
        <w:t>（三）</w:t>
      </w:r>
      <w:r>
        <w:rPr>
          <w:rFonts w:ascii="楷体_GB2312" w:hAnsi="宋体" w:eastAsia="楷体_GB2312"/>
          <w:b/>
          <w:color w:val="000000"/>
          <w:sz w:val="32"/>
          <w:szCs w:val="32"/>
        </w:rPr>
        <w:t>预算安排及分配管理</w:t>
      </w:r>
      <w:r>
        <w:rPr>
          <w:rFonts w:hint="eastAsia" w:ascii="楷体_GB2312" w:hAnsi="宋体" w:eastAsia="楷体_GB2312"/>
          <w:b/>
          <w:color w:val="000000"/>
          <w:sz w:val="32"/>
          <w:szCs w:val="32"/>
          <w:lang w:val="zh-CN"/>
        </w:rPr>
        <w:t>。</w:t>
      </w:r>
      <w:r>
        <w:rPr>
          <w:rFonts w:hint="eastAsia" w:eastAsia="仿宋_GB2312"/>
          <w:color w:val="auto"/>
          <w:sz w:val="32"/>
          <w:szCs w:val="32"/>
        </w:rPr>
        <w:t>本项目的经费预算主要包括建设区级运管中心，运维好</w:t>
      </w:r>
      <w:r>
        <w:rPr>
          <w:rFonts w:hint="eastAsia" w:ascii="Times New Roman" w:hAnsi="Times New Roman" w:eastAsia="仿宋_GB2312"/>
          <w:color w:val="auto"/>
          <w:sz w:val="32"/>
          <w:szCs w:val="32"/>
        </w:rPr>
        <w:t>“四川乡村振兴科技在线”平台</w:t>
      </w:r>
      <w:r>
        <w:rPr>
          <w:rFonts w:hint="eastAsia" w:eastAsia="仿宋_GB2312"/>
          <w:color w:val="auto"/>
          <w:sz w:val="32"/>
          <w:szCs w:val="32"/>
        </w:rPr>
        <w:t>，包括推进过程中的装修费、差旅费、会务费、资料印制费和广告设计费、劳务费等费用</w:t>
      </w:r>
      <w:r>
        <w:rPr>
          <w:rFonts w:hint="eastAsia" w:eastAsia="仿宋_GB2312"/>
          <w:color w:val="auto"/>
          <w:sz w:val="32"/>
          <w:szCs w:val="32"/>
          <w:lang w:eastAsia="zh-CN"/>
        </w:rPr>
        <w:t>，</w:t>
      </w:r>
      <w:r>
        <w:rPr>
          <w:rFonts w:hint="eastAsia" w:eastAsia="仿宋_GB2312"/>
          <w:color w:val="auto"/>
          <w:sz w:val="32"/>
          <w:szCs w:val="32"/>
        </w:rPr>
        <w:t>预算的测算</w:t>
      </w:r>
      <w:r>
        <w:rPr>
          <w:rFonts w:hint="eastAsia" w:ascii="Times New Roman" w:hAnsi="Times New Roman" w:eastAsia="仿宋_GB2312"/>
          <w:color w:val="auto"/>
          <w:sz w:val="32"/>
          <w:szCs w:val="32"/>
        </w:rPr>
        <w:t>严格遵循项目支出管理等相关文件规定。</w:t>
      </w:r>
    </w:p>
    <w:p w14:paraId="6A06C201">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outlineLvl w:val="1"/>
        <w:rPr>
          <w:rFonts w:hint="eastAsia" w:ascii="Times New Roman" w:hAnsi="Times New Roman" w:eastAsia="仿宋_GB2312" w:cs="Times New Roman"/>
          <w:color w:val="auto"/>
          <w:sz w:val="32"/>
          <w:szCs w:val="32"/>
          <w:lang w:val="zh-CN" w:eastAsia="zh-CN"/>
        </w:rPr>
      </w:pPr>
      <w:r>
        <w:rPr>
          <w:rFonts w:hint="eastAsia" w:ascii="楷体_GB2312" w:hAnsi="宋体" w:eastAsia="楷体_GB2312" w:cs="Times New Roman"/>
          <w:b/>
          <w:color w:val="000000"/>
          <w:kern w:val="2"/>
          <w:sz w:val="32"/>
          <w:szCs w:val="32"/>
          <w:lang w:val="zh-CN" w:eastAsia="zh-CN" w:bidi="ar-SA"/>
        </w:rPr>
        <w:t>（四）项目绩效目标设置。</w:t>
      </w:r>
      <w:r>
        <w:rPr>
          <w:rFonts w:hint="eastAsia" w:ascii="Times New Roman" w:hAnsi="Times New Roman" w:eastAsia="仿宋_GB2312" w:cs="Times New Roman"/>
          <w:color w:val="auto"/>
          <w:sz w:val="32"/>
          <w:szCs w:val="32"/>
          <w:lang w:val="zh-CN" w:eastAsia="zh-CN"/>
        </w:rPr>
        <w:t>开展在线技术咨询服务800次；上报本级成果转化、产业发展、供销对接等信息30条；开展培训活动场次2次，培训人数100人；新建村级服务驿站2处；年度工作简报刊发2篇；制作科普视频1个。</w:t>
      </w:r>
    </w:p>
    <w:p w14:paraId="6D275989">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sz w:val="32"/>
          <w:szCs w:val="32"/>
        </w:rPr>
      </w:pPr>
      <w:r>
        <w:rPr>
          <w:rFonts w:hint="eastAsia" w:ascii="黑体" w:hAnsi="宋体" w:eastAsia="黑体"/>
          <w:color w:val="000000"/>
          <w:sz w:val="32"/>
          <w:szCs w:val="32"/>
        </w:rPr>
        <w:t>二、评价实施</w:t>
      </w:r>
    </w:p>
    <w:p w14:paraId="4C71377A">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（一）评价目的。</w:t>
      </w:r>
      <w:r>
        <w:rPr>
          <w:rFonts w:hint="eastAsia" w:ascii="Times New Roman" w:hAnsi="Times New Roman" w:eastAsia="仿宋_GB2312"/>
          <w:color w:val="000000"/>
          <w:kern w:val="0"/>
          <w:sz w:val="32"/>
          <w:szCs w:val="32"/>
        </w:rPr>
        <w:t>通过项目绩效自评，全面了解和掌握项目的实际执行情况和实施效果</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客观评价项目资金的支出使用效率和效益</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发现项目执行过程中存在的问题和不足，提出改进措施和建议</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为项目的后续管理和决策提供科学依据和参考。</w:t>
      </w:r>
    </w:p>
    <w:p w14:paraId="6E808FEA">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（二）预设问题及评价重点。</w:t>
      </w:r>
      <w:r>
        <w:rPr>
          <w:rFonts w:hint="eastAsia" w:ascii="Times New Roman" w:hAnsi="Times New Roman" w:eastAsia="仿宋_GB2312"/>
          <w:color w:val="000000"/>
          <w:kern w:val="0"/>
          <w:sz w:val="32"/>
          <w:szCs w:val="32"/>
        </w:rPr>
        <w:t>根据绩效评价指标体系，对资金支出使用全过程及其实施效果进行综合评价和判断。评价重点包括：项目资金的分配和使用是否符合预算计划和规定</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项目是否按照预定的时间节点和目标任务完成</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项目实施过程中是否遵循了相关的管理制度和规定</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项目是否取得了预期的经济效益和社会效益。</w:t>
      </w:r>
    </w:p>
    <w:p w14:paraId="13140F47">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outlineLvl w:val="1"/>
        <w:rPr>
          <w:rFonts w:hint="eastAsia"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（三）评价选点。</w:t>
      </w:r>
      <w:r>
        <w:rPr>
          <w:rFonts w:hint="eastAsia" w:ascii="Times New Roman" w:hAnsi="Times New Roman" w:eastAsia="仿宋_GB2312"/>
          <w:color w:val="000000"/>
          <w:kern w:val="0"/>
          <w:sz w:val="32"/>
          <w:szCs w:val="32"/>
        </w:rPr>
        <w:t>攀枝花市西区“</w:t>
      </w:r>
      <w:r>
        <w:rPr>
          <w:rFonts w:hint="eastAsia" w:eastAsia="仿宋_GB2312"/>
          <w:color w:val="000000"/>
          <w:sz w:val="32"/>
          <w:szCs w:val="32"/>
          <w:lang w:val="en-US" w:eastAsia="zh-CN"/>
        </w:rPr>
        <w:t>四川乡村振兴科技在线</w:t>
      </w:r>
      <w:r>
        <w:rPr>
          <w:rFonts w:hint="eastAsia" w:ascii="Times New Roman" w:hAnsi="Times New Roman" w:eastAsia="仿宋_GB2312"/>
          <w:color w:val="000000"/>
          <w:kern w:val="0"/>
          <w:sz w:val="32"/>
          <w:szCs w:val="32"/>
        </w:rPr>
        <w:t>”项目的全部实施区域，并对不同区域的项目实施情况进行抽样调查和分析。</w:t>
      </w:r>
    </w:p>
    <w:p w14:paraId="642B97AB">
      <w:pPr>
        <w:keepNext w:val="0"/>
        <w:keepLines w:val="0"/>
        <w:pageBreakBefore w:val="0"/>
        <w:kinsoku/>
        <w:wordWrap/>
        <w:overflowPunct/>
        <w:topLinePunct w:val="0"/>
        <w:autoSpaceDE/>
        <w:autoSpaceDN/>
        <w:bidi w:val="0"/>
        <w:adjustRightInd/>
        <w:snapToGrid/>
        <w:spacing w:line="353" w:lineRule="auto"/>
        <w:ind w:left="0" w:leftChars="0" w:firstLine="640"/>
        <w:jc w:val="both"/>
        <w:textAlignment w:val="auto"/>
        <w:rPr>
          <w:rFonts w:hint="eastAsia" w:ascii="Times New Roman" w:hAnsi="Times New Roman" w:eastAsia="仿宋_GB2312"/>
          <w:color w:val="000000"/>
          <w:sz w:val="32"/>
          <w:szCs w:val="32"/>
        </w:rPr>
      </w:pPr>
      <w:r>
        <w:rPr>
          <w:rFonts w:hint="eastAsia" w:ascii="楷体_GB2312" w:hAnsi="宋体" w:eastAsia="楷体_GB2312"/>
          <w:b/>
          <w:color w:val="000000"/>
          <w:sz w:val="32"/>
          <w:szCs w:val="32"/>
          <w:lang w:val="zh-CN"/>
        </w:rPr>
        <w:t>（四）评价方法。</w:t>
      </w:r>
      <w:r>
        <w:rPr>
          <w:rFonts w:hint="eastAsia" w:ascii="Times New Roman" w:hAnsi="Times New Roman" w:eastAsia="仿宋_GB2312"/>
          <w:color w:val="000000"/>
          <w:kern w:val="0"/>
          <w:sz w:val="32"/>
          <w:szCs w:val="32"/>
        </w:rPr>
        <w:t>为确保评估的准确性和全面性，</w:t>
      </w:r>
      <w:r>
        <w:rPr>
          <w:rFonts w:ascii="Times New Roman" w:hAnsi="Times New Roman" w:eastAsia="仿宋_GB2312"/>
          <w:color w:val="000000"/>
          <w:sz w:val="32"/>
          <w:szCs w:val="32"/>
        </w:rPr>
        <w:t>根据项目情况和评价重点，</w:t>
      </w:r>
      <w:r>
        <w:rPr>
          <w:rFonts w:hint="eastAsia" w:ascii="Times New Roman" w:hAnsi="Times New Roman" w:eastAsia="仿宋_GB2312"/>
          <w:color w:val="000000"/>
          <w:kern w:val="0"/>
          <w:sz w:val="32"/>
          <w:szCs w:val="32"/>
        </w:rPr>
        <w:t>采用单位自评法，组织项目参与单位和人员进行自我评估，了解项目执行过程中的主观感受和体会，收集相关材料和开展具体评价。</w:t>
      </w:r>
    </w:p>
    <w:p w14:paraId="68DF40A3">
      <w:pPr>
        <w:keepNext w:val="0"/>
        <w:keepLines w:val="0"/>
        <w:pageBreakBefore w:val="0"/>
        <w:kinsoku/>
        <w:wordWrap/>
        <w:overflowPunct/>
        <w:topLinePunct w:val="0"/>
        <w:autoSpaceDE/>
        <w:autoSpaceDN/>
        <w:bidi w:val="0"/>
        <w:adjustRightInd/>
        <w:snapToGrid/>
        <w:spacing w:line="353" w:lineRule="auto"/>
        <w:ind w:left="0" w:leftChars="0" w:firstLine="640"/>
        <w:jc w:val="both"/>
        <w:textAlignment w:val="auto"/>
        <w:outlineLvl w:val="1"/>
        <w:rPr>
          <w:rFonts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（五）评价组织。</w:t>
      </w:r>
      <w:r>
        <w:rPr>
          <w:rFonts w:hint="eastAsia" w:ascii="Times New Roman" w:hAnsi="Times New Roman" w:eastAsia="仿宋_GB2312"/>
          <w:color w:val="000000"/>
          <w:kern w:val="0"/>
          <w:sz w:val="32"/>
          <w:szCs w:val="32"/>
        </w:rPr>
        <w:t>本次绩效自评工作由</w:t>
      </w:r>
      <w:r>
        <w:rPr>
          <w:rFonts w:ascii="Times New Roman" w:hAnsi="Times New Roman" w:eastAsia="仿宋_GB2312"/>
          <w:color w:val="000000"/>
          <w:kern w:val="0"/>
          <w:sz w:val="32"/>
          <w:szCs w:val="32"/>
        </w:rPr>
        <w:t>项目实施单位</w:t>
      </w:r>
      <w:r>
        <w:rPr>
          <w:rFonts w:hint="eastAsia" w:ascii="Times New Roman" w:hAnsi="Times New Roman" w:eastAsia="仿宋_GB2312"/>
          <w:color w:val="000000"/>
          <w:kern w:val="0"/>
          <w:sz w:val="32"/>
          <w:szCs w:val="32"/>
        </w:rPr>
        <w:t>（攀枝花市农易达青年创业农业开发有限公司）自行组织，评价组人员构成如下：</w:t>
      </w:r>
    </w:p>
    <w:p w14:paraId="30A43406">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组长：负责全面指导和监督评价工作。</w:t>
      </w:r>
    </w:p>
    <w:p w14:paraId="7A2CA939">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项目管理人员：负责提供项目实施过程中的相关资料和数据。</w:t>
      </w:r>
    </w:p>
    <w:p w14:paraId="39E203C8">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财务人员：负责对项目资金的支出使用情况进行核查和分析。</w:t>
      </w:r>
    </w:p>
    <w:p w14:paraId="277884E7">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项目组技术成员：由农业技术领域的专家、信息员、分诊员组成，负责对项目的实施效果进行专业评价。</w:t>
      </w:r>
    </w:p>
    <w:p w14:paraId="53D6F7EE">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ascii="仿宋_GB2312" w:hAnsi="宋体" w:eastAsia="仿宋_GB2312"/>
          <w:color w:val="000000"/>
          <w:sz w:val="32"/>
          <w:szCs w:val="32"/>
          <w:lang w:val="zh-CN"/>
        </w:rPr>
      </w:pPr>
      <w:r>
        <w:rPr>
          <w:rFonts w:hint="eastAsia" w:ascii="黑体" w:hAnsi="宋体" w:eastAsia="黑体"/>
          <w:color w:val="000000"/>
          <w:sz w:val="32"/>
          <w:szCs w:val="32"/>
        </w:rPr>
        <w:t>三、绩效分析</w:t>
      </w:r>
      <w:r>
        <w:rPr>
          <w:rFonts w:hint="eastAsia" w:ascii="仿宋_GB2312" w:hAnsi="宋体" w:eastAsia="仿宋_GB2312"/>
          <w:color w:val="000000"/>
          <w:sz w:val="32"/>
          <w:szCs w:val="32"/>
          <w:lang w:val="zh-CN"/>
        </w:rPr>
        <w:tab/>
      </w:r>
    </w:p>
    <w:p w14:paraId="662CDA3E">
      <w:pPr>
        <w:keepNext w:val="0"/>
        <w:keepLines w:val="0"/>
        <w:pageBreakBefore w:val="0"/>
        <w:kinsoku/>
        <w:wordWrap/>
        <w:overflowPunct/>
        <w:topLinePunct w:val="0"/>
        <w:autoSpaceDE/>
        <w:autoSpaceDN/>
        <w:bidi w:val="0"/>
        <w:adjustRightInd/>
        <w:snapToGrid/>
        <w:spacing w:line="353" w:lineRule="auto"/>
        <w:ind w:left="0" w:leftChars="0" w:firstLine="640"/>
        <w:jc w:val="both"/>
        <w:textAlignment w:val="auto"/>
        <w:outlineLvl w:val="1"/>
        <w:rPr>
          <w:rFonts w:hint="eastAsia" w:ascii="楷体_GB2312" w:hAnsi="宋体" w:eastAsia="楷体_GB2312"/>
          <w:b/>
          <w:color w:val="000000"/>
          <w:sz w:val="32"/>
          <w:szCs w:val="32"/>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b/>
          <w:color w:val="000000"/>
          <w:sz w:val="32"/>
          <w:szCs w:val="32"/>
        </w:rPr>
        <w:t>通用指标</w:t>
      </w:r>
      <w:r>
        <w:rPr>
          <w:rFonts w:ascii="Times New Roman" w:hAnsi="Times New Roman" w:eastAsia="楷体_GB2312"/>
          <w:b/>
          <w:bCs/>
          <w:color w:val="000000"/>
          <w:kern w:val="0"/>
          <w:sz w:val="32"/>
          <w:szCs w:val="32"/>
          <w:shd w:val="clear" w:color="auto" w:fill="FFFFFF"/>
          <w:lang w:val="zh-CN"/>
        </w:rPr>
        <w:t>绩效分析。</w:t>
      </w:r>
    </w:p>
    <w:p w14:paraId="7ECFBC97">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1.项目决策。</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lang w:eastAsia="zh-CN"/>
        </w:rPr>
        <w:t>项目设立、调整符合</w:t>
      </w:r>
      <w:r>
        <w:rPr>
          <w:rFonts w:hint="eastAsia" w:ascii="仿宋_GB2312" w:hAnsi="仿宋_GB2312" w:eastAsia="仿宋_GB2312" w:cs="仿宋_GB2312"/>
          <w:color w:val="000000"/>
          <w:sz w:val="32"/>
          <w:szCs w:val="32"/>
          <w:lang w:val="en-US" w:eastAsia="zh-CN"/>
        </w:rPr>
        <w:t>《四川省科技计划管理办法》</w:t>
      </w:r>
      <w:r>
        <w:rPr>
          <w:rFonts w:hint="eastAsia" w:ascii="仿宋_GB2312" w:hAnsi="仿宋_GB2312" w:eastAsia="仿宋_GB2312" w:cs="仿宋_GB2312"/>
          <w:color w:val="000000"/>
          <w:sz w:val="32"/>
          <w:szCs w:val="32"/>
          <w:lang w:eastAsia="zh-CN"/>
        </w:rPr>
        <w:t>资金管理基本规范和决策程序要求；项目规划符合中央、省委省政府有关决策部署安排，</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绩效目标设置科学合理；</w:t>
      </w:r>
      <w:r>
        <w:rPr>
          <w:rFonts w:hint="eastAsia" w:ascii="仿宋_GB2312" w:hAnsi="仿宋_GB2312" w:eastAsia="仿宋_GB2312" w:cs="仿宋_GB2312"/>
          <w:color w:val="000000"/>
          <w:sz w:val="32"/>
          <w:szCs w:val="32"/>
          <w:lang w:val="en-US" w:eastAsia="zh-CN"/>
        </w:rPr>
        <w:t>项目资金与项目总体规划、行业发展相匹配，体现“集中财力办大事”原则</w:t>
      </w:r>
      <w:r>
        <w:rPr>
          <w:rFonts w:hint="eastAsia" w:ascii="仿宋_GB2312" w:hAnsi="仿宋_GB2312" w:eastAsia="仿宋_GB2312" w:cs="仿宋_GB2312"/>
          <w:color w:val="000000"/>
          <w:sz w:val="32"/>
          <w:szCs w:val="32"/>
          <w:lang w:eastAsia="zh-CN"/>
        </w:rPr>
        <w:t>。</w:t>
      </w:r>
    </w:p>
    <w:p w14:paraId="330A266E">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2.项目管理。</w:t>
      </w:r>
      <w:r>
        <w:rPr>
          <w:rFonts w:hint="eastAsia" w:ascii="仿宋_GB2312" w:hAnsi="仿宋_GB2312" w:eastAsia="仿宋_GB2312" w:cs="仿宋_GB2312"/>
          <w:color w:val="000000"/>
          <w:sz w:val="32"/>
          <w:szCs w:val="32"/>
          <w:lang w:val="en-US" w:eastAsia="zh-CN"/>
        </w:rPr>
        <w:t>资金管理办法健全完善，不存在管理制度缺失、管理办法过期情况；项目资金分配合理，项目管理、审批符合管理要求；项目全面完成绩效目标、绩效评价等预算绩效管理工作，不存在对资金分配和项目管理指导力度不够的情况，开展评价、监督、指导工作有力有效。</w:t>
      </w:r>
    </w:p>
    <w:p w14:paraId="4B44F1C0">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3.项目实施。</w:t>
      </w:r>
      <w:r>
        <w:rPr>
          <w:rFonts w:hint="eastAsia" w:ascii="仿宋_GB2312" w:hAnsi="仿宋_GB2312" w:eastAsia="仿宋_GB2312" w:cs="仿宋_GB2312"/>
          <w:color w:val="000000"/>
          <w:kern w:val="0"/>
          <w:sz w:val="32"/>
          <w:szCs w:val="32"/>
        </w:rPr>
        <w:t>严格按照预算计划执行项目资金支出，确保了资金的专款专用和合理使用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资金使用符合相关法规和政策要求，未出现违规使用和浪费现象。</w:t>
      </w:r>
    </w:p>
    <w:p w14:paraId="27D84728">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000000"/>
          <w:sz w:val="32"/>
          <w:szCs w:val="32"/>
        </w:rPr>
        <w:t>4.项目结果。</w:t>
      </w:r>
      <w:r>
        <w:rPr>
          <w:rFonts w:hint="eastAsia" w:ascii="仿宋_GB2312" w:hAnsi="仿宋_GB2312" w:eastAsia="仿宋_GB2312" w:cs="仿宋_GB2312"/>
          <w:color w:val="000000"/>
          <w:kern w:val="0"/>
          <w:sz w:val="32"/>
          <w:szCs w:val="32"/>
          <w:lang w:val="en-US" w:eastAsia="zh-CN"/>
        </w:rPr>
        <w:t>2023年</w:t>
      </w:r>
      <w:r>
        <w:rPr>
          <w:rFonts w:hint="eastAsia" w:ascii="仿宋_GB2312" w:hAnsi="仿宋_GB2312" w:eastAsia="仿宋_GB2312" w:cs="仿宋_GB2312"/>
          <w:color w:val="000000"/>
          <w:kern w:val="0"/>
          <w:sz w:val="32"/>
          <w:szCs w:val="32"/>
        </w:rPr>
        <w:t>，开展在线技术咨询824次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zh-CN"/>
        </w:rPr>
        <w:t>开展农业实用技术培训</w:t>
      </w:r>
      <w:r>
        <w:rPr>
          <w:rFonts w:hint="eastAsia" w:ascii="仿宋_GB2312" w:hAnsi="仿宋_GB2312" w:eastAsia="仿宋_GB2312" w:cs="仿宋_GB2312"/>
          <w:color w:val="000000"/>
          <w:kern w:val="0"/>
          <w:sz w:val="32"/>
          <w:szCs w:val="32"/>
        </w:rPr>
        <w:t>3场</w:t>
      </w:r>
      <w:r>
        <w:rPr>
          <w:rFonts w:hint="eastAsia" w:ascii="仿宋_GB2312" w:hAnsi="仿宋_GB2312" w:eastAsia="仿宋_GB2312" w:cs="仿宋_GB2312"/>
          <w:color w:val="000000"/>
          <w:kern w:val="0"/>
          <w:sz w:val="32"/>
          <w:szCs w:val="32"/>
          <w:lang w:val="zh-CN"/>
        </w:rPr>
        <w:t>，培训1</w:t>
      </w:r>
      <w:r>
        <w:rPr>
          <w:rFonts w:hint="eastAsia"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lang w:val="zh-CN"/>
        </w:rPr>
        <w:t>0余人次；</w:t>
      </w:r>
      <w:r>
        <w:rPr>
          <w:rFonts w:hint="eastAsia" w:ascii="仿宋_GB2312" w:hAnsi="仿宋_GB2312" w:eastAsia="仿宋_GB2312" w:cs="仿宋_GB2312"/>
          <w:color w:val="000000"/>
          <w:kern w:val="0"/>
          <w:sz w:val="32"/>
          <w:szCs w:val="32"/>
        </w:rPr>
        <w:t>上传成果转化、产业支撑、供销对接信息30条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新建村级驿站2个，累计建成4个；工作简报刊发2篇；制作科普视频1个。</w:t>
      </w:r>
      <w:r>
        <w:rPr>
          <w:rFonts w:hint="eastAsia" w:ascii="Times New Roman" w:hAnsi="Times New Roman" w:eastAsia="仿宋_GB2312" w:cs="Times New Roman"/>
          <w:color w:val="auto"/>
          <w:sz w:val="32"/>
          <w:szCs w:val="32"/>
          <w:lang w:val="en-US" w:eastAsia="zh-CN"/>
        </w:rPr>
        <w:t>项目完成预期目标，实施结果与绩效目标相匹配，反映目标实现程度；项目计划完成时间2023年1月至2023年12月，实际完成时间与计划完成时间一致。</w:t>
      </w:r>
    </w:p>
    <w:p w14:paraId="4EFD41FF">
      <w:pPr>
        <w:pStyle w:val="13"/>
        <w:keepNext w:val="0"/>
        <w:keepLines w:val="0"/>
        <w:pageBreakBefore w:val="0"/>
        <w:kinsoku/>
        <w:wordWrap/>
        <w:overflowPunct/>
        <w:topLinePunct w:val="0"/>
        <w:autoSpaceDE/>
        <w:autoSpaceDN/>
        <w:bidi w:val="0"/>
        <w:adjustRightInd/>
        <w:snapToGrid/>
        <w:spacing w:before="0"/>
        <w:ind w:firstLine="643" w:firstLineChars="200"/>
        <w:jc w:val="both"/>
        <w:textAlignment w:val="auto"/>
        <w:rPr>
          <w:rFonts w:hint="eastAsia" w:ascii="Times New Roman" w:hAnsi="Times New Roman" w:eastAsia="楷体_GB2312" w:cs="Times New Roman"/>
          <w:b/>
          <w:bCs/>
          <w:color w:val="000000"/>
          <w:kern w:val="0"/>
          <w:sz w:val="32"/>
          <w:szCs w:val="32"/>
          <w:highlight w:val="none"/>
          <w:shd w:val="clear" w:color="auto" w:fill="FFFFFF"/>
          <w:lang w:val="en-US"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lang w:val="en-US" w:eastAsia="zh-CN" w:bidi="ar-SA"/>
        </w:rPr>
        <w:t>无</w:t>
      </w:r>
      <w:r>
        <w:rPr>
          <w:rFonts w:hint="eastAsia" w:ascii="Times New Roman" w:hAnsi="Times New Roman" w:eastAsia="楷体_GB2312" w:cs="Times New Roman"/>
          <w:b/>
          <w:bCs/>
          <w:color w:val="000000"/>
          <w:kern w:val="0"/>
          <w:sz w:val="32"/>
          <w:szCs w:val="32"/>
          <w:highlight w:val="none"/>
          <w:shd w:val="clear" w:color="auto" w:fill="FFFFFF"/>
          <w:lang w:val="en-US" w:eastAsia="zh-CN"/>
        </w:rPr>
        <w:t>。</w:t>
      </w:r>
    </w:p>
    <w:p w14:paraId="2FC5F58A">
      <w:pPr>
        <w:pStyle w:val="13"/>
        <w:keepNext w:val="0"/>
        <w:keepLines w:val="0"/>
        <w:pageBreakBefore w:val="0"/>
        <w:kinsoku/>
        <w:wordWrap/>
        <w:overflowPunct/>
        <w:topLinePunct w:val="0"/>
        <w:autoSpaceDE/>
        <w:autoSpaceDN/>
        <w:bidi w:val="0"/>
        <w:adjustRightInd/>
        <w:snapToGrid/>
        <w:spacing w:before="0"/>
        <w:ind w:firstLine="643" w:firstLineChars="200"/>
        <w:jc w:val="both"/>
        <w:textAlignment w:val="auto"/>
        <w:rPr>
          <w:rFonts w:hint="eastAsia" w:eastAsia="楷体_GB231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lang w:val="en-US" w:eastAsia="zh-CN" w:bidi="ar-SA"/>
        </w:rPr>
        <w:t>无。</w:t>
      </w:r>
    </w:p>
    <w:p w14:paraId="2CFF6CF8">
      <w:pPr>
        <w:keepNext w:val="0"/>
        <w:keepLines w:val="0"/>
        <w:pageBreakBefore w:val="0"/>
        <w:widowControl/>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kern w:val="0"/>
          <w:position w:val="3"/>
          <w:sz w:val="32"/>
          <w:szCs w:val="32"/>
        </w:rPr>
      </w:pPr>
      <w:r>
        <w:rPr>
          <w:rFonts w:hint="eastAsia" w:ascii="黑体" w:hAnsi="宋体" w:eastAsia="黑体"/>
          <w:color w:val="000000"/>
          <w:kern w:val="0"/>
          <w:position w:val="3"/>
          <w:sz w:val="32"/>
          <w:szCs w:val="32"/>
        </w:rPr>
        <w:t>四、评价结论</w:t>
      </w:r>
    </w:p>
    <w:p w14:paraId="5F8627BA">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zh-CN" w:eastAsia="zh-CN"/>
        </w:rPr>
        <w:t>结合专项项目支出绩效评价指标体系</w:t>
      </w:r>
      <w:r>
        <w:rPr>
          <w:rFonts w:hint="eastAsia" w:ascii="Times New Roman" w:hAnsi="Times New Roman" w:eastAsia="仿宋_GB2312"/>
          <w:color w:val="000000"/>
          <w:kern w:val="0"/>
          <w:sz w:val="32"/>
          <w:szCs w:val="32"/>
          <w:lang w:val="en-US" w:eastAsia="zh-CN"/>
        </w:rPr>
        <w:t>，该</w:t>
      </w:r>
      <w:r>
        <w:rPr>
          <w:rFonts w:hint="eastAsia" w:ascii="Times New Roman" w:hAnsi="Times New Roman" w:eastAsia="仿宋_GB2312"/>
          <w:color w:val="000000"/>
          <w:kern w:val="0"/>
          <w:sz w:val="32"/>
          <w:szCs w:val="32"/>
        </w:rPr>
        <w:t>项目决策程序规范、资金投向合理，项目管理规范、资金分配公正透明，项目实施顺利、预算执行规范、资金使用合理</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通过本项目实施，建立西区农业科技服务网络体系，有效解决农户生产过程中遇到的技术问题，科技支撑乡村振兴取得显著成效，科技支撑引领产业发展的现代化水平显著提高，农业农村人力资源充分开发，专业化社会化科技服务水平明显提升，</w:t>
      </w:r>
      <w:r>
        <w:rPr>
          <w:rFonts w:hint="eastAsia" w:ascii="Times New Roman" w:hAnsi="Times New Roman" w:eastAsia="仿宋_GB2312"/>
          <w:color w:val="000000"/>
          <w:kern w:val="0"/>
          <w:sz w:val="32"/>
          <w:szCs w:val="32"/>
        </w:rPr>
        <w:t>当地农村经济的发展水平和农民的收入水平</w:t>
      </w:r>
      <w:r>
        <w:rPr>
          <w:rFonts w:hint="eastAsia" w:ascii="Times New Roman" w:hAnsi="Times New Roman" w:eastAsia="仿宋_GB2312"/>
          <w:color w:val="000000"/>
          <w:kern w:val="0"/>
          <w:sz w:val="32"/>
          <w:szCs w:val="32"/>
          <w:lang w:val="en-US" w:eastAsia="zh-CN"/>
        </w:rPr>
        <w:t>进一步</w:t>
      </w:r>
      <w:r>
        <w:rPr>
          <w:rFonts w:hint="eastAsia" w:ascii="Times New Roman" w:hAnsi="Times New Roman" w:eastAsia="仿宋_GB2312"/>
          <w:color w:val="000000"/>
          <w:kern w:val="0"/>
          <w:sz w:val="32"/>
          <w:szCs w:val="32"/>
        </w:rPr>
        <w:t>提升。</w:t>
      </w:r>
    </w:p>
    <w:p w14:paraId="3A6F9B78">
      <w:pPr>
        <w:keepNext w:val="0"/>
        <w:keepLines w:val="0"/>
        <w:pageBreakBefore w:val="0"/>
        <w:widowControl/>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kern w:val="0"/>
          <w:position w:val="3"/>
          <w:sz w:val="32"/>
          <w:szCs w:val="32"/>
        </w:rPr>
      </w:pPr>
      <w:r>
        <w:rPr>
          <w:rFonts w:hint="eastAsia" w:ascii="黑体" w:hAnsi="宋体" w:eastAsia="黑体"/>
          <w:color w:val="000000"/>
          <w:kern w:val="0"/>
          <w:position w:val="3"/>
          <w:sz w:val="32"/>
          <w:szCs w:val="32"/>
        </w:rPr>
        <w:t>五、存在主要问题</w:t>
      </w:r>
    </w:p>
    <w:p w14:paraId="44227CB1">
      <w:pPr>
        <w:pStyle w:val="13"/>
        <w:keepNext w:val="0"/>
        <w:keepLines w:val="0"/>
        <w:pageBreakBefore w:val="0"/>
        <w:kinsoku/>
        <w:wordWrap/>
        <w:overflowPunct/>
        <w:topLinePunct w:val="0"/>
        <w:autoSpaceDE/>
        <w:autoSpaceDN/>
        <w:bidi w:val="0"/>
        <w:adjustRightInd/>
        <w:snapToGrid/>
        <w:spacing w:before="0" w:line="353" w:lineRule="auto"/>
        <w:ind w:left="0" w:leftChars="0"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无。</w:t>
      </w:r>
    </w:p>
    <w:p w14:paraId="7B2992F0">
      <w:pPr>
        <w:keepNext w:val="0"/>
        <w:keepLines w:val="0"/>
        <w:pageBreakBefore w:val="0"/>
        <w:widowControl/>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kern w:val="0"/>
          <w:position w:val="3"/>
          <w:sz w:val="32"/>
          <w:szCs w:val="32"/>
          <w:lang w:val="zh-CN"/>
        </w:rPr>
      </w:pPr>
      <w:r>
        <w:rPr>
          <w:rFonts w:hint="eastAsia" w:ascii="黑体" w:hAnsi="宋体" w:eastAsia="黑体"/>
          <w:color w:val="000000"/>
          <w:kern w:val="0"/>
          <w:position w:val="3"/>
          <w:sz w:val="32"/>
          <w:szCs w:val="32"/>
          <w:lang w:val="zh-CN"/>
        </w:rPr>
        <w:t>六、改进建议</w:t>
      </w:r>
    </w:p>
    <w:p w14:paraId="05024A32">
      <w:pPr>
        <w:keepNext w:val="0"/>
        <w:keepLines w:val="0"/>
        <w:pageBreakBefore w:val="0"/>
        <w:tabs>
          <w:tab w:val="left" w:pos="1911"/>
        </w:tabs>
        <w:kinsoku/>
        <w:wordWrap/>
        <w:overflowPunct/>
        <w:topLinePunct w:val="0"/>
        <w:autoSpaceDE/>
        <w:autoSpaceDN/>
        <w:bidi w:val="0"/>
        <w:adjustRightInd/>
        <w:snapToGrid/>
        <w:spacing w:line="353" w:lineRule="auto"/>
        <w:ind w:left="0" w:leftChars="0" w:firstLine="640"/>
        <w:jc w:val="both"/>
        <w:textAlignment w:val="auto"/>
        <w:rPr>
          <w:rFonts w:hint="eastAsia" w:ascii="Times New Roman" w:hAnsi="Times New Roman" w:eastAsia="仿宋_GB2312" w:cs="Times New Roman"/>
          <w:color w:val="000000"/>
          <w:kern w:val="0"/>
          <w:sz w:val="32"/>
          <w:szCs w:val="32"/>
          <w:lang w:val="en-US" w:eastAsia="zh-CN" w:bidi="ar-SA"/>
        </w:rPr>
      </w:pPr>
      <w:bookmarkStart w:id="52" w:name="_Hlk110546638"/>
      <w:r>
        <w:rPr>
          <w:rFonts w:hint="eastAsia" w:ascii="Times New Roman" w:hAnsi="Times New Roman" w:eastAsia="仿宋_GB2312" w:cs="Times New Roman"/>
          <w:color w:val="000000"/>
          <w:kern w:val="0"/>
          <w:sz w:val="32"/>
          <w:szCs w:val="32"/>
          <w:lang w:val="en-US" w:eastAsia="zh-CN" w:bidi="ar-SA"/>
        </w:rPr>
        <w:t>无</w:t>
      </w:r>
      <w:bookmarkEnd w:id="52"/>
      <w:r>
        <w:rPr>
          <w:rFonts w:hint="eastAsia" w:ascii="Times New Roman" w:hAnsi="Times New Roman" w:eastAsia="仿宋_GB2312" w:cs="Times New Roman"/>
          <w:color w:val="000000"/>
          <w:kern w:val="0"/>
          <w:sz w:val="32"/>
          <w:szCs w:val="32"/>
          <w:lang w:val="en-US" w:eastAsia="zh-CN" w:bidi="ar-SA"/>
        </w:rPr>
        <w:t>。</w:t>
      </w:r>
    </w:p>
    <w:p w14:paraId="484939F4">
      <w:pPr>
        <w:keepNext w:val="0"/>
        <w:keepLines w:val="0"/>
        <w:pageBreakBefore w:val="0"/>
        <w:kinsoku/>
        <w:wordWrap/>
        <w:overflowPunct/>
        <w:topLinePunct w:val="0"/>
        <w:autoSpaceDE/>
        <w:autoSpaceDN/>
        <w:bidi w:val="0"/>
        <w:adjustRightInd/>
        <w:snapToGrid/>
        <w:ind w:firstLine="640" w:firstLineChars="200"/>
        <w:jc w:val="center"/>
        <w:textAlignment w:val="auto"/>
        <w:rPr>
          <w:rFonts w:hint="eastAsia" w:eastAsia="仿宋_GB2312"/>
          <w:color w:val="FF0000"/>
          <w:sz w:val="32"/>
          <w:szCs w:val="32"/>
          <w:lang w:val="zh-CN"/>
        </w:rPr>
      </w:pPr>
    </w:p>
    <w:p w14:paraId="36266AB6">
      <w:pPr>
        <w:pStyle w:val="36"/>
        <w:keepNext w:val="0"/>
        <w:keepLines w:val="0"/>
        <w:pageBreakBefore w:val="0"/>
        <w:widowControl w:val="0"/>
        <w:kinsoku/>
        <w:wordWrap/>
        <w:overflowPunct/>
        <w:topLinePunct w:val="0"/>
        <w:autoSpaceDE/>
        <w:autoSpaceDN/>
        <w:bidi w:val="0"/>
        <w:adjustRightInd/>
        <w:snapToGrid/>
        <w:spacing w:line="578" w:lineRule="exact"/>
        <w:ind w:left="0" w:leftChars="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rPr>
      </w:pPr>
      <w:r>
        <w:rPr>
          <w:rFonts w:hint="eastAsia" w:ascii="方正小标宋简体" w:hAnsi="方正小标宋简体" w:eastAsia="方正小标宋简体" w:cs="方正小标宋简体"/>
          <w:color w:val="auto"/>
          <w:kern w:val="2"/>
          <w:sz w:val="44"/>
          <w:szCs w:val="44"/>
          <w:highlight w:val="none"/>
          <w:lang w:val="en-US" w:eastAsia="zh-CN"/>
        </w:rPr>
        <w:t>中央引导地方科技发展资金项目绩效评价报告</w:t>
      </w:r>
    </w:p>
    <w:p w14:paraId="66041482">
      <w:pPr>
        <w:pStyle w:val="36"/>
        <w:keepNext w:val="0"/>
        <w:keepLines w:val="0"/>
        <w:pageBreakBefore w:val="0"/>
        <w:widowControl w:val="0"/>
        <w:kinsoku/>
        <w:wordWrap/>
        <w:overflowPunct/>
        <w:topLinePunct w:val="0"/>
        <w:autoSpaceDE/>
        <w:autoSpaceDN/>
        <w:bidi w:val="0"/>
        <w:adjustRightInd/>
        <w:snapToGrid/>
        <w:spacing w:line="578" w:lineRule="exact"/>
        <w:ind w:firstLine="280" w:firstLineChars="100"/>
        <w:jc w:val="both"/>
        <w:textAlignment w:val="auto"/>
        <w:rPr>
          <w:rFonts w:hint="eastAsia" w:ascii="楷体_GB2312" w:hAnsi="楷体_GB2312" w:eastAsia="楷体_GB2312" w:cs="楷体_GB2312"/>
          <w:color w:val="000000"/>
          <w:spacing w:val="-20"/>
          <w:sz w:val="32"/>
          <w:szCs w:val="32"/>
          <w:lang w:val="en-US" w:eastAsia="zh-CN"/>
        </w:rPr>
      </w:pPr>
      <w:r>
        <w:rPr>
          <w:rFonts w:hint="eastAsia" w:ascii="楷体_GB2312" w:hAnsi="楷体_GB2312" w:eastAsia="楷体_GB2312" w:cs="楷体_GB2312"/>
          <w:color w:val="auto"/>
          <w:spacing w:val="-20"/>
          <w:kern w:val="2"/>
          <w:sz w:val="32"/>
          <w:szCs w:val="32"/>
          <w:lang w:val="en-US" w:eastAsia="zh-CN" w:bidi="ar-SA"/>
        </w:rPr>
        <w:t>（废轮胎回收制取非标燃油（半补强炭黑）关键技术及产业化</w:t>
      </w:r>
      <w:r>
        <w:rPr>
          <w:rFonts w:hint="eastAsia" w:ascii="楷体_GB2312" w:hAnsi="楷体_GB2312" w:eastAsia="楷体_GB2312" w:cs="楷体_GB2312"/>
          <w:color w:val="000000"/>
          <w:spacing w:val="-20"/>
          <w:sz w:val="32"/>
          <w:szCs w:val="32"/>
          <w:lang w:val="en-US" w:eastAsia="zh-CN"/>
        </w:rPr>
        <w:t>项目</w:t>
      </w:r>
      <w:r>
        <w:rPr>
          <w:rFonts w:hint="eastAsia" w:ascii="楷体_GB2312" w:hAnsi="楷体_GB2312" w:eastAsia="楷体_GB2312" w:cs="楷体_GB2312"/>
          <w:color w:val="auto"/>
          <w:spacing w:val="-20"/>
          <w:kern w:val="2"/>
          <w:sz w:val="32"/>
          <w:szCs w:val="32"/>
          <w:lang w:val="en-US" w:eastAsia="zh-CN" w:bidi="ar-SA"/>
        </w:rPr>
        <w:t>）</w:t>
      </w:r>
    </w:p>
    <w:p w14:paraId="77AD4B6F">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sz w:val="32"/>
          <w:szCs w:val="32"/>
        </w:rPr>
      </w:pPr>
    </w:p>
    <w:p w14:paraId="6EC53197">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14:paraId="2DDE4B9F">
      <w:pPr>
        <w:keepNext w:val="0"/>
        <w:keepLines w:val="0"/>
        <w:pageBreakBefore w:val="0"/>
        <w:widowControl/>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ascii="仿宋_GB2312" w:hAnsi="仿宋_GB2312" w:eastAsia="仿宋_GB2312" w:cs="仿宋_GB2312"/>
          <w:color w:val="000000"/>
          <w:kern w:val="0"/>
          <w:sz w:val="32"/>
          <w:szCs w:val="32"/>
          <w:shd w:val="clear" w:color="auto" w:fill="FFFFFF"/>
          <w:lang w:val="zh-CN"/>
        </w:rPr>
      </w:pPr>
      <w:r>
        <w:rPr>
          <w:rFonts w:hint="eastAsia" w:ascii="楷体_GB2312" w:hAnsi="宋体" w:eastAsia="楷体_GB2312"/>
          <w:b/>
          <w:color w:val="000000"/>
          <w:sz w:val="32"/>
          <w:szCs w:val="32"/>
          <w:lang w:val="zh-CN"/>
        </w:rPr>
        <w:t>（一）设立背景及基本情况。</w:t>
      </w:r>
    </w:p>
    <w:p w14:paraId="24B43915">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b w:val="0"/>
          <w:bCs w:val="0"/>
          <w:color w:val="000000"/>
          <w:kern w:val="0"/>
          <w:sz w:val="32"/>
          <w:szCs w:val="32"/>
          <w:lang w:eastAsia="zh-CN"/>
        </w:rPr>
      </w:pPr>
      <w:r>
        <w:rPr>
          <w:rFonts w:hint="eastAsia" w:ascii="Times New Roman" w:hAnsi="Times New Roman" w:eastAsia="仿宋_GB2312"/>
          <w:b/>
          <w:bCs/>
          <w:color w:val="000000"/>
          <w:kern w:val="0"/>
          <w:sz w:val="32"/>
          <w:szCs w:val="32"/>
        </w:rPr>
        <w:t>1</w:t>
      </w:r>
      <w:r>
        <w:rPr>
          <w:rFonts w:hint="eastAsia" w:ascii="Times New Roman" w:hAnsi="Times New Roman" w:eastAsia="仿宋_GB2312"/>
          <w:b/>
          <w:bCs/>
          <w:color w:val="000000"/>
          <w:kern w:val="0"/>
          <w:sz w:val="32"/>
          <w:szCs w:val="32"/>
          <w:lang w:val="en-US" w:eastAsia="zh-CN"/>
        </w:rPr>
        <w:t>.</w:t>
      </w:r>
      <w:r>
        <w:rPr>
          <w:rFonts w:hint="eastAsia" w:ascii="Times New Roman" w:hAnsi="Times New Roman" w:eastAsia="仿宋_GB2312"/>
          <w:b/>
          <w:bCs/>
          <w:color w:val="000000"/>
          <w:kern w:val="0"/>
          <w:sz w:val="32"/>
          <w:szCs w:val="32"/>
        </w:rPr>
        <w:t>项目设立原因及背景</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val="0"/>
          <w:bCs w:val="0"/>
          <w:color w:val="000000"/>
          <w:kern w:val="0"/>
          <w:sz w:val="32"/>
          <w:szCs w:val="32"/>
          <w:lang w:eastAsia="zh-CN"/>
        </w:rPr>
        <w:t xml:space="preserve">燃料油通过燃油壁炉或家用燃油锅炉用以冬季取暖是许多北欧国家常见的冬季取暖形式，其优点是相对于煤和木材秸秆等的焚烧对环境更为友善，没有大量烟尘产生，进而能有效降低pm2.5的排放，相对于电能取暖有更高的能量转化效率。利用废旧轮胎制成非标燃油、炭黑、钢丝、可燃气体是处理“黑色污染”的最佳方法，其回收加工应用会形成一个蓬勃发展的朝阳产业，成为地区循环经济发展的新的经济增长点。 </w:t>
      </w:r>
    </w:p>
    <w:p w14:paraId="4D829D6D">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outlineLvl w:val="1"/>
        <w:rPr>
          <w:rFonts w:hint="eastAsia" w:eastAsia="仿宋_GB2312"/>
          <w:color w:val="000000"/>
          <w:sz w:val="32"/>
          <w:szCs w:val="32"/>
          <w:lang w:val="en-US" w:eastAsia="zh-CN"/>
        </w:rPr>
      </w:pPr>
      <w:r>
        <w:rPr>
          <w:rFonts w:hint="eastAsia" w:ascii="Times New Roman" w:hAnsi="Times New Roman" w:eastAsia="仿宋_GB2312"/>
          <w:b/>
          <w:bCs/>
          <w:color w:val="000000"/>
          <w:kern w:val="0"/>
          <w:sz w:val="32"/>
          <w:szCs w:val="32"/>
        </w:rPr>
        <w:t>2</w:t>
      </w:r>
      <w:r>
        <w:rPr>
          <w:rFonts w:hint="eastAsia" w:ascii="Times New Roman" w:hAnsi="Times New Roman" w:eastAsia="仿宋_GB2312"/>
          <w:b/>
          <w:bCs/>
          <w:color w:val="000000"/>
          <w:kern w:val="0"/>
          <w:sz w:val="32"/>
          <w:szCs w:val="32"/>
          <w:lang w:val="en-US" w:eastAsia="zh-CN"/>
        </w:rPr>
        <w:t>.项目</w:t>
      </w:r>
      <w:r>
        <w:rPr>
          <w:rFonts w:hint="eastAsia" w:ascii="Times New Roman" w:hAnsi="Times New Roman" w:eastAsia="仿宋_GB2312"/>
          <w:b/>
          <w:bCs/>
          <w:color w:val="000000"/>
          <w:kern w:val="0"/>
          <w:sz w:val="32"/>
          <w:szCs w:val="32"/>
        </w:rPr>
        <w:t>立项</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bCs/>
          <w:color w:val="000000"/>
          <w:kern w:val="0"/>
          <w:sz w:val="32"/>
          <w:szCs w:val="32"/>
        </w:rPr>
        <w:t>资金申报依据</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val="0"/>
          <w:bCs w:val="0"/>
          <w:color w:val="000000"/>
          <w:kern w:val="0"/>
          <w:sz w:val="32"/>
          <w:szCs w:val="32"/>
          <w:lang w:val="zh-CN" w:eastAsia="zh-CN"/>
        </w:rPr>
        <w:t>攀枝花市杰杰工贸有限公司按照四川省科技厅门户网站发布的</w:t>
      </w:r>
      <w:r>
        <w:rPr>
          <w:rFonts w:hint="eastAsia" w:ascii="Times New Roman" w:hAnsi="Times New Roman" w:eastAsia="仿宋_GB2312"/>
          <w:b w:val="0"/>
          <w:bCs w:val="0"/>
          <w:color w:val="000000"/>
          <w:kern w:val="0"/>
          <w:sz w:val="32"/>
          <w:szCs w:val="32"/>
          <w:lang w:val="en-US" w:eastAsia="zh-CN"/>
        </w:rPr>
        <w:t>2022年中央引导地方科技发展专项资金</w:t>
      </w:r>
      <w:r>
        <w:rPr>
          <w:rFonts w:hint="eastAsia" w:ascii="Times New Roman" w:hAnsi="Times New Roman" w:eastAsia="仿宋_GB2312"/>
          <w:b w:val="0"/>
          <w:bCs w:val="0"/>
          <w:color w:val="000000"/>
          <w:kern w:val="0"/>
          <w:sz w:val="32"/>
          <w:szCs w:val="32"/>
          <w:lang w:val="zh-CN" w:eastAsia="zh-CN"/>
        </w:rPr>
        <w:t>申报指南，登录四川省科技管理信息系统填写申报材料并提交，经市科技局审核后推荐报送省科技厅受理、评审、立项。</w:t>
      </w:r>
    </w:p>
    <w:p w14:paraId="03269BE6">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b w:val="0"/>
          <w:bCs w:val="0"/>
          <w:color w:val="000000"/>
          <w:kern w:val="0"/>
          <w:sz w:val="32"/>
          <w:szCs w:val="32"/>
          <w:lang w:eastAsia="zh-CN"/>
        </w:rPr>
      </w:pPr>
      <w:r>
        <w:rPr>
          <w:rFonts w:hint="eastAsia" w:ascii="Times New Roman" w:hAnsi="Times New Roman" w:eastAsia="仿宋_GB2312"/>
          <w:b/>
          <w:bCs/>
          <w:color w:val="000000"/>
          <w:kern w:val="0"/>
          <w:sz w:val="32"/>
          <w:szCs w:val="32"/>
          <w:lang w:val="en-US" w:eastAsia="zh-CN"/>
        </w:rPr>
        <w:t>3.</w:t>
      </w:r>
      <w:r>
        <w:rPr>
          <w:rFonts w:hint="eastAsia" w:ascii="Times New Roman" w:hAnsi="Times New Roman" w:eastAsia="仿宋_GB2312"/>
          <w:b/>
          <w:bCs/>
          <w:color w:val="000000"/>
          <w:kern w:val="0"/>
          <w:sz w:val="32"/>
          <w:szCs w:val="32"/>
        </w:rPr>
        <w:t>项目主要内容</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val="0"/>
          <w:bCs w:val="0"/>
          <w:color w:val="000000"/>
          <w:kern w:val="0"/>
          <w:sz w:val="32"/>
          <w:szCs w:val="32"/>
          <w:lang w:eastAsia="zh-CN"/>
        </w:rPr>
        <w:t>项目提出采用低温裂解工艺技术对废轮胎进行低温裂解，本技术是对废轮胎综合回收橡胶、钢丝，以其中橡胶低温裂解所产生的可燃气体作为供能基础，裂解所产生的可燃气体进入裂解炉进行燃烧产生热能从而对裂解炉进行加热，橡胶在200~420℃低温裂解，使原分子键断裂，其中有机物质裂解后变成气态物质，由裂解气回收管中抽出，同时裂解旋转炉内不断保持微负压，以防止裂解产生的有机气体和粉状炭粉外逸进入周围的大气环境；裂解后剩余的固体物质主要为半补强炭黑和钢丝，通过出料螺旋装置转移至半补强炭黑加工与包装系统；从裂解气回收管抽出的气相产品在封闭状态下经洗涤塔冷却后，冷凝下来的可燃液体经油水分离后送进罐区储存。未冷凝的小分子物质（C 5以下的烃类气相）依旧保持气态形式，回收做为裂解炉的气体燃料，过剩的可燃气也可作为其它生产制程所需的热源使用。</w:t>
      </w:r>
    </w:p>
    <w:p w14:paraId="21A94031">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lang w:val="en-US" w:eastAsia="zh-CN"/>
        </w:rPr>
        <w:t>4.</w:t>
      </w:r>
      <w:r>
        <w:rPr>
          <w:rFonts w:hint="eastAsia" w:ascii="Times New Roman" w:hAnsi="Times New Roman" w:eastAsia="仿宋_GB2312"/>
          <w:b/>
          <w:bCs/>
          <w:color w:val="000000"/>
          <w:kern w:val="0"/>
          <w:sz w:val="32"/>
          <w:szCs w:val="32"/>
        </w:rPr>
        <w:t>主管部门职能</w:t>
      </w:r>
      <w:r>
        <w:rPr>
          <w:rFonts w:hint="eastAsia" w:ascii="Times New Roman" w:hAnsi="Times New Roman" w:eastAsia="仿宋_GB2312"/>
          <w:b/>
          <w:bCs/>
          <w:color w:val="000000"/>
          <w:kern w:val="0"/>
          <w:sz w:val="32"/>
          <w:szCs w:val="32"/>
          <w:lang w:eastAsia="zh-CN"/>
        </w:rPr>
        <w:t>。</w:t>
      </w:r>
      <w:r>
        <w:rPr>
          <w:rFonts w:hint="eastAsia" w:eastAsia="仿宋_GB2312"/>
          <w:color w:val="000000"/>
          <w:sz w:val="32"/>
          <w:szCs w:val="32"/>
          <w:lang w:val="en-US" w:eastAsia="zh-CN"/>
        </w:rPr>
        <w:t>攀枝花市杰杰工贸有限公司作为项目承担单位</w:t>
      </w:r>
      <w:r>
        <w:rPr>
          <w:rFonts w:hint="eastAsia" w:ascii="Times New Roman" w:hAnsi="Times New Roman" w:eastAsia="仿宋_GB2312"/>
          <w:color w:val="000000"/>
          <w:kern w:val="0"/>
          <w:sz w:val="32"/>
          <w:szCs w:val="32"/>
        </w:rPr>
        <w:t>，在项目实施过程中，</w:t>
      </w:r>
      <w:r>
        <w:rPr>
          <w:rFonts w:hint="default" w:ascii="Times New Roman" w:hAnsi="Times New Roman" w:eastAsia="仿宋_GB2312" w:cs="Times New Roman"/>
          <w:b w:val="0"/>
          <w:bCs w:val="0"/>
          <w:color w:val="000000"/>
          <w:kern w:val="0"/>
          <w:sz w:val="32"/>
          <w:szCs w:val="32"/>
          <w:lang w:val="en-US" w:eastAsia="zh-CN"/>
        </w:rPr>
        <w:t>负责该项目进行方案制定、项目立项申报、建设实施、过程监督、项目验收等工作的具体实施。</w:t>
      </w:r>
    </w:p>
    <w:p w14:paraId="0C65DC31">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ascii="仿宋_GB2312" w:hAnsi="仿宋_GB2312" w:eastAsia="仿宋_GB2312" w:cs="仿宋_GB2312"/>
          <w:color w:val="000000"/>
          <w:kern w:val="0"/>
          <w:sz w:val="32"/>
          <w:szCs w:val="32"/>
          <w:shd w:val="clear" w:color="auto" w:fill="FFFFFF"/>
          <w:lang w:val="zh-CN"/>
        </w:rPr>
      </w:pPr>
      <w:r>
        <w:rPr>
          <w:rFonts w:hint="eastAsia" w:ascii="楷体_GB2312" w:hAnsi="宋体" w:eastAsia="楷体_GB2312"/>
          <w:b/>
          <w:color w:val="000000"/>
          <w:sz w:val="32"/>
          <w:szCs w:val="32"/>
          <w:lang w:val="zh-CN"/>
        </w:rPr>
        <w:t>（二）</w:t>
      </w:r>
      <w:r>
        <w:rPr>
          <w:rFonts w:ascii="楷体_GB2312" w:hAnsi="宋体" w:eastAsia="楷体_GB2312"/>
          <w:b/>
          <w:color w:val="000000"/>
          <w:sz w:val="32"/>
          <w:szCs w:val="32"/>
        </w:rPr>
        <w:t>实施目的及支持方向</w:t>
      </w:r>
      <w:r>
        <w:rPr>
          <w:rFonts w:hint="eastAsia" w:ascii="楷体_GB2312" w:hAnsi="宋体" w:eastAsia="楷体_GB2312"/>
          <w:b/>
          <w:color w:val="000000"/>
          <w:sz w:val="32"/>
          <w:szCs w:val="32"/>
        </w:rPr>
        <w:t>。</w:t>
      </w:r>
    </w:p>
    <w:p w14:paraId="2A62BB94">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b/>
          <w:bCs/>
          <w:color w:val="000000"/>
          <w:kern w:val="0"/>
          <w:sz w:val="32"/>
          <w:szCs w:val="32"/>
          <w:lang w:eastAsia="zh-CN"/>
        </w:rPr>
      </w:pPr>
      <w:r>
        <w:rPr>
          <w:rFonts w:hint="eastAsia" w:ascii="Times New Roman" w:hAnsi="Times New Roman" w:eastAsia="仿宋_GB2312"/>
          <w:b/>
          <w:bCs/>
          <w:color w:val="000000"/>
          <w:kern w:val="0"/>
          <w:sz w:val="32"/>
          <w:szCs w:val="32"/>
        </w:rPr>
        <w:t>1</w:t>
      </w:r>
      <w:r>
        <w:rPr>
          <w:rFonts w:hint="eastAsia" w:ascii="Times New Roman" w:hAnsi="Times New Roman" w:eastAsia="仿宋_GB2312"/>
          <w:b/>
          <w:bCs/>
          <w:color w:val="000000"/>
          <w:kern w:val="0"/>
          <w:sz w:val="32"/>
          <w:szCs w:val="32"/>
          <w:lang w:val="en-US" w:eastAsia="zh-CN"/>
        </w:rPr>
        <w:t>.</w:t>
      </w:r>
      <w:r>
        <w:rPr>
          <w:rFonts w:hint="eastAsia" w:ascii="Times New Roman" w:hAnsi="Times New Roman" w:eastAsia="仿宋_GB2312"/>
          <w:b/>
          <w:bCs/>
          <w:color w:val="000000"/>
          <w:kern w:val="0"/>
          <w:sz w:val="32"/>
          <w:szCs w:val="32"/>
        </w:rPr>
        <w:t>项目资金管理办法制定情况</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val="0"/>
          <w:bCs w:val="0"/>
          <w:color w:val="000000"/>
          <w:kern w:val="0"/>
          <w:sz w:val="32"/>
          <w:szCs w:val="32"/>
          <w:lang w:val="zh-CN" w:eastAsia="zh-CN"/>
        </w:rPr>
        <w:t>资金使用严格按照《财政部科技部关于印发&lt;中央引导地方科技发展资金管理办法&gt;的通知》(财教〔2021〕204号)、《四川省财政厅四川省科学技术厅关于印发&lt;四川省中央引导地方科技发展专项资金管理实施细则(试行)&gt;的通知》(川财教〔2020〕97号)规定执行。</w:t>
      </w:r>
    </w:p>
    <w:p w14:paraId="29007F21">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2</w:t>
      </w:r>
      <w:r>
        <w:rPr>
          <w:rFonts w:hint="eastAsia" w:ascii="Times New Roman" w:hAnsi="Times New Roman" w:eastAsia="仿宋_GB2312"/>
          <w:b/>
          <w:bCs/>
          <w:color w:val="000000"/>
          <w:kern w:val="0"/>
          <w:sz w:val="32"/>
          <w:szCs w:val="32"/>
          <w:lang w:val="en-US" w:eastAsia="zh-CN"/>
        </w:rPr>
        <w:t>.</w:t>
      </w:r>
      <w:r>
        <w:rPr>
          <w:rFonts w:hint="eastAsia" w:ascii="Times New Roman" w:hAnsi="Times New Roman" w:eastAsia="仿宋_GB2312"/>
          <w:b/>
          <w:bCs/>
          <w:color w:val="000000"/>
          <w:kern w:val="0"/>
          <w:sz w:val="32"/>
          <w:szCs w:val="32"/>
        </w:rPr>
        <w:t>项目实施目标与</w:t>
      </w:r>
      <w:r>
        <w:rPr>
          <w:rFonts w:hint="eastAsia" w:ascii="Times New Roman" w:hAnsi="Times New Roman" w:eastAsia="仿宋_GB2312"/>
          <w:b/>
          <w:bCs/>
          <w:color w:val="000000"/>
          <w:kern w:val="0"/>
          <w:sz w:val="32"/>
          <w:szCs w:val="32"/>
          <w:lang w:val="en-US" w:eastAsia="zh-CN"/>
        </w:rPr>
        <w:t>主要工作</w:t>
      </w:r>
      <w:r>
        <w:rPr>
          <w:rFonts w:hint="eastAsia" w:ascii="Times New Roman" w:hAnsi="Times New Roman" w:eastAsia="仿宋_GB2312"/>
          <w:b/>
          <w:bCs/>
          <w:color w:val="000000"/>
          <w:kern w:val="0"/>
          <w:sz w:val="32"/>
          <w:szCs w:val="32"/>
        </w:rPr>
        <w:t>任务</w:t>
      </w:r>
      <w:r>
        <w:rPr>
          <w:rFonts w:hint="eastAsia" w:ascii="Times New Roman" w:hAnsi="Times New Roman" w:eastAsia="仿宋_GB2312"/>
          <w:b/>
          <w:bCs/>
          <w:color w:val="000000"/>
          <w:kern w:val="0"/>
          <w:sz w:val="32"/>
          <w:szCs w:val="32"/>
          <w:lang w:eastAsia="zh-CN"/>
        </w:rPr>
        <w:t>。</w:t>
      </w:r>
      <w:r>
        <w:rPr>
          <w:rFonts w:hint="eastAsia" w:ascii="Times New Roman" w:hAnsi="Times New Roman" w:eastAsia="仿宋_GB2312"/>
          <w:b w:val="0"/>
          <w:bCs w:val="0"/>
          <w:color w:val="000000"/>
          <w:kern w:val="0"/>
          <w:sz w:val="32"/>
          <w:szCs w:val="32"/>
          <w:lang w:eastAsia="zh-CN"/>
        </w:rPr>
        <w:t xml:space="preserve">项目每年利用回收废轮胎20000吨，约218万个废轮胎（不回收含有纤维的轮胎），年产非标燃油9000吨副产品有半补强炭黑7000吨，废钢丝2600吨，可燃气体1400吨。处理1吨废轮胎可节约0.4吨标准煤，减少30吨污水排放，减少1.8吨固体废弃物排放，减少2.3吨大气污染物排放, 实现了资源再生、循环经济、综合利用高值化，具有良好的经济效益和社会效益。 </w:t>
      </w:r>
    </w:p>
    <w:p w14:paraId="3DB9F177">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Times New Roman" w:hAnsi="Times New Roman" w:eastAsia="仿宋_GB2312" w:cs="Times New Roman"/>
          <w:b/>
          <w:bCs/>
          <w:color w:val="000000"/>
          <w:kern w:val="0"/>
          <w:sz w:val="32"/>
          <w:szCs w:val="32"/>
          <w:lang w:val="en-US" w:eastAsia="zh-CN"/>
        </w:rPr>
        <w:t>3.项目</w:t>
      </w:r>
      <w:r>
        <w:rPr>
          <w:rFonts w:hint="eastAsia" w:ascii="Times New Roman" w:hAnsi="Times New Roman" w:eastAsia="仿宋_GB2312" w:cs="Times New Roman"/>
          <w:b/>
          <w:bCs/>
          <w:color w:val="000000"/>
          <w:kern w:val="0"/>
          <w:sz w:val="32"/>
          <w:szCs w:val="32"/>
        </w:rPr>
        <w:t>支持方向</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val="0"/>
          <w:bCs w:val="0"/>
          <w:color w:val="000000"/>
          <w:kern w:val="0"/>
          <w:sz w:val="32"/>
          <w:szCs w:val="32"/>
          <w:lang w:val="zh-CN" w:eastAsia="zh-CN"/>
        </w:rPr>
        <w:t>项目资金</w:t>
      </w:r>
      <w:r>
        <w:rPr>
          <w:rFonts w:hint="eastAsia" w:ascii="Times New Roman" w:hAnsi="Times New Roman" w:eastAsia="仿宋_GB2312" w:cs="Times New Roman"/>
          <w:b w:val="0"/>
          <w:bCs w:val="0"/>
          <w:color w:val="000000"/>
          <w:kern w:val="0"/>
          <w:sz w:val="32"/>
          <w:szCs w:val="32"/>
          <w:lang w:val="en-US" w:eastAsia="zh-CN"/>
        </w:rPr>
        <w:t>为</w:t>
      </w:r>
      <w:r>
        <w:rPr>
          <w:rFonts w:hint="eastAsia" w:ascii="Times New Roman" w:hAnsi="Times New Roman" w:eastAsia="仿宋_GB2312" w:cs="Times New Roman"/>
          <w:b w:val="0"/>
          <w:bCs w:val="0"/>
          <w:color w:val="000000"/>
          <w:kern w:val="0"/>
          <w:sz w:val="32"/>
          <w:szCs w:val="32"/>
          <w:lang w:val="zh-CN" w:eastAsia="zh-CN"/>
        </w:rPr>
        <w:t>四川省中央引导地方科技发展专项资金，主要</w:t>
      </w:r>
      <w:r>
        <w:rPr>
          <w:rFonts w:hint="eastAsia" w:ascii="Times New Roman" w:hAnsi="Times New Roman" w:eastAsia="仿宋_GB2312" w:cs="Times New Roman"/>
          <w:b w:val="0"/>
          <w:bCs w:val="0"/>
          <w:color w:val="000000"/>
          <w:kern w:val="0"/>
          <w:sz w:val="32"/>
          <w:szCs w:val="32"/>
          <w:lang w:val="en-US" w:eastAsia="zh-CN"/>
        </w:rPr>
        <w:t>用于</w:t>
      </w:r>
      <w:r>
        <w:rPr>
          <w:rFonts w:hint="eastAsia" w:ascii="Times New Roman" w:hAnsi="Times New Roman" w:eastAsia="仿宋_GB2312" w:cs="Times New Roman"/>
          <w:b w:val="0"/>
          <w:bCs w:val="0"/>
          <w:color w:val="000000"/>
          <w:kern w:val="0"/>
          <w:sz w:val="32"/>
          <w:szCs w:val="32"/>
          <w:lang w:val="zh-CN" w:eastAsia="zh-CN"/>
        </w:rPr>
        <w:t>支持企业开展科技成果转化。</w:t>
      </w:r>
    </w:p>
    <w:p w14:paraId="262A2DC6">
      <w:pPr>
        <w:keepNext w:val="0"/>
        <w:keepLines w:val="0"/>
        <w:pageBreakBefore w:val="0"/>
        <w:widowControl/>
        <w:kinsoku/>
        <w:wordWrap/>
        <w:overflowPunct/>
        <w:topLinePunct w:val="0"/>
        <w:autoSpaceDE/>
        <w:autoSpaceDN/>
        <w:bidi w:val="0"/>
        <w:adjustRightInd/>
        <w:snapToGrid/>
        <w:spacing w:line="353" w:lineRule="auto"/>
        <w:ind w:left="0" w:leftChars="0" w:firstLine="643" w:firstLineChars="200"/>
        <w:contextualSpacing/>
        <w:jc w:val="both"/>
        <w:textAlignment w:val="auto"/>
        <w:rPr>
          <w:rFonts w:hint="eastAsia" w:ascii="Times New Roman" w:hAnsi="Times New Roman" w:eastAsia="仿宋_GB2312" w:cs="Times New Roman"/>
          <w:b w:val="0"/>
          <w:bCs w:val="0"/>
          <w:color w:val="auto"/>
          <w:kern w:val="0"/>
          <w:sz w:val="32"/>
          <w:szCs w:val="32"/>
          <w:lang w:val="zh-CN" w:eastAsia="zh-CN" w:bidi="ar-SA"/>
        </w:rPr>
      </w:pPr>
      <w:r>
        <w:rPr>
          <w:rFonts w:hint="eastAsia" w:ascii="楷体_GB2312" w:hAnsi="宋体" w:eastAsia="楷体_GB2312"/>
          <w:b/>
          <w:color w:val="000000"/>
          <w:sz w:val="32"/>
          <w:szCs w:val="32"/>
          <w:lang w:val="zh-CN"/>
        </w:rPr>
        <w:t>（三）</w:t>
      </w:r>
      <w:r>
        <w:rPr>
          <w:rFonts w:ascii="楷体_GB2312" w:hAnsi="宋体" w:eastAsia="楷体_GB2312"/>
          <w:b/>
          <w:color w:val="000000"/>
          <w:sz w:val="32"/>
          <w:szCs w:val="32"/>
        </w:rPr>
        <w:t>预算安排及分配管理</w:t>
      </w:r>
      <w:r>
        <w:rPr>
          <w:rFonts w:hint="eastAsia" w:ascii="楷体_GB2312" w:hAnsi="宋体" w:eastAsia="楷体_GB2312"/>
          <w:b/>
          <w:color w:val="000000"/>
          <w:sz w:val="32"/>
          <w:szCs w:val="32"/>
          <w:lang w:val="zh-CN"/>
        </w:rPr>
        <w:t>。</w:t>
      </w:r>
      <w:r>
        <w:rPr>
          <w:rFonts w:hint="eastAsia" w:ascii="Times New Roman" w:hAnsi="Times New Roman" w:eastAsia="仿宋_GB2312" w:cs="Times New Roman"/>
          <w:b w:val="0"/>
          <w:bCs w:val="0"/>
          <w:color w:val="000000"/>
          <w:kern w:val="0"/>
          <w:sz w:val="32"/>
          <w:szCs w:val="32"/>
          <w:lang w:val="zh-CN" w:eastAsia="zh-CN" w:bidi="ar-SA"/>
        </w:rPr>
        <w:t>本项目拟投入资金总额</w:t>
      </w:r>
      <w:r>
        <w:rPr>
          <w:rFonts w:hint="eastAsia" w:ascii="Times New Roman" w:hAnsi="Times New Roman" w:eastAsia="仿宋_GB2312" w:cs="Times New Roman"/>
          <w:b w:val="0"/>
          <w:bCs w:val="0"/>
          <w:color w:val="000000"/>
          <w:kern w:val="0"/>
          <w:sz w:val="32"/>
          <w:szCs w:val="32"/>
          <w:lang w:val="en-US" w:eastAsia="zh-CN" w:bidi="ar-SA"/>
        </w:rPr>
        <w:t>300</w:t>
      </w:r>
      <w:r>
        <w:rPr>
          <w:rFonts w:hint="eastAsia" w:ascii="Times New Roman" w:hAnsi="Times New Roman" w:eastAsia="仿宋_GB2312" w:cs="Times New Roman"/>
          <w:b w:val="0"/>
          <w:bCs w:val="0"/>
          <w:color w:val="000000"/>
          <w:kern w:val="0"/>
          <w:sz w:val="32"/>
          <w:szCs w:val="32"/>
          <w:lang w:val="zh-CN" w:eastAsia="zh-CN" w:bidi="ar-SA"/>
        </w:rPr>
        <w:t>万元，其中专项资金50万元，自筹资金</w:t>
      </w:r>
      <w:r>
        <w:rPr>
          <w:rFonts w:hint="eastAsia" w:ascii="Times New Roman" w:hAnsi="Times New Roman" w:eastAsia="仿宋_GB2312" w:cs="Times New Roman"/>
          <w:b w:val="0"/>
          <w:bCs w:val="0"/>
          <w:color w:val="000000"/>
          <w:kern w:val="0"/>
          <w:sz w:val="32"/>
          <w:szCs w:val="32"/>
          <w:lang w:val="en-US" w:eastAsia="zh-CN" w:bidi="ar-SA"/>
        </w:rPr>
        <w:t>250</w:t>
      </w:r>
      <w:r>
        <w:rPr>
          <w:rFonts w:hint="eastAsia" w:ascii="Times New Roman" w:hAnsi="Times New Roman" w:eastAsia="仿宋_GB2312" w:cs="Times New Roman"/>
          <w:b w:val="0"/>
          <w:bCs w:val="0"/>
          <w:color w:val="000000"/>
          <w:kern w:val="0"/>
          <w:sz w:val="32"/>
          <w:szCs w:val="32"/>
          <w:lang w:val="zh-CN" w:eastAsia="zh-CN" w:bidi="ar-SA"/>
        </w:rPr>
        <w:t>万元。</w:t>
      </w:r>
      <w:r>
        <w:rPr>
          <w:rFonts w:hint="eastAsia" w:ascii="Times New Roman" w:hAnsi="Times New Roman" w:eastAsia="仿宋_GB2312" w:cs="Times New Roman"/>
          <w:b w:val="0"/>
          <w:bCs w:val="0"/>
          <w:color w:val="auto"/>
          <w:kern w:val="0"/>
          <w:sz w:val="32"/>
          <w:szCs w:val="32"/>
          <w:lang w:val="zh-CN" w:eastAsia="zh-CN" w:bidi="ar-SA"/>
        </w:rPr>
        <w:t>资金全部用于项目《废轮胎制取非标燃油（半补强炭黑）关键技术集成及产业化示范》中的人员工资、直接投入费用（机器设备等）、设计费、装备调试与试验费用、其他费用的支出。其中人员工资37.38万元，直接投入费用（机器设备等）271.86万元，设计费3.08万元，技术咨询费0.57万元，设备调试与试验费0.28万元，其他费用（餐旅费、绩效等）2.83万元。</w:t>
      </w:r>
    </w:p>
    <w:p w14:paraId="622A26C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color w:val="000000"/>
          <w:kern w:val="0"/>
          <w:sz w:val="32"/>
          <w:szCs w:val="32"/>
          <w:lang w:val="zh-CN" w:eastAsia="zh-CN" w:bidi="ar-SA"/>
        </w:rPr>
      </w:pPr>
      <w:r>
        <w:rPr>
          <w:rFonts w:hint="eastAsia" w:ascii="楷体_GB2312" w:hAnsi="宋体" w:eastAsia="楷体_GB2312" w:cs="Times New Roman"/>
          <w:b/>
          <w:color w:val="000000"/>
          <w:kern w:val="2"/>
          <w:sz w:val="32"/>
          <w:szCs w:val="32"/>
          <w:lang w:val="zh-CN" w:eastAsia="zh-CN" w:bidi="ar-SA"/>
        </w:rPr>
        <w:t>（四）项目绩效目标设置。</w:t>
      </w:r>
      <w:r>
        <w:rPr>
          <w:rFonts w:hint="eastAsia" w:ascii="Times New Roman" w:hAnsi="Times New Roman" w:eastAsia="仿宋_GB2312" w:cs="Times New Roman"/>
          <w:b w:val="0"/>
          <w:bCs w:val="0"/>
          <w:color w:val="000000"/>
          <w:kern w:val="0"/>
          <w:sz w:val="32"/>
          <w:szCs w:val="32"/>
          <w:lang w:val="zh-CN" w:eastAsia="zh-CN" w:bidi="ar-SA"/>
        </w:rPr>
        <w:t>转化科技成果数量12个（发明型专利6个，软著6个）；产品质量满足非标燃油热值10500J/kg、半补强炭黑拉伸强度6.0MPa、废钢丝产量1300t/a；每年利用回收废轮胎20000吨，约218万个废轮胎（不回收含有纤维的轮胎），年产非标燃油9000吨副产品有半补强炭黑7000吨，废钢丝2600吨，可燃气体1400吨。处理1吨废轮胎可节约0.4吨标准煤，减少30吨污水排放，减少1.8吨固体废弃物排放，减少2.3吨大气污染物排放；建成两条示范生产线，新增就业岗位30个；客户产品使用满意度达95%以上。</w:t>
      </w:r>
    </w:p>
    <w:p w14:paraId="01ABD2B9">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sz w:val="32"/>
          <w:szCs w:val="32"/>
        </w:rPr>
      </w:pPr>
      <w:r>
        <w:rPr>
          <w:rFonts w:hint="eastAsia" w:ascii="黑体" w:hAnsi="宋体" w:eastAsia="黑体"/>
          <w:color w:val="000000"/>
          <w:sz w:val="32"/>
          <w:szCs w:val="32"/>
        </w:rPr>
        <w:t>二、评价实施</w:t>
      </w:r>
    </w:p>
    <w:p w14:paraId="27A3D0C9">
      <w:pPr>
        <w:pStyle w:val="13"/>
        <w:keepNext w:val="0"/>
        <w:keepLines w:val="0"/>
        <w:pageBreakBefore w:val="0"/>
        <w:kinsoku/>
        <w:wordWrap/>
        <w:overflowPunct/>
        <w:topLinePunct w:val="0"/>
        <w:autoSpaceDE/>
        <w:autoSpaceDN/>
        <w:bidi w:val="0"/>
        <w:adjustRightInd/>
        <w:snapToGrid/>
        <w:spacing w:before="0"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（一）评价目的。</w:t>
      </w:r>
      <w:r>
        <w:rPr>
          <w:rFonts w:hint="eastAsia" w:ascii="Times New Roman" w:hAnsi="Times New Roman" w:eastAsia="仿宋_GB2312"/>
          <w:color w:val="000000"/>
          <w:kern w:val="0"/>
          <w:sz w:val="32"/>
          <w:szCs w:val="32"/>
        </w:rPr>
        <w:t>通过项目绩效自评，全面了解和掌握项目的实际执行情况和实施效果</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客观评价项目资金的支出使用效率和效益</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发现项目执行过程中存在的问题和不足，提出改进措施和建议</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为项目的后续管理和决策提供科学依据和参考。</w:t>
      </w:r>
    </w:p>
    <w:p w14:paraId="45AAFACC">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（二）预设问题及评价重点。</w:t>
      </w:r>
      <w:r>
        <w:rPr>
          <w:rFonts w:hint="eastAsia" w:ascii="Times New Roman" w:hAnsi="Times New Roman" w:eastAsia="仿宋_GB2312"/>
          <w:color w:val="000000"/>
          <w:kern w:val="0"/>
          <w:sz w:val="32"/>
          <w:szCs w:val="32"/>
        </w:rPr>
        <w:t>根据绩效评价指标体系，对资金支出使用全过程及其实施效果进行综合评价和判断。评价重点包括：项目资金的分配和使用是否符合预算计划和规定</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项目是否按照预定的时间节点和目标任务完成</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项目实施过程中是否遵循了相关的管理制度和规定</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项目是否取得了预期的经济效益和社会效益。</w:t>
      </w:r>
    </w:p>
    <w:p w14:paraId="77DDF174">
      <w:pPr>
        <w:keepNext w:val="0"/>
        <w:keepLines w:val="0"/>
        <w:pageBreakBefore w:val="0"/>
        <w:widowControl w:val="0"/>
        <w:kinsoku/>
        <w:wordWrap/>
        <w:overflowPunct/>
        <w:topLinePunct w:val="0"/>
        <w:autoSpaceDE/>
        <w:autoSpaceDN/>
        <w:bidi w:val="0"/>
        <w:adjustRightInd/>
        <w:snapToGrid/>
        <w:spacing w:line="353" w:lineRule="auto"/>
        <w:ind w:firstLine="640"/>
        <w:textAlignment w:val="auto"/>
        <w:outlineLvl w:val="9"/>
        <w:rPr>
          <w:rFonts w:hint="eastAsia" w:ascii="Times New Roman" w:hAnsi="Times New Roman" w:eastAsia="仿宋_GB2312"/>
          <w:color w:val="000000"/>
          <w:kern w:val="0"/>
          <w:sz w:val="32"/>
          <w:szCs w:val="32"/>
        </w:rPr>
      </w:pPr>
      <w:r>
        <w:rPr>
          <w:rFonts w:hint="eastAsia" w:ascii="楷体_GB2312" w:hAnsi="宋体" w:eastAsia="楷体_GB2312"/>
          <w:b/>
          <w:color w:val="000000"/>
          <w:sz w:val="32"/>
          <w:szCs w:val="32"/>
          <w:lang w:val="zh-CN"/>
        </w:rPr>
        <w:t>（三）评价选点。</w:t>
      </w:r>
      <w:r>
        <w:rPr>
          <w:rFonts w:hint="eastAsia" w:ascii="仿宋" w:hAnsi="仿宋" w:eastAsia="仿宋"/>
          <w:color w:val="auto"/>
          <w:sz w:val="32"/>
          <w:szCs w:val="32"/>
          <w:lang w:val="zh-CN"/>
        </w:rPr>
        <w:t>根据项目</w:t>
      </w:r>
      <w:r>
        <w:rPr>
          <w:rFonts w:hint="eastAsia" w:ascii="仿宋" w:hAnsi="仿宋" w:eastAsia="仿宋"/>
          <w:color w:val="auto"/>
          <w:sz w:val="32"/>
          <w:szCs w:val="32"/>
          <w:lang w:val="en-US" w:eastAsia="zh-CN"/>
        </w:rPr>
        <w:t>实施取得的效益</w:t>
      </w:r>
      <w:r>
        <w:rPr>
          <w:rFonts w:hint="eastAsia" w:ascii="仿宋" w:hAnsi="仿宋" w:eastAsia="仿宋"/>
          <w:color w:val="auto"/>
          <w:sz w:val="32"/>
          <w:szCs w:val="32"/>
          <w:lang w:val="zh-CN"/>
        </w:rPr>
        <w:t>进行评价。</w:t>
      </w:r>
    </w:p>
    <w:p w14:paraId="08B053F3">
      <w:pPr>
        <w:keepNext w:val="0"/>
        <w:keepLines w:val="0"/>
        <w:pageBreakBefore w:val="0"/>
        <w:kinsoku/>
        <w:wordWrap/>
        <w:overflowPunct/>
        <w:topLinePunct w:val="0"/>
        <w:autoSpaceDE/>
        <w:autoSpaceDN/>
        <w:bidi w:val="0"/>
        <w:adjustRightInd/>
        <w:snapToGrid/>
        <w:spacing w:line="353" w:lineRule="auto"/>
        <w:ind w:left="0" w:leftChars="0" w:firstLine="640"/>
        <w:jc w:val="both"/>
        <w:textAlignment w:val="auto"/>
        <w:rPr>
          <w:rFonts w:hint="eastAsia" w:ascii="Times New Roman" w:hAnsi="Times New Roman" w:eastAsia="仿宋_GB2312"/>
          <w:color w:val="000000"/>
          <w:sz w:val="32"/>
          <w:szCs w:val="32"/>
        </w:rPr>
      </w:pPr>
      <w:r>
        <w:rPr>
          <w:rFonts w:hint="eastAsia" w:ascii="楷体_GB2312" w:hAnsi="宋体" w:eastAsia="楷体_GB2312"/>
          <w:b/>
          <w:color w:val="000000"/>
          <w:sz w:val="32"/>
          <w:szCs w:val="32"/>
          <w:lang w:val="zh-CN"/>
        </w:rPr>
        <w:t>（四）评价方法。</w:t>
      </w:r>
      <w:r>
        <w:rPr>
          <w:rFonts w:hint="eastAsia" w:ascii="Times New Roman" w:hAnsi="Times New Roman" w:eastAsia="仿宋_GB2312"/>
          <w:color w:val="000000"/>
          <w:kern w:val="0"/>
          <w:sz w:val="32"/>
          <w:szCs w:val="32"/>
        </w:rPr>
        <w:t>为确保评估的准确性和全面性，</w:t>
      </w:r>
      <w:r>
        <w:rPr>
          <w:rFonts w:ascii="Times New Roman" w:hAnsi="Times New Roman" w:eastAsia="仿宋_GB2312"/>
          <w:color w:val="000000"/>
          <w:sz w:val="32"/>
          <w:szCs w:val="32"/>
        </w:rPr>
        <w:t>根据项目情况和评价重点，</w:t>
      </w:r>
      <w:r>
        <w:rPr>
          <w:rFonts w:hint="eastAsia" w:ascii="Times New Roman" w:hAnsi="Times New Roman" w:eastAsia="仿宋_GB2312"/>
          <w:color w:val="000000"/>
          <w:kern w:val="0"/>
          <w:sz w:val="32"/>
          <w:szCs w:val="32"/>
        </w:rPr>
        <w:t>采用单位自评法，组织项目参与单位和人员进行自我评估，了解项目执行过程中的主观感受和体会，收集相关材料和开展具体评价。</w:t>
      </w:r>
    </w:p>
    <w:p w14:paraId="2F3EF437">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Times New Roman" w:hAnsi="Times New Roman" w:eastAsia="仿宋_GB2312"/>
          <w:color w:val="000000"/>
          <w:kern w:val="0"/>
          <w:sz w:val="32"/>
          <w:szCs w:val="32"/>
          <w:lang w:eastAsia="zh-CN"/>
        </w:rPr>
      </w:pPr>
      <w:r>
        <w:rPr>
          <w:rFonts w:hint="eastAsia" w:ascii="楷体_GB2312" w:hAnsi="宋体" w:eastAsia="楷体_GB2312"/>
          <w:b/>
          <w:color w:val="000000"/>
          <w:sz w:val="32"/>
          <w:szCs w:val="32"/>
          <w:lang w:val="zh-CN"/>
        </w:rPr>
        <w:t>（五）评价组织。</w:t>
      </w:r>
      <w:r>
        <w:rPr>
          <w:rFonts w:hint="eastAsia" w:ascii="Times New Roman" w:hAnsi="Times New Roman" w:eastAsia="仿宋_GB2312"/>
          <w:color w:val="000000"/>
          <w:kern w:val="0"/>
          <w:sz w:val="32"/>
          <w:szCs w:val="32"/>
        </w:rPr>
        <w:t>本次绩效自评工作由</w:t>
      </w:r>
      <w:r>
        <w:rPr>
          <w:rFonts w:ascii="Times New Roman" w:hAnsi="Times New Roman" w:eastAsia="仿宋_GB2312"/>
          <w:color w:val="000000"/>
          <w:kern w:val="0"/>
          <w:sz w:val="32"/>
          <w:szCs w:val="32"/>
        </w:rPr>
        <w:t>项目实施单位</w:t>
      </w:r>
      <w:r>
        <w:rPr>
          <w:rFonts w:hint="eastAsia" w:ascii="Times New Roman" w:hAnsi="Times New Roman" w:eastAsia="仿宋_GB2312"/>
          <w:color w:val="000000"/>
          <w:kern w:val="0"/>
          <w:sz w:val="32"/>
          <w:szCs w:val="32"/>
        </w:rPr>
        <w:t>自行组织评价</w:t>
      </w:r>
      <w:r>
        <w:rPr>
          <w:rFonts w:hint="eastAsia" w:ascii="Times New Roman" w:hAnsi="Times New Roman" w:eastAsia="仿宋_GB2312"/>
          <w:color w:val="000000"/>
          <w:kern w:val="0"/>
          <w:sz w:val="32"/>
          <w:szCs w:val="32"/>
          <w:lang w:eastAsia="zh-CN"/>
        </w:rPr>
        <w:t>。</w:t>
      </w:r>
    </w:p>
    <w:p w14:paraId="06C790F8">
      <w:pPr>
        <w:keepNext w:val="0"/>
        <w:keepLines w:val="0"/>
        <w:pageBreakBefore w:val="0"/>
        <w:kinsoku/>
        <w:wordWrap/>
        <w:overflowPunct/>
        <w:topLinePunct w:val="0"/>
        <w:autoSpaceDE/>
        <w:autoSpaceDN/>
        <w:bidi w:val="0"/>
        <w:adjustRightInd/>
        <w:snapToGrid/>
        <w:spacing w:line="353" w:lineRule="auto"/>
        <w:ind w:left="0" w:leftChars="0" w:firstLine="640" w:firstLineChars="200"/>
        <w:jc w:val="both"/>
        <w:textAlignment w:val="auto"/>
        <w:outlineLvl w:val="0"/>
        <w:rPr>
          <w:rFonts w:ascii="仿宋_GB2312" w:hAnsi="宋体" w:eastAsia="仿宋_GB2312"/>
          <w:color w:val="000000"/>
          <w:sz w:val="32"/>
          <w:szCs w:val="32"/>
          <w:lang w:val="zh-CN"/>
        </w:rPr>
      </w:pPr>
      <w:r>
        <w:rPr>
          <w:rFonts w:hint="eastAsia" w:ascii="黑体" w:hAnsi="宋体" w:eastAsia="黑体"/>
          <w:color w:val="000000"/>
          <w:sz w:val="32"/>
          <w:szCs w:val="32"/>
        </w:rPr>
        <w:t>三、绩效分析</w:t>
      </w:r>
      <w:r>
        <w:rPr>
          <w:rFonts w:hint="eastAsia" w:ascii="仿宋_GB2312" w:hAnsi="宋体" w:eastAsia="仿宋_GB2312"/>
          <w:color w:val="000000"/>
          <w:sz w:val="32"/>
          <w:szCs w:val="32"/>
          <w:lang w:val="zh-CN"/>
        </w:rPr>
        <w:tab/>
      </w:r>
    </w:p>
    <w:p w14:paraId="22A6D4CA">
      <w:pPr>
        <w:keepNext w:val="0"/>
        <w:keepLines w:val="0"/>
        <w:pageBreakBefore w:val="0"/>
        <w:kinsoku/>
        <w:wordWrap/>
        <w:overflowPunct/>
        <w:topLinePunct w:val="0"/>
        <w:autoSpaceDE/>
        <w:autoSpaceDN/>
        <w:bidi w:val="0"/>
        <w:adjustRightInd/>
        <w:snapToGrid/>
        <w:spacing w:line="353" w:lineRule="auto"/>
        <w:ind w:left="0" w:leftChars="0" w:firstLine="640"/>
        <w:jc w:val="both"/>
        <w:textAlignment w:val="auto"/>
        <w:outlineLvl w:val="1"/>
        <w:rPr>
          <w:rFonts w:hint="eastAsia" w:ascii="楷体_GB2312" w:hAnsi="宋体" w:eastAsia="楷体_GB2312"/>
          <w:b/>
          <w:color w:val="000000"/>
          <w:sz w:val="32"/>
          <w:szCs w:val="32"/>
        </w:rPr>
      </w:pPr>
      <w:r>
        <w:rPr>
          <w:rFonts w:hint="eastAsia" w:ascii="楷体_GB2312" w:hAnsi="宋体" w:eastAsia="楷体_GB2312" w:cs="Times New Roman"/>
          <w:b/>
          <w:color w:val="auto"/>
          <w:sz w:val="32"/>
          <w:szCs w:val="32"/>
          <w:highlight w:val="none"/>
          <w:u w:val="none"/>
          <w:lang w:val="zh-CN"/>
        </w:rPr>
        <w:t>（一）</w:t>
      </w:r>
      <w:r>
        <w:rPr>
          <w:rFonts w:hint="eastAsia" w:ascii="楷体_GB2312" w:hAnsi="宋体" w:eastAsia="楷体_GB2312"/>
          <w:b/>
          <w:color w:val="000000"/>
          <w:sz w:val="32"/>
          <w:szCs w:val="32"/>
        </w:rPr>
        <w:t>通用指标</w:t>
      </w:r>
      <w:r>
        <w:rPr>
          <w:rFonts w:ascii="Times New Roman" w:hAnsi="Times New Roman" w:eastAsia="楷体_GB2312"/>
          <w:b/>
          <w:bCs/>
          <w:color w:val="000000"/>
          <w:kern w:val="0"/>
          <w:sz w:val="32"/>
          <w:szCs w:val="32"/>
          <w:shd w:val="clear" w:color="auto" w:fill="FFFFFF"/>
          <w:lang w:val="zh-CN"/>
        </w:rPr>
        <w:t>绩效分析。</w:t>
      </w:r>
    </w:p>
    <w:p w14:paraId="658FE973">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1.项目决策。</w:t>
      </w:r>
      <w:r>
        <w:rPr>
          <w:rFonts w:hint="eastAsia" w:ascii="仿宋_GB2312" w:hAnsi="仿宋_GB2312" w:eastAsia="仿宋_GB2312" w:cs="仿宋_GB2312"/>
          <w:color w:val="000000"/>
          <w:sz w:val="32"/>
          <w:szCs w:val="32"/>
          <w:lang w:val="en-US" w:eastAsia="zh-CN"/>
        </w:rPr>
        <w:t>该</w:t>
      </w:r>
      <w:r>
        <w:rPr>
          <w:rFonts w:hint="eastAsia" w:ascii="仿宋_GB2312" w:hAnsi="仿宋_GB2312" w:eastAsia="仿宋_GB2312" w:cs="仿宋_GB2312"/>
          <w:color w:val="000000"/>
          <w:sz w:val="32"/>
          <w:szCs w:val="32"/>
          <w:lang w:eastAsia="zh-CN"/>
        </w:rPr>
        <w:t>项目设立、调整符合《四川省中央引导地方科技发展专项资金管理实施细则》管理</w:t>
      </w:r>
      <w:r>
        <w:rPr>
          <w:rFonts w:hint="eastAsia" w:ascii="仿宋_GB2312" w:hAnsi="仿宋_GB2312" w:eastAsia="仿宋_GB2312" w:cs="仿宋_GB2312"/>
          <w:color w:val="000000"/>
          <w:sz w:val="32"/>
          <w:szCs w:val="32"/>
          <w:lang w:val="en-US" w:eastAsia="zh-CN"/>
        </w:rPr>
        <w:t>使用</w:t>
      </w:r>
      <w:r>
        <w:rPr>
          <w:rFonts w:hint="eastAsia" w:ascii="仿宋_GB2312" w:hAnsi="仿宋_GB2312" w:eastAsia="仿宋_GB2312" w:cs="仿宋_GB2312"/>
          <w:color w:val="000000"/>
          <w:sz w:val="32"/>
          <w:szCs w:val="32"/>
          <w:lang w:eastAsia="zh-CN"/>
        </w:rPr>
        <w:t>规范和决策程序要求；项目规划符合中央、省委省政府有关决策部署安排，</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lang w:eastAsia="zh-CN"/>
        </w:rPr>
        <w:t>绩效目标设置科学合理；</w:t>
      </w:r>
      <w:r>
        <w:rPr>
          <w:rFonts w:hint="eastAsia" w:ascii="仿宋_GB2312" w:hAnsi="仿宋_GB2312" w:eastAsia="仿宋_GB2312" w:cs="仿宋_GB2312"/>
          <w:color w:val="000000"/>
          <w:sz w:val="32"/>
          <w:szCs w:val="32"/>
          <w:lang w:val="en-US" w:eastAsia="zh-CN"/>
        </w:rPr>
        <w:t>项目资金与项目总体规划、行业发展相匹配，体现“集中财力办大事”原则</w:t>
      </w:r>
      <w:r>
        <w:rPr>
          <w:rFonts w:hint="eastAsia" w:ascii="仿宋_GB2312" w:hAnsi="仿宋_GB2312" w:eastAsia="仿宋_GB2312" w:cs="仿宋_GB2312"/>
          <w:color w:val="000000"/>
          <w:sz w:val="32"/>
          <w:szCs w:val="32"/>
          <w:lang w:eastAsia="zh-CN"/>
        </w:rPr>
        <w:t>。</w:t>
      </w:r>
    </w:p>
    <w:p w14:paraId="03F6FB2B">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2.项目管理。</w:t>
      </w:r>
      <w:r>
        <w:rPr>
          <w:rFonts w:hint="eastAsia" w:ascii="仿宋_GB2312" w:hAnsi="仿宋_GB2312" w:eastAsia="仿宋_GB2312" w:cs="仿宋_GB2312"/>
          <w:color w:val="000000"/>
          <w:sz w:val="32"/>
          <w:szCs w:val="32"/>
          <w:lang w:val="en-US" w:eastAsia="zh-CN"/>
        </w:rPr>
        <w:t>资金管理办法健全完善，不存在管理制度缺失、管理办法过期情况；项目资金分配合理，项目管理、审批符合管理要求；项目全面完成绩效目标、绩效评价等预算绩效管理工作，不存在对</w:t>
      </w:r>
      <w:bookmarkStart w:id="53" w:name="_GoBack"/>
      <w:bookmarkEnd w:id="53"/>
      <w:r>
        <w:rPr>
          <w:rFonts w:hint="eastAsia" w:ascii="仿宋_GB2312" w:hAnsi="仿宋_GB2312" w:eastAsia="仿宋_GB2312" w:cs="仿宋_GB2312"/>
          <w:color w:val="000000"/>
          <w:sz w:val="32"/>
          <w:szCs w:val="32"/>
          <w:lang w:val="en-US" w:eastAsia="zh-CN"/>
        </w:rPr>
        <w:t>资金分配和项目管理指导力度不够的情况，开展评价、监督、指导工作有力有效。</w:t>
      </w:r>
    </w:p>
    <w:p w14:paraId="75FB676F">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3.项目实施。</w:t>
      </w:r>
      <w:r>
        <w:rPr>
          <w:rFonts w:hint="eastAsia" w:ascii="仿宋_GB2312" w:hAnsi="仿宋_GB2312" w:eastAsia="仿宋_GB2312" w:cs="仿宋_GB2312"/>
          <w:color w:val="000000"/>
          <w:kern w:val="0"/>
          <w:sz w:val="32"/>
          <w:szCs w:val="32"/>
        </w:rPr>
        <w:t>严格按照预算计划执行项目资金支出，确保了资金的专款专用和合理使用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资金使用符合相关法规和政策要求，未出现违规使用和浪费现象。</w:t>
      </w:r>
    </w:p>
    <w:p w14:paraId="59542C35">
      <w:pPr>
        <w:keepNext w:val="0"/>
        <w:keepLines w:val="0"/>
        <w:pageBreakBefore w:val="0"/>
        <w:kinsoku/>
        <w:wordWrap/>
        <w:overflowPunct/>
        <w:topLinePunct w:val="0"/>
        <w:autoSpaceDE/>
        <w:autoSpaceDN/>
        <w:bidi w:val="0"/>
        <w:adjustRightInd/>
        <w:snapToGrid/>
        <w:spacing w:line="353" w:lineRule="auto"/>
        <w:ind w:left="0" w:leftChars="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b/>
          <w:bCs/>
          <w:color w:val="000000"/>
          <w:sz w:val="32"/>
          <w:szCs w:val="32"/>
        </w:rPr>
        <w:t>4.项目结果。</w:t>
      </w:r>
      <w:r>
        <w:rPr>
          <w:rFonts w:hint="eastAsia" w:ascii="Times New Roman" w:hAnsi="Times New Roman" w:eastAsia="仿宋_GB2312" w:cs="Times New Roman"/>
          <w:color w:val="auto"/>
          <w:sz w:val="32"/>
          <w:szCs w:val="32"/>
          <w:lang w:val="en-US" w:eastAsia="zh-CN"/>
        </w:rPr>
        <w:t>项目完成预期目标，实施结果与绩效目标相匹配，反映目标实现程度；项目实际完成时间与计划完成时间一致。</w:t>
      </w:r>
    </w:p>
    <w:p w14:paraId="530F3A4F">
      <w:pPr>
        <w:pStyle w:val="13"/>
        <w:keepNext w:val="0"/>
        <w:keepLines w:val="0"/>
        <w:pageBreakBefore w:val="0"/>
        <w:kinsoku/>
        <w:wordWrap/>
        <w:overflowPunct/>
        <w:topLinePunct w:val="0"/>
        <w:autoSpaceDE/>
        <w:autoSpaceDN/>
        <w:bidi w:val="0"/>
        <w:adjustRightInd/>
        <w:snapToGrid/>
        <w:spacing w:before="0" w:line="353" w:lineRule="auto"/>
        <w:ind w:firstLine="643" w:firstLineChars="200"/>
        <w:jc w:val="both"/>
        <w:textAlignment w:val="auto"/>
        <w:rPr>
          <w:rFonts w:hint="eastAsia" w:ascii="Times New Roman" w:hAnsi="Times New Roman" w:eastAsia="楷体_GB2312" w:cs="Times New Roman"/>
          <w:b/>
          <w:bCs/>
          <w:color w:val="000000"/>
          <w:kern w:val="0"/>
          <w:sz w:val="32"/>
          <w:szCs w:val="32"/>
          <w:highlight w:val="none"/>
          <w:shd w:val="clear" w:color="auto" w:fill="FFFFFF"/>
          <w:lang w:val="en-US" w:eastAsia="zh-CN"/>
        </w:rPr>
      </w:pPr>
      <w:r>
        <w:rPr>
          <w:rFonts w:hint="eastAsia" w:ascii="楷体_GB2312" w:hAnsi="宋体" w:eastAsia="楷体_GB2312" w:cs="Times New Roman"/>
          <w:b/>
          <w:color w:val="auto"/>
          <w:sz w:val="32"/>
          <w:szCs w:val="32"/>
          <w:highlight w:val="none"/>
          <w:u w:val="none"/>
          <w:lang w:val="zh-CN"/>
        </w:rPr>
        <w:t>（二）</w:t>
      </w:r>
      <w:r>
        <w:rPr>
          <w:rFonts w:hint="eastAsia" w:ascii="楷体_GB2312" w:hAnsi="宋体" w:eastAsia="楷体_GB2312" w:cs="Times New Roman"/>
          <w:b/>
          <w:color w:val="auto"/>
          <w:sz w:val="32"/>
          <w:szCs w:val="32"/>
          <w:highlight w:val="none"/>
          <w:u w:val="none"/>
          <w:lang w:val="en-US" w:eastAsia="zh-CN"/>
        </w:rPr>
        <w:t>专用指标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lang w:val="en-US" w:eastAsia="zh-CN" w:bidi="ar-SA"/>
        </w:rPr>
        <w:t>无</w:t>
      </w:r>
      <w:r>
        <w:rPr>
          <w:rFonts w:hint="eastAsia" w:ascii="Times New Roman" w:hAnsi="Times New Roman" w:eastAsia="楷体_GB2312" w:cs="Times New Roman"/>
          <w:b/>
          <w:bCs/>
          <w:color w:val="000000"/>
          <w:kern w:val="0"/>
          <w:sz w:val="32"/>
          <w:szCs w:val="32"/>
          <w:highlight w:val="none"/>
          <w:shd w:val="clear" w:color="auto" w:fill="FFFFFF"/>
          <w:lang w:val="en-US" w:eastAsia="zh-CN"/>
        </w:rPr>
        <w:t>。</w:t>
      </w:r>
    </w:p>
    <w:p w14:paraId="3B4ACDDE">
      <w:pPr>
        <w:pStyle w:val="13"/>
        <w:keepNext w:val="0"/>
        <w:keepLines w:val="0"/>
        <w:pageBreakBefore w:val="0"/>
        <w:kinsoku/>
        <w:wordWrap/>
        <w:overflowPunct/>
        <w:topLinePunct w:val="0"/>
        <w:autoSpaceDE/>
        <w:autoSpaceDN/>
        <w:bidi w:val="0"/>
        <w:adjustRightInd/>
        <w:snapToGrid/>
        <w:spacing w:before="0" w:line="353" w:lineRule="auto"/>
        <w:ind w:firstLine="643" w:firstLineChars="200"/>
        <w:jc w:val="both"/>
        <w:textAlignment w:val="auto"/>
        <w:rPr>
          <w:rFonts w:hint="eastAsia" w:eastAsia="楷体_GB2312"/>
          <w:lang w:val="en-US" w:eastAsia="zh-CN"/>
        </w:rPr>
      </w:pPr>
      <w:r>
        <w:rPr>
          <w:rFonts w:hint="eastAsia" w:ascii="楷体_GB2312" w:hAnsi="宋体" w:eastAsia="楷体_GB2312" w:cs="Times New Roman"/>
          <w:b/>
          <w:color w:val="auto"/>
          <w:sz w:val="32"/>
          <w:szCs w:val="32"/>
          <w:highlight w:val="none"/>
          <w:u w:val="none"/>
          <w:lang w:val="zh-CN"/>
        </w:rPr>
        <w:t>（三）</w:t>
      </w:r>
      <w:r>
        <w:rPr>
          <w:rFonts w:hint="eastAsia" w:ascii="楷体_GB2312" w:hAnsi="宋体" w:eastAsia="楷体_GB2312" w:cs="Times New Roman"/>
          <w:b/>
          <w:color w:val="auto"/>
          <w:sz w:val="32"/>
          <w:szCs w:val="32"/>
          <w:highlight w:val="none"/>
          <w:u w:val="none"/>
          <w:lang w:val="en-US" w:eastAsia="zh-CN"/>
        </w:rPr>
        <w:t>个性指标</w:t>
      </w:r>
      <w:r>
        <w:rPr>
          <w:rFonts w:hint="default" w:ascii="Times New Roman" w:hAnsi="Times New Roman" w:eastAsia="楷体_GB2312" w:cs="Times New Roman"/>
          <w:b/>
          <w:bCs/>
          <w:color w:val="000000"/>
          <w:kern w:val="0"/>
          <w:sz w:val="32"/>
          <w:szCs w:val="32"/>
          <w:highlight w:val="none"/>
          <w:shd w:val="clear" w:color="auto" w:fill="FFFFFF"/>
          <w:lang w:val="zh-CN"/>
        </w:rPr>
        <w:t>绩效分析。</w:t>
      </w:r>
      <w:r>
        <w:rPr>
          <w:rFonts w:hint="eastAsia" w:ascii="Times New Roman" w:hAnsi="Times New Roman" w:eastAsia="仿宋_GB2312" w:cs="Times New Roman"/>
          <w:color w:val="000000"/>
          <w:kern w:val="0"/>
          <w:sz w:val="32"/>
          <w:szCs w:val="32"/>
          <w:lang w:val="en-US" w:eastAsia="zh-CN" w:bidi="ar-SA"/>
        </w:rPr>
        <w:t>无。</w:t>
      </w:r>
    </w:p>
    <w:p w14:paraId="20169A02">
      <w:pPr>
        <w:keepNext w:val="0"/>
        <w:keepLines w:val="0"/>
        <w:pageBreakBefore w:val="0"/>
        <w:widowControl/>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kern w:val="0"/>
          <w:position w:val="3"/>
          <w:sz w:val="32"/>
          <w:szCs w:val="32"/>
        </w:rPr>
      </w:pPr>
      <w:r>
        <w:rPr>
          <w:rFonts w:hint="eastAsia" w:ascii="黑体" w:hAnsi="宋体" w:eastAsia="黑体"/>
          <w:color w:val="000000"/>
          <w:kern w:val="0"/>
          <w:position w:val="3"/>
          <w:sz w:val="32"/>
          <w:szCs w:val="32"/>
        </w:rPr>
        <w:t>四、评价结论</w:t>
      </w:r>
    </w:p>
    <w:p w14:paraId="5484CAE5">
      <w:pPr>
        <w:keepNext w:val="0"/>
        <w:keepLines w:val="0"/>
        <w:pageBreakBefore w:val="0"/>
        <w:widowControl/>
        <w:shd w:val="clear" w:color="auto" w:fill="FFFFFF"/>
        <w:kinsoku/>
        <w:wordWrap/>
        <w:overflowPunct/>
        <w:topLinePunct w:val="0"/>
        <w:autoSpaceDE/>
        <w:autoSpaceDN/>
        <w:bidi w:val="0"/>
        <w:adjustRightInd/>
        <w:snapToGrid/>
        <w:spacing w:line="353" w:lineRule="auto"/>
        <w:ind w:left="0" w:leftChars="0" w:firstLine="640" w:firstLineChars="200"/>
        <w:jc w:val="both"/>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zh-CN" w:eastAsia="zh-CN"/>
        </w:rPr>
        <w:t>结合专项项目支出绩效评价指标体系，</w:t>
      </w:r>
      <w:r>
        <w:rPr>
          <w:rFonts w:hint="eastAsia" w:ascii="Times New Roman" w:hAnsi="Times New Roman" w:eastAsia="仿宋_GB2312"/>
          <w:color w:val="000000"/>
          <w:kern w:val="0"/>
          <w:sz w:val="32"/>
          <w:szCs w:val="32"/>
          <w:lang w:val="zh-CN"/>
        </w:rPr>
        <w:t>该项目省级专项资金主要用于支持地方开展科技成果转化，项目单位严格按照有关管理办法执行，项目资金管理使用规范，绩效目标全部实现，项目的实施对于促进企业自主创新和经济社会发展起到了积极的推动作用。</w:t>
      </w:r>
    </w:p>
    <w:p w14:paraId="521CB164">
      <w:pPr>
        <w:keepNext w:val="0"/>
        <w:keepLines w:val="0"/>
        <w:pageBreakBefore w:val="0"/>
        <w:widowControl/>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kern w:val="0"/>
          <w:position w:val="3"/>
          <w:sz w:val="32"/>
          <w:szCs w:val="32"/>
        </w:rPr>
      </w:pPr>
      <w:r>
        <w:rPr>
          <w:rFonts w:hint="eastAsia" w:ascii="黑体" w:hAnsi="宋体" w:eastAsia="黑体"/>
          <w:color w:val="000000"/>
          <w:kern w:val="0"/>
          <w:position w:val="3"/>
          <w:sz w:val="32"/>
          <w:szCs w:val="32"/>
        </w:rPr>
        <w:t>五、存在主要问题</w:t>
      </w:r>
    </w:p>
    <w:p w14:paraId="24D7FC29">
      <w:pPr>
        <w:pStyle w:val="13"/>
        <w:keepNext w:val="0"/>
        <w:keepLines w:val="0"/>
        <w:pageBreakBefore w:val="0"/>
        <w:kinsoku/>
        <w:wordWrap/>
        <w:overflowPunct/>
        <w:topLinePunct w:val="0"/>
        <w:autoSpaceDE/>
        <w:autoSpaceDN/>
        <w:bidi w:val="0"/>
        <w:adjustRightInd/>
        <w:snapToGrid/>
        <w:spacing w:before="0" w:line="353" w:lineRule="auto"/>
        <w:ind w:left="0" w:leftChars="0"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无。</w:t>
      </w:r>
    </w:p>
    <w:p w14:paraId="2CFE8948">
      <w:pPr>
        <w:keepNext w:val="0"/>
        <w:keepLines w:val="0"/>
        <w:pageBreakBefore w:val="0"/>
        <w:widowControl/>
        <w:kinsoku/>
        <w:wordWrap/>
        <w:overflowPunct/>
        <w:topLinePunct w:val="0"/>
        <w:autoSpaceDE/>
        <w:autoSpaceDN/>
        <w:bidi w:val="0"/>
        <w:adjustRightInd/>
        <w:snapToGrid/>
        <w:spacing w:line="353" w:lineRule="auto"/>
        <w:ind w:left="0" w:leftChars="0" w:firstLine="640" w:firstLineChars="200"/>
        <w:jc w:val="both"/>
        <w:textAlignment w:val="auto"/>
        <w:outlineLvl w:val="0"/>
        <w:rPr>
          <w:rFonts w:hint="eastAsia" w:ascii="黑体" w:hAnsi="宋体" w:eastAsia="黑体"/>
          <w:color w:val="000000"/>
          <w:kern w:val="0"/>
          <w:position w:val="3"/>
          <w:sz w:val="32"/>
          <w:szCs w:val="32"/>
          <w:lang w:val="zh-CN"/>
        </w:rPr>
      </w:pPr>
      <w:r>
        <w:rPr>
          <w:rFonts w:hint="eastAsia" w:ascii="黑体" w:hAnsi="宋体" w:eastAsia="黑体"/>
          <w:color w:val="000000"/>
          <w:kern w:val="0"/>
          <w:position w:val="3"/>
          <w:sz w:val="32"/>
          <w:szCs w:val="32"/>
          <w:lang w:val="zh-CN"/>
        </w:rPr>
        <w:t>六、改进建议</w:t>
      </w:r>
    </w:p>
    <w:p w14:paraId="41926B98">
      <w:pPr>
        <w:keepNext w:val="0"/>
        <w:keepLines w:val="0"/>
        <w:pageBreakBefore w:val="0"/>
        <w:tabs>
          <w:tab w:val="left" w:pos="1911"/>
        </w:tabs>
        <w:kinsoku/>
        <w:wordWrap/>
        <w:overflowPunct/>
        <w:topLinePunct w:val="0"/>
        <w:autoSpaceDE/>
        <w:autoSpaceDN/>
        <w:bidi w:val="0"/>
        <w:adjustRightInd/>
        <w:snapToGrid/>
        <w:spacing w:line="353" w:lineRule="auto"/>
        <w:ind w:left="0" w:leftChars="0" w:firstLine="64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无。</w:t>
      </w:r>
    </w:p>
    <w:p w14:paraId="194EE268">
      <w:pPr>
        <w:keepNext w:val="0"/>
        <w:keepLines w:val="0"/>
        <w:pageBreakBefore w:val="0"/>
        <w:kinsoku/>
        <w:wordWrap/>
        <w:overflowPunct/>
        <w:topLinePunct w:val="0"/>
        <w:autoSpaceDE/>
        <w:autoSpaceDN/>
        <w:bidi w:val="0"/>
        <w:adjustRightInd/>
        <w:snapToGrid/>
        <w:textAlignment w:val="auto"/>
      </w:pPr>
    </w:p>
    <w:p w14:paraId="02A8453E">
      <w:pPr>
        <w:rPr>
          <w:rFonts w:hint="eastAsia"/>
          <w:lang w:val="zh-CN"/>
        </w:rPr>
      </w:pPr>
    </w:p>
    <w:p w14:paraId="153F32CE">
      <w:pPr>
        <w:pStyle w:val="5"/>
        <w:pageBreakBefore w:val="0"/>
        <w:kinsoku/>
        <w:wordWrap/>
        <w:overflowPunct/>
        <w:topLinePunct w:val="0"/>
        <w:bidi w:val="0"/>
        <w:adjustRightInd/>
        <w:snapToGrid/>
        <w:spacing w:before="0" w:after="0"/>
        <w:jc w:val="center"/>
        <w:textAlignment w:val="auto"/>
        <w:rPr>
          <w:rFonts w:ascii="黑体" w:hAnsi="黑体" w:eastAsia="黑体"/>
        </w:rPr>
      </w:pPr>
      <w:r>
        <w:rPr>
          <w:rFonts w:hint="eastAsia" w:ascii="黑体" w:hAnsi="黑体" w:eastAsia="黑体"/>
        </w:rPr>
        <w:t>第五部分 附表</w:t>
      </w:r>
    </w:p>
    <w:p w14:paraId="41E38D8C">
      <w:pPr>
        <w:pageBreakBefore w:val="0"/>
        <w:kinsoku/>
        <w:wordWrap/>
        <w:overflowPunct/>
        <w:topLinePunct w:val="0"/>
        <w:bidi w:val="0"/>
        <w:adjustRightInd/>
        <w:snapToGrid/>
        <w:jc w:val="both"/>
        <w:textAlignment w:val="auto"/>
        <w:rPr>
          <w:rFonts w:hint="eastAsia" w:ascii="仿宋" w:hAnsi="仿宋" w:eastAsia="仿宋"/>
          <w:sz w:val="32"/>
          <w:szCs w:val="32"/>
        </w:rPr>
      </w:pPr>
    </w:p>
    <w:p w14:paraId="2B3B131F">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一、收入支出决算总表</w:t>
      </w:r>
    </w:p>
    <w:p w14:paraId="304A4BD3">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二、收入决算表</w:t>
      </w:r>
    </w:p>
    <w:p w14:paraId="466E1697">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三、支出决算表</w:t>
      </w:r>
    </w:p>
    <w:p w14:paraId="1F1C9E03">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四、财政拨款收入支出决算总表</w:t>
      </w:r>
    </w:p>
    <w:p w14:paraId="20290A3F">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五、财政拨款支出决算明细表</w:t>
      </w:r>
    </w:p>
    <w:p w14:paraId="1B25EC2E">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六、一般公共预算财政拨款支出决算表</w:t>
      </w:r>
    </w:p>
    <w:p w14:paraId="66E3C47A">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七、一般公共预算财政拨款支出决算明细表</w:t>
      </w:r>
    </w:p>
    <w:p w14:paraId="64F412FA">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八、一般公共预算财政拨款基本支出决算表</w:t>
      </w:r>
    </w:p>
    <w:p w14:paraId="71BDCBBE">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九、一般公共预算财政拨款项目支出决算表</w:t>
      </w:r>
    </w:p>
    <w:p w14:paraId="3EAE9182">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十、政府性基金预算财政拨款收入支出决算表</w:t>
      </w:r>
    </w:p>
    <w:p w14:paraId="236A7B9E">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十一、国有资本经营预算财政拨款收入支出决算表</w:t>
      </w:r>
    </w:p>
    <w:p w14:paraId="68E1CA5F">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十二、国有资本经营预算财政拨款支出决算表</w:t>
      </w:r>
    </w:p>
    <w:p w14:paraId="1042FE6C">
      <w:pPr>
        <w:pageBreakBefore w:val="0"/>
        <w:kinsoku/>
        <w:wordWrap/>
        <w:overflowPunct/>
        <w:topLinePunct w:val="0"/>
        <w:bidi w:val="0"/>
        <w:adjustRightInd/>
        <w:snapToGrid/>
        <w:jc w:val="both"/>
        <w:textAlignment w:val="auto"/>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2098" w:right="1474" w:bottom="1304"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BBE8259">
        <w:pPr>
          <w:pStyle w:val="11"/>
          <w:jc w:val="center"/>
        </w:pPr>
        <w:r>
          <w:fldChar w:fldCharType="begin"/>
        </w:r>
        <w:r>
          <w:instrText xml:space="preserve">PAGE   \* MERGEFORMAT</w:instrText>
        </w:r>
        <w:r>
          <w:fldChar w:fldCharType="separate"/>
        </w:r>
        <w:r>
          <w:rPr>
            <w:lang w:val="zh-CN"/>
          </w:rPr>
          <w:t>23</w:t>
        </w:r>
        <w:r>
          <w:fldChar w:fldCharType="end"/>
        </w:r>
      </w:p>
    </w:sdtContent>
  </w:sdt>
  <w:p w14:paraId="55020E5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5B2CA">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008C86BE"/>
    <w:multiLevelType w:val="singleLevel"/>
    <w:tmpl w:val="008C86BE"/>
    <w:lvl w:ilvl="0" w:tentative="0">
      <w:start w:val="2"/>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MWI1NjgwNDA4MzNmZGFlNTVhNGE1YTQ5YmQ1ODE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074CA"/>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7345B1"/>
    <w:rsid w:val="02FEBE30"/>
    <w:rsid w:val="036F8141"/>
    <w:rsid w:val="039C6E4D"/>
    <w:rsid w:val="049727D9"/>
    <w:rsid w:val="04AE18D1"/>
    <w:rsid w:val="05760640"/>
    <w:rsid w:val="066E0107"/>
    <w:rsid w:val="071D566E"/>
    <w:rsid w:val="07593D76"/>
    <w:rsid w:val="07996F6E"/>
    <w:rsid w:val="07DFD8BA"/>
    <w:rsid w:val="094B7804"/>
    <w:rsid w:val="09EB2C7F"/>
    <w:rsid w:val="0A2032A3"/>
    <w:rsid w:val="0D35B1ED"/>
    <w:rsid w:val="0D991370"/>
    <w:rsid w:val="0DF93BBD"/>
    <w:rsid w:val="0E3E3CC5"/>
    <w:rsid w:val="0E7ED1F5"/>
    <w:rsid w:val="0F98263C"/>
    <w:rsid w:val="101860EC"/>
    <w:rsid w:val="101E3174"/>
    <w:rsid w:val="102C7829"/>
    <w:rsid w:val="109264D1"/>
    <w:rsid w:val="10C055FF"/>
    <w:rsid w:val="110E4329"/>
    <w:rsid w:val="11186A50"/>
    <w:rsid w:val="118107EC"/>
    <w:rsid w:val="11851C0B"/>
    <w:rsid w:val="11B81FE1"/>
    <w:rsid w:val="11E92612"/>
    <w:rsid w:val="12011292"/>
    <w:rsid w:val="12631F4C"/>
    <w:rsid w:val="13D50BC4"/>
    <w:rsid w:val="13F5616D"/>
    <w:rsid w:val="14E46C49"/>
    <w:rsid w:val="157B135B"/>
    <w:rsid w:val="16704C38"/>
    <w:rsid w:val="16BB723D"/>
    <w:rsid w:val="170A6E3A"/>
    <w:rsid w:val="17F9714D"/>
    <w:rsid w:val="18277578"/>
    <w:rsid w:val="18363C5F"/>
    <w:rsid w:val="18583102"/>
    <w:rsid w:val="1918F934"/>
    <w:rsid w:val="19393A07"/>
    <w:rsid w:val="1A2C531A"/>
    <w:rsid w:val="1B4B7A22"/>
    <w:rsid w:val="1B800533"/>
    <w:rsid w:val="1B83540D"/>
    <w:rsid w:val="1B852F33"/>
    <w:rsid w:val="1B9C0929"/>
    <w:rsid w:val="1BE8440E"/>
    <w:rsid w:val="1C0302FC"/>
    <w:rsid w:val="1C2A5889"/>
    <w:rsid w:val="1C591153"/>
    <w:rsid w:val="1CC161ED"/>
    <w:rsid w:val="1D0B1216"/>
    <w:rsid w:val="1D155CEE"/>
    <w:rsid w:val="1D1A76AB"/>
    <w:rsid w:val="1D2C3EF7"/>
    <w:rsid w:val="1DEA7E9E"/>
    <w:rsid w:val="1DFBC4B3"/>
    <w:rsid w:val="1E311151"/>
    <w:rsid w:val="1E591216"/>
    <w:rsid w:val="1E740ACF"/>
    <w:rsid w:val="1F010B23"/>
    <w:rsid w:val="1F19C781"/>
    <w:rsid w:val="1F33FCE5"/>
    <w:rsid w:val="1F7F7398"/>
    <w:rsid w:val="1F9004D9"/>
    <w:rsid w:val="1FD2DB6F"/>
    <w:rsid w:val="1FF35744"/>
    <w:rsid w:val="1FF6BC77"/>
    <w:rsid w:val="1FF9236D"/>
    <w:rsid w:val="20232D1B"/>
    <w:rsid w:val="206B4D07"/>
    <w:rsid w:val="21110DC5"/>
    <w:rsid w:val="21645399"/>
    <w:rsid w:val="219914E7"/>
    <w:rsid w:val="227B6E3E"/>
    <w:rsid w:val="22CE3412"/>
    <w:rsid w:val="23015DCD"/>
    <w:rsid w:val="2333840E"/>
    <w:rsid w:val="23860B96"/>
    <w:rsid w:val="240371BF"/>
    <w:rsid w:val="24E83D63"/>
    <w:rsid w:val="24F84776"/>
    <w:rsid w:val="25284930"/>
    <w:rsid w:val="255D6CCF"/>
    <w:rsid w:val="257C638F"/>
    <w:rsid w:val="25F413E1"/>
    <w:rsid w:val="265E4AAD"/>
    <w:rsid w:val="27734588"/>
    <w:rsid w:val="27973840"/>
    <w:rsid w:val="285E096F"/>
    <w:rsid w:val="28E35478"/>
    <w:rsid w:val="28E55297"/>
    <w:rsid w:val="298962E5"/>
    <w:rsid w:val="29FD04D3"/>
    <w:rsid w:val="2A5A1BF6"/>
    <w:rsid w:val="2AC31382"/>
    <w:rsid w:val="2BCC617A"/>
    <w:rsid w:val="2BFF7BC6"/>
    <w:rsid w:val="2C3D1BA4"/>
    <w:rsid w:val="2C622E1D"/>
    <w:rsid w:val="2C762A9B"/>
    <w:rsid w:val="2C8A61B5"/>
    <w:rsid w:val="2CD59C95"/>
    <w:rsid w:val="2D744BB6"/>
    <w:rsid w:val="2DF04E50"/>
    <w:rsid w:val="2E84707B"/>
    <w:rsid w:val="2EFD05E5"/>
    <w:rsid w:val="2F040D46"/>
    <w:rsid w:val="2F4F95CE"/>
    <w:rsid w:val="2F940B9B"/>
    <w:rsid w:val="2FACAFDD"/>
    <w:rsid w:val="2FAE5751"/>
    <w:rsid w:val="2FB1A395"/>
    <w:rsid w:val="2FCF0B76"/>
    <w:rsid w:val="2FD9A7D8"/>
    <w:rsid w:val="313F372D"/>
    <w:rsid w:val="31772EC7"/>
    <w:rsid w:val="319F7F4E"/>
    <w:rsid w:val="326571C3"/>
    <w:rsid w:val="3304709D"/>
    <w:rsid w:val="339064C2"/>
    <w:rsid w:val="33D75E9F"/>
    <w:rsid w:val="346A0AC1"/>
    <w:rsid w:val="34BB18DC"/>
    <w:rsid w:val="34DF14AF"/>
    <w:rsid w:val="36450439"/>
    <w:rsid w:val="36AA5135"/>
    <w:rsid w:val="36BE0DA7"/>
    <w:rsid w:val="373B6744"/>
    <w:rsid w:val="376B6AA6"/>
    <w:rsid w:val="376D39B2"/>
    <w:rsid w:val="379F0A81"/>
    <w:rsid w:val="37E16F03"/>
    <w:rsid w:val="37EA0D25"/>
    <w:rsid w:val="37F53A3B"/>
    <w:rsid w:val="386156DB"/>
    <w:rsid w:val="38D469F0"/>
    <w:rsid w:val="38F78389"/>
    <w:rsid w:val="397877DC"/>
    <w:rsid w:val="397BAF1F"/>
    <w:rsid w:val="39E7B272"/>
    <w:rsid w:val="39F7642F"/>
    <w:rsid w:val="39FF7B37"/>
    <w:rsid w:val="3AB79AF3"/>
    <w:rsid w:val="3AC0143A"/>
    <w:rsid w:val="3AFDCB77"/>
    <w:rsid w:val="3B7EF35A"/>
    <w:rsid w:val="3B820DE6"/>
    <w:rsid w:val="3B9FDB6C"/>
    <w:rsid w:val="3BCB62E9"/>
    <w:rsid w:val="3BD258C9"/>
    <w:rsid w:val="3BF5BC2F"/>
    <w:rsid w:val="3BF7C23A"/>
    <w:rsid w:val="3BFF223E"/>
    <w:rsid w:val="3C4A1903"/>
    <w:rsid w:val="3C6EC0A1"/>
    <w:rsid w:val="3CDB0824"/>
    <w:rsid w:val="3CEBA265"/>
    <w:rsid w:val="3D6A7F9F"/>
    <w:rsid w:val="3D7E7F4D"/>
    <w:rsid w:val="3D896839"/>
    <w:rsid w:val="3D98207C"/>
    <w:rsid w:val="3D9CF30A"/>
    <w:rsid w:val="3DFF5A3E"/>
    <w:rsid w:val="3E78745D"/>
    <w:rsid w:val="3EDE4160"/>
    <w:rsid w:val="3EEE77E9"/>
    <w:rsid w:val="3EF45B57"/>
    <w:rsid w:val="3F394AF5"/>
    <w:rsid w:val="3FBE5714"/>
    <w:rsid w:val="3FDD8615"/>
    <w:rsid w:val="3FDFB2FF"/>
    <w:rsid w:val="3FF4CAE0"/>
    <w:rsid w:val="3FF75FAF"/>
    <w:rsid w:val="3FF7B227"/>
    <w:rsid w:val="407F25B3"/>
    <w:rsid w:val="449C4CC6"/>
    <w:rsid w:val="44E268DA"/>
    <w:rsid w:val="45396444"/>
    <w:rsid w:val="454F1D39"/>
    <w:rsid w:val="457F4F6B"/>
    <w:rsid w:val="45C2075D"/>
    <w:rsid w:val="45EE1552"/>
    <w:rsid w:val="46D36999"/>
    <w:rsid w:val="46FD57C4"/>
    <w:rsid w:val="4737FB58"/>
    <w:rsid w:val="47ECCB02"/>
    <w:rsid w:val="47F148CF"/>
    <w:rsid w:val="47FA6A3F"/>
    <w:rsid w:val="488416E9"/>
    <w:rsid w:val="48F50E49"/>
    <w:rsid w:val="498B70B7"/>
    <w:rsid w:val="49BD7254"/>
    <w:rsid w:val="49D7AE48"/>
    <w:rsid w:val="4A3F6C7E"/>
    <w:rsid w:val="4A627F82"/>
    <w:rsid w:val="4A7F459D"/>
    <w:rsid w:val="4A837CC8"/>
    <w:rsid w:val="4A930919"/>
    <w:rsid w:val="4B0E749A"/>
    <w:rsid w:val="4B4F25DA"/>
    <w:rsid w:val="4B7C7600"/>
    <w:rsid w:val="4BBB4781"/>
    <w:rsid w:val="4BD709A5"/>
    <w:rsid w:val="4BDD9BFF"/>
    <w:rsid w:val="4BE068DB"/>
    <w:rsid w:val="4C5C55AD"/>
    <w:rsid w:val="4D522188"/>
    <w:rsid w:val="4D577224"/>
    <w:rsid w:val="4DBF1CEB"/>
    <w:rsid w:val="4DBF6A6B"/>
    <w:rsid w:val="4DEF40B9"/>
    <w:rsid w:val="4DF6A672"/>
    <w:rsid w:val="4E766588"/>
    <w:rsid w:val="4EAB1D8D"/>
    <w:rsid w:val="4EAB630A"/>
    <w:rsid w:val="4ECE2238"/>
    <w:rsid w:val="4F245FE4"/>
    <w:rsid w:val="4F7D56F4"/>
    <w:rsid w:val="4F7EA413"/>
    <w:rsid w:val="4FAB812F"/>
    <w:rsid w:val="4FE37C4D"/>
    <w:rsid w:val="4FE9BD67"/>
    <w:rsid w:val="4FEE4C07"/>
    <w:rsid w:val="4FFB052F"/>
    <w:rsid w:val="52021149"/>
    <w:rsid w:val="537E6D0A"/>
    <w:rsid w:val="53AB6B88"/>
    <w:rsid w:val="53F74C96"/>
    <w:rsid w:val="5583522D"/>
    <w:rsid w:val="55CE2806"/>
    <w:rsid w:val="56837F46"/>
    <w:rsid w:val="57460AC2"/>
    <w:rsid w:val="576F626A"/>
    <w:rsid w:val="578C2978"/>
    <w:rsid w:val="57BD3DD4"/>
    <w:rsid w:val="57F9CD1E"/>
    <w:rsid w:val="58093FC9"/>
    <w:rsid w:val="592A2449"/>
    <w:rsid w:val="5A236E98"/>
    <w:rsid w:val="5A865DA5"/>
    <w:rsid w:val="5AF92295"/>
    <w:rsid w:val="5AF9D8E9"/>
    <w:rsid w:val="5BDD38BD"/>
    <w:rsid w:val="5BDD79E6"/>
    <w:rsid w:val="5BEFC772"/>
    <w:rsid w:val="5BFF5DFC"/>
    <w:rsid w:val="5CD71FC4"/>
    <w:rsid w:val="5D1F11B5"/>
    <w:rsid w:val="5D3647F9"/>
    <w:rsid w:val="5D3E4715"/>
    <w:rsid w:val="5D9C5313"/>
    <w:rsid w:val="5DA644D4"/>
    <w:rsid w:val="5DAE1B18"/>
    <w:rsid w:val="5DE7D9E5"/>
    <w:rsid w:val="5ECE7D1A"/>
    <w:rsid w:val="5ECEC941"/>
    <w:rsid w:val="5EFF8FC6"/>
    <w:rsid w:val="5F0B6879"/>
    <w:rsid w:val="5F5BA39A"/>
    <w:rsid w:val="5F7D3B79"/>
    <w:rsid w:val="5F7F4610"/>
    <w:rsid w:val="5FAF36A8"/>
    <w:rsid w:val="5FBF9FF3"/>
    <w:rsid w:val="5FCD4E2C"/>
    <w:rsid w:val="5FDC6467"/>
    <w:rsid w:val="5FEF394A"/>
    <w:rsid w:val="5FF67715"/>
    <w:rsid w:val="600A073C"/>
    <w:rsid w:val="60D86C2E"/>
    <w:rsid w:val="61CA71D5"/>
    <w:rsid w:val="61E41603"/>
    <w:rsid w:val="627EE9EA"/>
    <w:rsid w:val="62EC0839"/>
    <w:rsid w:val="639356C7"/>
    <w:rsid w:val="63B23AA5"/>
    <w:rsid w:val="644665A5"/>
    <w:rsid w:val="647F5392"/>
    <w:rsid w:val="64805D2F"/>
    <w:rsid w:val="64E322C4"/>
    <w:rsid w:val="65A062C2"/>
    <w:rsid w:val="65FB93B9"/>
    <w:rsid w:val="6633C463"/>
    <w:rsid w:val="67D55B77"/>
    <w:rsid w:val="67EE7F84"/>
    <w:rsid w:val="682312B7"/>
    <w:rsid w:val="686F5F53"/>
    <w:rsid w:val="68A51AEC"/>
    <w:rsid w:val="68EB3277"/>
    <w:rsid w:val="69256789"/>
    <w:rsid w:val="6AFFCEAF"/>
    <w:rsid w:val="6B0F5943"/>
    <w:rsid w:val="6B96E9E6"/>
    <w:rsid w:val="6BAC3191"/>
    <w:rsid w:val="6BCE57B5"/>
    <w:rsid w:val="6BFEA4DB"/>
    <w:rsid w:val="6BFFB662"/>
    <w:rsid w:val="6C4A05C8"/>
    <w:rsid w:val="6C5F0204"/>
    <w:rsid w:val="6CB14B16"/>
    <w:rsid w:val="6CFF4FB8"/>
    <w:rsid w:val="6D6BD6E0"/>
    <w:rsid w:val="6D77E73C"/>
    <w:rsid w:val="6DBF5E93"/>
    <w:rsid w:val="6DFF077E"/>
    <w:rsid w:val="6E7E3605"/>
    <w:rsid w:val="6E7FDCC7"/>
    <w:rsid w:val="6ED6A62E"/>
    <w:rsid w:val="6EE00B15"/>
    <w:rsid w:val="6EE737B2"/>
    <w:rsid w:val="6EEB2329"/>
    <w:rsid w:val="6EECE67A"/>
    <w:rsid w:val="6EFB6DB3"/>
    <w:rsid w:val="6F6F90A8"/>
    <w:rsid w:val="6F6FB3EB"/>
    <w:rsid w:val="6F8731EA"/>
    <w:rsid w:val="6FBC2ADD"/>
    <w:rsid w:val="6FD57C00"/>
    <w:rsid w:val="6FEFFFD8"/>
    <w:rsid w:val="6FF5CC65"/>
    <w:rsid w:val="6FFB47EC"/>
    <w:rsid w:val="6FFF034A"/>
    <w:rsid w:val="70763D6E"/>
    <w:rsid w:val="712A28F1"/>
    <w:rsid w:val="715C0E4B"/>
    <w:rsid w:val="7164006A"/>
    <w:rsid w:val="71A82CD0"/>
    <w:rsid w:val="71DE7E1D"/>
    <w:rsid w:val="71FFD401"/>
    <w:rsid w:val="72233669"/>
    <w:rsid w:val="72734D90"/>
    <w:rsid w:val="72D119A7"/>
    <w:rsid w:val="7332FE48"/>
    <w:rsid w:val="73AD73D5"/>
    <w:rsid w:val="73B6EB34"/>
    <w:rsid w:val="73DD7FA9"/>
    <w:rsid w:val="73FA497D"/>
    <w:rsid w:val="742835D1"/>
    <w:rsid w:val="744731E5"/>
    <w:rsid w:val="74BBD01D"/>
    <w:rsid w:val="74ED5379"/>
    <w:rsid w:val="74FB2A94"/>
    <w:rsid w:val="75C34332"/>
    <w:rsid w:val="75DEEEC2"/>
    <w:rsid w:val="75ED72B5"/>
    <w:rsid w:val="75F419BD"/>
    <w:rsid w:val="76674885"/>
    <w:rsid w:val="767F479D"/>
    <w:rsid w:val="76CA4E14"/>
    <w:rsid w:val="76E3355F"/>
    <w:rsid w:val="76F742AF"/>
    <w:rsid w:val="76F7BE7D"/>
    <w:rsid w:val="76FF5125"/>
    <w:rsid w:val="773570D3"/>
    <w:rsid w:val="77597F31"/>
    <w:rsid w:val="776F6FFA"/>
    <w:rsid w:val="7777A522"/>
    <w:rsid w:val="77858688"/>
    <w:rsid w:val="778769C8"/>
    <w:rsid w:val="77CB741A"/>
    <w:rsid w:val="77D7BE3A"/>
    <w:rsid w:val="77DC22F5"/>
    <w:rsid w:val="77F24622"/>
    <w:rsid w:val="78675B7A"/>
    <w:rsid w:val="78CA4C57"/>
    <w:rsid w:val="79202AC9"/>
    <w:rsid w:val="797E3A6C"/>
    <w:rsid w:val="798C582B"/>
    <w:rsid w:val="79CF70E2"/>
    <w:rsid w:val="79D7FD79"/>
    <w:rsid w:val="79E75806"/>
    <w:rsid w:val="79EE5BA4"/>
    <w:rsid w:val="7A401675"/>
    <w:rsid w:val="7A641148"/>
    <w:rsid w:val="7A6F8BF5"/>
    <w:rsid w:val="7A894339"/>
    <w:rsid w:val="7ACE55CD"/>
    <w:rsid w:val="7ACF82B5"/>
    <w:rsid w:val="7AD7365B"/>
    <w:rsid w:val="7AFF28C9"/>
    <w:rsid w:val="7AFF72A0"/>
    <w:rsid w:val="7AFF7572"/>
    <w:rsid w:val="7B6C7DFB"/>
    <w:rsid w:val="7B7D76A7"/>
    <w:rsid w:val="7BAE2FE2"/>
    <w:rsid w:val="7BAF6951"/>
    <w:rsid w:val="7BBFBED0"/>
    <w:rsid w:val="7BC3E394"/>
    <w:rsid w:val="7BF3FE4C"/>
    <w:rsid w:val="7BFB5035"/>
    <w:rsid w:val="7BFDE17E"/>
    <w:rsid w:val="7CA659DB"/>
    <w:rsid w:val="7CBFC87B"/>
    <w:rsid w:val="7CFE0F48"/>
    <w:rsid w:val="7D3DE31C"/>
    <w:rsid w:val="7D456FA2"/>
    <w:rsid w:val="7D7EC23E"/>
    <w:rsid w:val="7D7F8A13"/>
    <w:rsid w:val="7DBBCB01"/>
    <w:rsid w:val="7DC765D0"/>
    <w:rsid w:val="7DDB0EE0"/>
    <w:rsid w:val="7DFF51D8"/>
    <w:rsid w:val="7E634199"/>
    <w:rsid w:val="7E8ADEBF"/>
    <w:rsid w:val="7EAA3560"/>
    <w:rsid w:val="7EEF11D3"/>
    <w:rsid w:val="7EF78C20"/>
    <w:rsid w:val="7F0C677A"/>
    <w:rsid w:val="7F3F679B"/>
    <w:rsid w:val="7F4FC4EF"/>
    <w:rsid w:val="7F5E4D54"/>
    <w:rsid w:val="7F6B75FA"/>
    <w:rsid w:val="7F9F518D"/>
    <w:rsid w:val="7FA30C79"/>
    <w:rsid w:val="7FAF8ABF"/>
    <w:rsid w:val="7FB7269E"/>
    <w:rsid w:val="7FBD6753"/>
    <w:rsid w:val="7FBFABB4"/>
    <w:rsid w:val="7FC65084"/>
    <w:rsid w:val="7FC7639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style>
  <w:style w:type="paragraph" w:styleId="3">
    <w:name w:val="Body Text"/>
    <w:basedOn w:val="1"/>
    <w:next w:val="4"/>
    <w:link w:val="28"/>
    <w:qFormat/>
    <w:uiPriority w:val="99"/>
    <w:pPr>
      <w:spacing w:beforeLines="30"/>
    </w:pPr>
    <w:rPr>
      <w:rFonts w:ascii="仿宋_GB2312" w:eastAsia="仿宋_GB2312"/>
      <w:kern w:val="0"/>
      <w:sz w:val="30"/>
    </w:r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after="60"/>
      <w:jc w:val="center"/>
      <w:outlineLvl w:val="0"/>
    </w:pPr>
    <w:rPr>
      <w:rFonts w:ascii="Arial" w:hAnsi="Arial" w:cs="Arial"/>
      <w:b/>
      <w:bCs/>
      <w:sz w:val="32"/>
      <w:szCs w:val="32"/>
    </w:rPr>
  </w:style>
  <w:style w:type="paragraph" w:styleId="17">
    <w:name w:val="Body Text First Indent 2"/>
    <w:basedOn w:val="8"/>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字符"/>
    <w:link w:val="3"/>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字符"/>
    <w:basedOn w:val="19"/>
    <w:link w:val="5"/>
    <w:qFormat/>
    <w:uiPriority w:val="9"/>
    <w:rPr>
      <w:rFonts w:ascii="Times New Roman" w:hAnsi="Times New Roman"/>
      <w:b/>
      <w:bCs/>
      <w:kern w:val="44"/>
      <w:sz w:val="44"/>
      <w:szCs w:val="44"/>
    </w:rPr>
  </w:style>
  <w:style w:type="character" w:customStyle="1" w:styleId="31">
    <w:name w:val="标题 2 字符"/>
    <w:basedOn w:val="19"/>
    <w:link w:val="6"/>
    <w:qFormat/>
    <w:uiPriority w:val="9"/>
    <w:rPr>
      <w:rFonts w:asciiTheme="majorHAnsi" w:hAnsiTheme="majorHAnsi" w:eastAsiaTheme="majorEastAsia" w:cstheme="majorBidi"/>
      <w:b/>
      <w:bCs/>
      <w:kern w:val="2"/>
      <w:sz w:val="32"/>
      <w:szCs w:val="32"/>
    </w:rPr>
  </w:style>
  <w:style w:type="paragraph" w:customStyle="1" w:styleId="32">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9"/>
    <w:link w:val="10"/>
    <w:semiHidden/>
    <w:qFormat/>
    <w:uiPriority w:val="99"/>
    <w:rPr>
      <w:rFonts w:ascii="Times New Roman" w:hAnsi="Times New Roman"/>
      <w:kern w:val="2"/>
      <w:sz w:val="18"/>
      <w:szCs w:val="18"/>
    </w:rPr>
  </w:style>
  <w:style w:type="character" w:customStyle="1" w:styleId="34">
    <w:name w:val="标题 3 字符"/>
    <w:basedOn w:val="19"/>
    <w:link w:val="7"/>
    <w:qFormat/>
    <w:uiPriority w:val="9"/>
    <w:rPr>
      <w:rFonts w:ascii="Times New Roman" w:hAnsi="Times New Roman"/>
      <w:b/>
      <w:bCs/>
      <w:kern w:val="2"/>
      <w:sz w:val="32"/>
      <w:szCs w:val="32"/>
    </w:rPr>
  </w:style>
  <w:style w:type="paragraph" w:customStyle="1" w:styleId="35">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文本块1"/>
    <w:qFormat/>
    <w:uiPriority w:val="0"/>
    <w:pPr>
      <w:widowControl w:val="0"/>
      <w:ind w:left="1440" w:leftChars="700" w:right="700" w:rightChars="700"/>
      <w:jc w:val="both"/>
    </w:pPr>
    <w:rPr>
      <w:rFonts w:ascii="Times New Roman" w:hAnsi="Times New Roman" w:eastAsia="方正小标宋_GBK"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54</Pages>
  <Words>21573</Words>
  <Characters>22646</Characters>
  <Lines>72</Lines>
  <Paragraphs>20</Paragraphs>
  <TotalTime>26</TotalTime>
  <ScaleCrop>false</ScaleCrop>
  <LinksUpToDate>false</LinksUpToDate>
  <CharactersWithSpaces>22755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邱天珍</cp:lastModifiedBy>
  <cp:lastPrinted>2023-08-03T10:35:00Z</cp:lastPrinted>
  <dcterms:modified xsi:type="dcterms:W3CDTF">2024-10-24T09:23:02Z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2033E8379FF2447BB1A3C3BC7002E821</vt:lpwstr>
  </property>
</Properties>
</file>