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C9D7D">
      <w:pPr>
        <w:spacing w:line="600" w:lineRule="exact"/>
        <w:jc w:val="center"/>
        <w:outlineLvl w:val="0"/>
        <w:rPr>
          <w:rFonts w:ascii="方正小标宋简体" w:hAnsi="宋体" w:eastAsia="方正小标宋简体"/>
          <w:sz w:val="72"/>
          <w:szCs w:val="72"/>
        </w:rPr>
      </w:pPr>
      <w:bookmarkStart w:id="0" w:name="_Toc15306267"/>
    </w:p>
    <w:p w14:paraId="26F00DA1">
      <w:pPr>
        <w:spacing w:line="600" w:lineRule="exact"/>
        <w:jc w:val="center"/>
        <w:outlineLvl w:val="0"/>
        <w:rPr>
          <w:rFonts w:ascii="方正小标宋简体" w:hAnsi="宋体" w:eastAsia="方正小标宋简体"/>
          <w:sz w:val="72"/>
          <w:szCs w:val="72"/>
        </w:rPr>
      </w:pPr>
    </w:p>
    <w:p w14:paraId="0E3DE810">
      <w:pPr>
        <w:spacing w:line="600" w:lineRule="exact"/>
        <w:jc w:val="center"/>
        <w:outlineLvl w:val="0"/>
        <w:rPr>
          <w:rFonts w:ascii="方正小标宋简体" w:hAnsi="宋体" w:eastAsia="方正小标宋简体"/>
          <w:sz w:val="72"/>
          <w:szCs w:val="72"/>
        </w:rPr>
      </w:pPr>
    </w:p>
    <w:p w14:paraId="32279AD0">
      <w:pPr>
        <w:spacing w:line="600" w:lineRule="exact"/>
        <w:jc w:val="center"/>
        <w:outlineLvl w:val="0"/>
        <w:rPr>
          <w:rFonts w:ascii="方正小标宋简体" w:hAnsi="宋体" w:eastAsia="方正小标宋简体"/>
          <w:sz w:val="72"/>
          <w:szCs w:val="72"/>
        </w:rPr>
      </w:pPr>
    </w:p>
    <w:p w14:paraId="39EA05C8">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96475"/>
      <w:bookmarkStart w:id="3" w:name="_Toc15377425"/>
      <w:bookmarkStart w:id="4" w:name="_Toc15378441"/>
      <w:bookmarkStart w:id="5" w:name="_Toc15377193"/>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14:paraId="3ECEEAA0">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78442"/>
      <w:bookmarkStart w:id="8" w:name="_Toc15396476"/>
      <w:bookmarkStart w:id="9" w:name="_Toc15396598"/>
      <w:bookmarkStart w:id="10" w:name="_Toc1537742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w:t>
      </w:r>
    </w:p>
    <w:p w14:paraId="1B2EF447">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西区卫生健康局</w:t>
      </w:r>
      <w:r>
        <w:rPr>
          <w:rFonts w:hint="eastAsia" w:ascii="方正小标宋简体" w:hAnsi="方正小标宋简体" w:eastAsia="方正小标宋简体" w:cs="方正小标宋简体"/>
          <w:sz w:val="72"/>
          <w:szCs w:val="72"/>
          <w:lang w:eastAsia="zh-CN"/>
        </w:rPr>
        <w:t>单位</w:t>
      </w:r>
      <w:bookmarkStart w:id="65" w:name="_GoBack"/>
      <w:bookmarkEnd w:id="65"/>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14:paraId="74AD0EA0">
      <w:pPr>
        <w:adjustRightInd w:val="0"/>
        <w:snapToGrid w:val="0"/>
        <w:spacing w:line="360" w:lineRule="auto"/>
        <w:jc w:val="center"/>
        <w:outlineLvl w:val="0"/>
        <w:rPr>
          <w:rFonts w:ascii="方正小标宋简体" w:hAnsi="宋体" w:eastAsia="方正小标宋简体"/>
          <w:sz w:val="52"/>
          <w:szCs w:val="52"/>
        </w:rPr>
      </w:pPr>
    </w:p>
    <w:p w14:paraId="38963FD5">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4AA344B3">
      <w:pPr>
        <w:widowControl/>
        <w:jc w:val="center"/>
        <w:rPr>
          <w:rFonts w:ascii="黑体" w:hAnsi="黑体" w:eastAsia="黑体"/>
          <w:sz w:val="28"/>
          <w:szCs w:val="28"/>
        </w:rPr>
      </w:pPr>
    </w:p>
    <w:p w14:paraId="50D69A62">
      <w:pPr>
        <w:pStyle w:val="23"/>
      </w:pPr>
      <w:r>
        <w:rPr>
          <w:rFonts w:hint="eastAsia"/>
        </w:rPr>
        <w:t>公开时间：2023年10月</w:t>
      </w:r>
      <w:r>
        <w:t>31</w:t>
      </w:r>
      <w:r>
        <w:rPr>
          <w:rFonts w:hint="eastAsia"/>
        </w:rPr>
        <w:t>日</w:t>
      </w:r>
    </w:p>
    <w:p w14:paraId="43A6C65A"/>
    <w:p w14:paraId="2EFE4983">
      <w:pPr>
        <w:pStyle w:val="23"/>
        <w:adjustRightInd w:val="0"/>
        <w:spacing w:before="0" w:line="440" w:lineRule="exact"/>
        <w:jc w:val="distribute"/>
        <w:rPr>
          <w:sz w:val="30"/>
          <w:szCs w:val="30"/>
        </w:rPr>
      </w:pPr>
      <w:r>
        <w:rPr>
          <w:rFonts w:hint="eastAsia"/>
          <w:sz w:val="30"/>
          <w:szCs w:val="30"/>
        </w:rPr>
        <w:t>第一部分 单位概况……………………………………………4</w:t>
      </w:r>
    </w:p>
    <w:p w14:paraId="18598646">
      <w:pPr>
        <w:pStyle w:val="24"/>
        <w:adjustRightInd w:val="0"/>
        <w:spacing w:line="440" w:lineRule="exact"/>
        <w:jc w:val="distribute"/>
        <w:rPr>
          <w:rFonts w:ascii="仿宋_GB2312" w:eastAsia="仿宋_GB2312"/>
          <w:sz w:val="30"/>
          <w:szCs w:val="30"/>
        </w:rPr>
      </w:pPr>
      <w:r>
        <w:rPr>
          <w:rFonts w:hint="eastAsia" w:ascii="仿宋_GB2312" w:eastAsia="仿宋_GB2312"/>
          <w:sz w:val="30"/>
          <w:szCs w:val="30"/>
        </w:rPr>
        <w:t>一、主要职责…………………………………………………4</w:t>
      </w:r>
    </w:p>
    <w:p w14:paraId="3FDF4CB7">
      <w:pPr>
        <w:pStyle w:val="24"/>
        <w:adjustRightInd w:val="0"/>
        <w:spacing w:line="440" w:lineRule="exact"/>
        <w:jc w:val="distribute"/>
        <w:rPr>
          <w:rFonts w:ascii="仿宋_GB2312" w:eastAsia="仿宋_GB2312"/>
          <w:sz w:val="30"/>
          <w:szCs w:val="30"/>
        </w:rPr>
      </w:pPr>
      <w:r>
        <w:rPr>
          <w:rFonts w:hint="eastAsia" w:ascii="仿宋_GB2312" w:eastAsia="仿宋_GB2312"/>
          <w:sz w:val="30"/>
          <w:szCs w:val="30"/>
        </w:rPr>
        <w:t>二、机构设置……………………………………………………7</w:t>
      </w:r>
    </w:p>
    <w:p w14:paraId="25215D2B">
      <w:pPr>
        <w:pStyle w:val="23"/>
        <w:adjustRightInd w:val="0"/>
        <w:spacing w:before="0" w:line="440" w:lineRule="exact"/>
        <w:jc w:val="distribute"/>
        <w:rPr>
          <w:sz w:val="30"/>
          <w:szCs w:val="30"/>
        </w:rPr>
      </w:pPr>
      <w:r>
        <w:rPr>
          <w:rFonts w:hint="eastAsia"/>
          <w:sz w:val="30"/>
          <w:szCs w:val="30"/>
        </w:rPr>
        <w:t>第二部分 2022年度单位决算情况说明…………………………8</w:t>
      </w:r>
    </w:p>
    <w:p w14:paraId="1C402FF4">
      <w:pPr>
        <w:pStyle w:val="24"/>
        <w:adjustRightInd w:val="0"/>
        <w:spacing w:line="440" w:lineRule="exact"/>
        <w:jc w:val="distribute"/>
        <w:rPr>
          <w:rFonts w:ascii="仿宋_GB2312" w:hAnsi="仿宋" w:eastAsia="仿宋_GB2312"/>
          <w:sz w:val="30"/>
          <w:szCs w:val="30"/>
        </w:rPr>
      </w:pPr>
      <w:r>
        <w:rPr>
          <w:rFonts w:hint="eastAsia" w:ascii="仿宋_GB2312" w:eastAsia="仿宋_GB2312"/>
          <w:sz w:val="30"/>
          <w:szCs w:val="30"/>
        </w:rPr>
        <w:t>一、收入支出决算总体情况说明………………………………8</w:t>
      </w:r>
    </w:p>
    <w:p w14:paraId="7BF75F1A">
      <w:pPr>
        <w:pStyle w:val="24"/>
        <w:adjustRightInd w:val="0"/>
        <w:spacing w:line="440" w:lineRule="exact"/>
        <w:jc w:val="distribute"/>
        <w:rPr>
          <w:rFonts w:ascii="仿宋_GB2312" w:hAnsi="仿宋" w:eastAsia="仿宋_GB2312"/>
          <w:sz w:val="30"/>
          <w:szCs w:val="30"/>
        </w:rPr>
      </w:pPr>
      <w:r>
        <w:rPr>
          <w:rFonts w:hint="eastAsia" w:ascii="仿宋_GB2312" w:eastAsia="仿宋_GB2312"/>
          <w:sz w:val="30"/>
          <w:szCs w:val="30"/>
        </w:rPr>
        <w:t>二、收入决算情况说明…………………………………………8</w:t>
      </w:r>
    </w:p>
    <w:p w14:paraId="485133C6">
      <w:pPr>
        <w:pStyle w:val="24"/>
        <w:adjustRightInd w:val="0"/>
        <w:spacing w:line="440" w:lineRule="exact"/>
        <w:jc w:val="distribute"/>
        <w:rPr>
          <w:rFonts w:ascii="仿宋_GB2312" w:hAnsi="仿宋" w:eastAsia="仿宋_GB2312"/>
          <w:sz w:val="30"/>
          <w:szCs w:val="30"/>
        </w:rPr>
      </w:pPr>
      <w:r>
        <w:rPr>
          <w:rFonts w:hint="eastAsia" w:ascii="仿宋_GB2312" w:eastAsia="仿宋_GB2312"/>
          <w:sz w:val="30"/>
          <w:szCs w:val="30"/>
        </w:rPr>
        <w:t>三、支出决算情况说明…………………………………………9</w:t>
      </w:r>
    </w:p>
    <w:p w14:paraId="029C4490">
      <w:pPr>
        <w:pStyle w:val="24"/>
        <w:adjustRightInd w:val="0"/>
        <w:spacing w:line="440" w:lineRule="exact"/>
        <w:jc w:val="distribute"/>
        <w:rPr>
          <w:rFonts w:ascii="仿宋_GB2312" w:hAnsi="仿宋" w:eastAsia="仿宋_GB2312"/>
          <w:sz w:val="30"/>
          <w:szCs w:val="30"/>
        </w:rPr>
      </w:pPr>
      <w:r>
        <w:rPr>
          <w:rFonts w:hint="eastAsia" w:ascii="仿宋_GB2312" w:eastAsia="仿宋_GB2312"/>
          <w:sz w:val="30"/>
          <w:szCs w:val="30"/>
        </w:rPr>
        <w:t>四、财政拨款收入支出决算总体情况说明……………………9</w:t>
      </w:r>
    </w:p>
    <w:p w14:paraId="56DF167E">
      <w:pPr>
        <w:pStyle w:val="24"/>
        <w:adjustRightInd w:val="0"/>
        <w:spacing w:line="440" w:lineRule="exact"/>
        <w:jc w:val="distribute"/>
        <w:rPr>
          <w:rFonts w:ascii="仿宋_GB2312" w:hAnsi="仿宋" w:eastAsia="仿宋_GB2312"/>
          <w:sz w:val="30"/>
          <w:szCs w:val="30"/>
        </w:rPr>
      </w:pPr>
      <w:r>
        <w:rPr>
          <w:rFonts w:hint="eastAsia" w:ascii="仿宋_GB2312" w:eastAsia="仿宋_GB2312"/>
          <w:sz w:val="30"/>
          <w:szCs w:val="30"/>
        </w:rPr>
        <w:t>五、一般公共预算财政拨款支出决算情况说明………………9</w:t>
      </w:r>
    </w:p>
    <w:p w14:paraId="5955AC7E">
      <w:pPr>
        <w:pStyle w:val="24"/>
        <w:adjustRightInd w:val="0"/>
        <w:spacing w:line="440" w:lineRule="exact"/>
        <w:jc w:val="distribute"/>
        <w:rPr>
          <w:rFonts w:ascii="仿宋_GB2312" w:hAnsi="仿宋" w:eastAsia="仿宋_GB2312"/>
          <w:sz w:val="30"/>
          <w:szCs w:val="30"/>
        </w:rPr>
      </w:pPr>
      <w:r>
        <w:rPr>
          <w:rFonts w:hint="eastAsia" w:ascii="仿宋_GB2312" w:eastAsia="仿宋_GB2312"/>
          <w:sz w:val="30"/>
          <w:szCs w:val="30"/>
        </w:rPr>
        <w:t>六、一般公共预算财政拨款基本支出决算情况说明………1</w:t>
      </w:r>
      <w:r>
        <w:rPr>
          <w:rFonts w:ascii="仿宋_GB2312" w:eastAsia="仿宋_GB2312"/>
          <w:sz w:val="30"/>
          <w:szCs w:val="30"/>
        </w:rPr>
        <w:t>2</w:t>
      </w:r>
    </w:p>
    <w:p w14:paraId="3CBFCAB2">
      <w:pPr>
        <w:pStyle w:val="24"/>
        <w:adjustRightInd w:val="0"/>
        <w:spacing w:line="440" w:lineRule="exact"/>
        <w:jc w:val="distribute"/>
        <w:rPr>
          <w:rFonts w:ascii="仿宋_GB2312" w:hAnsi="仿宋" w:eastAsia="仿宋_GB2312"/>
          <w:sz w:val="30"/>
          <w:szCs w:val="30"/>
        </w:rPr>
      </w:pPr>
      <w:r>
        <w:rPr>
          <w:rFonts w:hint="eastAsia" w:ascii="仿宋_GB2312" w:eastAsia="仿宋_GB2312"/>
          <w:sz w:val="30"/>
          <w:szCs w:val="30"/>
        </w:rPr>
        <w:t>七、“三公”经费财政拨款支出决算情况说明………………12</w:t>
      </w:r>
    </w:p>
    <w:p w14:paraId="69F1424D">
      <w:pPr>
        <w:pStyle w:val="24"/>
        <w:adjustRightInd w:val="0"/>
        <w:spacing w:line="440" w:lineRule="exact"/>
        <w:jc w:val="distribute"/>
        <w:rPr>
          <w:rFonts w:ascii="仿宋_GB2312" w:hAnsi="仿宋" w:eastAsia="仿宋_GB2312"/>
          <w:sz w:val="30"/>
          <w:szCs w:val="30"/>
        </w:rPr>
      </w:pPr>
      <w:r>
        <w:rPr>
          <w:rFonts w:hint="eastAsia" w:ascii="仿宋_GB2312" w:eastAsia="仿宋_GB2312"/>
          <w:sz w:val="30"/>
          <w:szCs w:val="30"/>
        </w:rPr>
        <w:t>八、政府性基金预算支出决算情况说明……………………13</w:t>
      </w:r>
    </w:p>
    <w:p w14:paraId="6EEE3A75">
      <w:pPr>
        <w:pStyle w:val="24"/>
        <w:adjustRightInd w:val="0"/>
        <w:spacing w:line="440" w:lineRule="exact"/>
        <w:jc w:val="distribute"/>
        <w:rPr>
          <w:rFonts w:ascii="仿宋_GB2312" w:eastAsia="仿宋_GB2312"/>
          <w:sz w:val="30"/>
          <w:szCs w:val="30"/>
        </w:rPr>
      </w:pPr>
      <w:r>
        <w:rPr>
          <w:rFonts w:hint="eastAsia" w:ascii="仿宋_GB2312" w:eastAsia="仿宋_GB2312"/>
          <w:sz w:val="30"/>
          <w:szCs w:val="30"/>
        </w:rPr>
        <w:t>九、国有资本经营预算支出决算情况说明…………………14</w:t>
      </w:r>
    </w:p>
    <w:p w14:paraId="6A16A4DA">
      <w:pPr>
        <w:pStyle w:val="24"/>
        <w:adjustRightInd w:val="0"/>
        <w:spacing w:line="440" w:lineRule="exact"/>
        <w:jc w:val="distribute"/>
        <w:rPr>
          <w:rFonts w:ascii="仿宋_GB2312" w:eastAsia="仿宋_GB2312"/>
          <w:sz w:val="30"/>
          <w:szCs w:val="30"/>
        </w:rPr>
      </w:pPr>
      <w:r>
        <w:rPr>
          <w:rFonts w:hint="eastAsia" w:ascii="仿宋_GB2312" w:eastAsia="仿宋_GB2312"/>
          <w:sz w:val="30"/>
          <w:szCs w:val="30"/>
        </w:rPr>
        <w:t>十、其他重要事项的情况说明………………………………14</w:t>
      </w:r>
    </w:p>
    <w:p w14:paraId="726615DA">
      <w:pPr>
        <w:pStyle w:val="23"/>
        <w:adjustRightInd w:val="0"/>
        <w:spacing w:before="0" w:line="440" w:lineRule="exact"/>
        <w:jc w:val="distribute"/>
        <w:rPr>
          <w:sz w:val="30"/>
          <w:szCs w:val="30"/>
        </w:rPr>
      </w:pPr>
      <w:r>
        <w:rPr>
          <w:rFonts w:hint="eastAsia"/>
          <w:sz w:val="30"/>
          <w:szCs w:val="30"/>
        </w:rPr>
        <w:t>第三部分 名词解释………………………………………………16</w:t>
      </w:r>
    </w:p>
    <w:p w14:paraId="42109C08">
      <w:pPr>
        <w:pStyle w:val="23"/>
        <w:adjustRightInd w:val="0"/>
        <w:spacing w:before="0" w:line="440" w:lineRule="exact"/>
        <w:jc w:val="distribute"/>
        <w:rPr>
          <w:sz w:val="30"/>
          <w:szCs w:val="30"/>
        </w:rPr>
      </w:pPr>
      <w:r>
        <w:rPr>
          <w:rFonts w:hint="eastAsia"/>
          <w:sz w:val="30"/>
          <w:szCs w:val="30"/>
        </w:rPr>
        <w:t>第四部分 附件……………………………………………………19</w:t>
      </w:r>
    </w:p>
    <w:p w14:paraId="74222ADB">
      <w:pPr>
        <w:pStyle w:val="23"/>
        <w:adjustRightInd w:val="0"/>
        <w:spacing w:before="0" w:line="440" w:lineRule="exact"/>
        <w:jc w:val="distribute"/>
        <w:rPr>
          <w:sz w:val="30"/>
          <w:szCs w:val="30"/>
        </w:rPr>
      </w:pPr>
      <w:r>
        <w:rPr>
          <w:rFonts w:hint="eastAsia"/>
          <w:sz w:val="30"/>
          <w:szCs w:val="30"/>
        </w:rPr>
        <w:t>第五部分 附表……………………………………………………20</w:t>
      </w:r>
    </w:p>
    <w:p w14:paraId="5DECFE38">
      <w:pPr>
        <w:pStyle w:val="24"/>
        <w:adjustRightInd w:val="0"/>
        <w:snapToGrid w:val="0"/>
        <w:spacing w:line="440" w:lineRule="exact"/>
        <w:jc w:val="left"/>
        <w:rPr>
          <w:rFonts w:ascii="仿宋_GB2312" w:eastAsia="仿宋_GB2312"/>
          <w:sz w:val="30"/>
          <w:szCs w:val="30"/>
        </w:rPr>
      </w:pPr>
      <w:r>
        <w:rPr>
          <w:rFonts w:hint="eastAsia" w:ascii="仿宋_GB2312" w:eastAsia="仿宋_GB2312"/>
          <w:sz w:val="30"/>
          <w:szCs w:val="30"/>
        </w:rPr>
        <w:t>一、收入支出决算总表</w:t>
      </w:r>
    </w:p>
    <w:p w14:paraId="4D5F9F4F">
      <w:pPr>
        <w:pStyle w:val="24"/>
        <w:adjustRightInd w:val="0"/>
        <w:snapToGrid w:val="0"/>
        <w:spacing w:line="440" w:lineRule="exact"/>
        <w:jc w:val="left"/>
        <w:rPr>
          <w:rFonts w:ascii="仿宋_GB2312" w:eastAsia="仿宋_GB2312"/>
          <w:sz w:val="30"/>
          <w:szCs w:val="30"/>
        </w:rPr>
      </w:pPr>
      <w:r>
        <w:rPr>
          <w:rFonts w:hint="eastAsia" w:ascii="仿宋_GB2312" w:eastAsia="仿宋_GB2312"/>
          <w:sz w:val="30"/>
          <w:szCs w:val="30"/>
        </w:rPr>
        <w:t>二、收入决算表</w:t>
      </w:r>
    </w:p>
    <w:p w14:paraId="3CF66B8A">
      <w:pPr>
        <w:pStyle w:val="24"/>
        <w:adjustRightInd w:val="0"/>
        <w:snapToGrid w:val="0"/>
        <w:spacing w:line="440" w:lineRule="exact"/>
        <w:jc w:val="left"/>
        <w:rPr>
          <w:rFonts w:ascii="仿宋_GB2312" w:eastAsia="仿宋_GB2312"/>
          <w:sz w:val="30"/>
          <w:szCs w:val="30"/>
        </w:rPr>
      </w:pPr>
      <w:r>
        <w:rPr>
          <w:rFonts w:hint="eastAsia" w:ascii="仿宋_GB2312" w:eastAsia="仿宋_GB2312"/>
          <w:sz w:val="30"/>
          <w:szCs w:val="30"/>
        </w:rPr>
        <w:t>三、支出决算表</w:t>
      </w:r>
    </w:p>
    <w:p w14:paraId="3993A5CF">
      <w:pPr>
        <w:pStyle w:val="24"/>
        <w:adjustRightInd w:val="0"/>
        <w:snapToGrid w:val="0"/>
        <w:spacing w:line="440" w:lineRule="exact"/>
        <w:jc w:val="left"/>
        <w:rPr>
          <w:rFonts w:ascii="仿宋_GB2312" w:eastAsia="仿宋_GB2312"/>
          <w:sz w:val="30"/>
          <w:szCs w:val="30"/>
        </w:rPr>
      </w:pPr>
      <w:r>
        <w:rPr>
          <w:rFonts w:hint="eastAsia" w:ascii="仿宋_GB2312" w:eastAsia="仿宋_GB2312"/>
          <w:sz w:val="30"/>
          <w:szCs w:val="30"/>
        </w:rPr>
        <w:t>四、财政拨款收入支出决算总表</w:t>
      </w:r>
    </w:p>
    <w:p w14:paraId="063DEF08">
      <w:pPr>
        <w:pStyle w:val="24"/>
        <w:adjustRightInd w:val="0"/>
        <w:snapToGrid w:val="0"/>
        <w:spacing w:line="440" w:lineRule="exact"/>
        <w:jc w:val="left"/>
        <w:rPr>
          <w:rFonts w:ascii="仿宋_GB2312" w:eastAsia="仿宋_GB2312"/>
          <w:sz w:val="30"/>
          <w:szCs w:val="30"/>
        </w:rPr>
      </w:pPr>
      <w:r>
        <w:rPr>
          <w:rFonts w:hint="eastAsia" w:ascii="仿宋_GB2312" w:eastAsia="仿宋_GB2312"/>
          <w:sz w:val="30"/>
          <w:szCs w:val="30"/>
        </w:rPr>
        <w:t>五、财政拨款支出决算明细表</w:t>
      </w:r>
    </w:p>
    <w:p w14:paraId="21B1A723">
      <w:pPr>
        <w:pStyle w:val="24"/>
        <w:adjustRightInd w:val="0"/>
        <w:snapToGrid w:val="0"/>
        <w:spacing w:line="440" w:lineRule="exact"/>
        <w:jc w:val="left"/>
        <w:rPr>
          <w:rFonts w:ascii="仿宋_GB2312" w:eastAsia="仿宋_GB2312"/>
          <w:sz w:val="30"/>
          <w:szCs w:val="30"/>
        </w:rPr>
      </w:pPr>
      <w:r>
        <w:rPr>
          <w:rFonts w:hint="eastAsia" w:ascii="仿宋_GB2312" w:eastAsia="仿宋_GB2312"/>
          <w:sz w:val="30"/>
          <w:szCs w:val="30"/>
        </w:rPr>
        <w:t>六、一般公共预算财政拨款支出决算表</w:t>
      </w:r>
    </w:p>
    <w:p w14:paraId="501945A0">
      <w:pPr>
        <w:pStyle w:val="24"/>
        <w:adjustRightInd w:val="0"/>
        <w:snapToGrid w:val="0"/>
        <w:spacing w:line="440" w:lineRule="exact"/>
        <w:jc w:val="left"/>
        <w:rPr>
          <w:rFonts w:ascii="仿宋_GB2312" w:eastAsia="仿宋_GB2312"/>
          <w:sz w:val="30"/>
          <w:szCs w:val="30"/>
        </w:rPr>
      </w:pPr>
      <w:r>
        <w:rPr>
          <w:rFonts w:hint="eastAsia" w:ascii="仿宋_GB2312" w:eastAsia="仿宋_GB2312"/>
          <w:sz w:val="30"/>
          <w:szCs w:val="30"/>
        </w:rPr>
        <w:t>七、一般公共预算财政拨款支出决算明细表</w:t>
      </w:r>
    </w:p>
    <w:p w14:paraId="135FE83E">
      <w:pPr>
        <w:pStyle w:val="24"/>
        <w:adjustRightInd w:val="0"/>
        <w:snapToGrid w:val="0"/>
        <w:spacing w:line="440" w:lineRule="exact"/>
        <w:jc w:val="left"/>
        <w:rPr>
          <w:rFonts w:ascii="仿宋_GB2312" w:eastAsia="仿宋_GB2312"/>
          <w:sz w:val="30"/>
          <w:szCs w:val="30"/>
        </w:rPr>
      </w:pPr>
      <w:r>
        <w:rPr>
          <w:rFonts w:hint="eastAsia" w:ascii="仿宋_GB2312" w:eastAsia="仿宋_GB2312"/>
          <w:sz w:val="30"/>
          <w:szCs w:val="30"/>
        </w:rPr>
        <w:t>八、一般公共预算财政拨款基本支出决算表</w:t>
      </w:r>
    </w:p>
    <w:p w14:paraId="1ED108C4">
      <w:pPr>
        <w:pStyle w:val="24"/>
        <w:adjustRightInd w:val="0"/>
        <w:snapToGrid w:val="0"/>
        <w:spacing w:line="440" w:lineRule="exact"/>
        <w:jc w:val="left"/>
        <w:rPr>
          <w:rFonts w:ascii="仿宋_GB2312" w:eastAsia="仿宋_GB2312"/>
          <w:sz w:val="30"/>
          <w:szCs w:val="30"/>
        </w:rPr>
      </w:pPr>
      <w:r>
        <w:rPr>
          <w:rFonts w:hint="eastAsia" w:ascii="仿宋_GB2312" w:eastAsia="仿宋_GB2312"/>
          <w:sz w:val="30"/>
          <w:szCs w:val="30"/>
        </w:rPr>
        <w:t>九、一般公共预算财政拨款项目支出决算表</w:t>
      </w:r>
    </w:p>
    <w:p w14:paraId="2BD13F64">
      <w:pPr>
        <w:pStyle w:val="24"/>
        <w:adjustRightInd w:val="0"/>
        <w:snapToGrid w:val="0"/>
        <w:spacing w:line="440" w:lineRule="exact"/>
        <w:jc w:val="left"/>
        <w:rPr>
          <w:rFonts w:ascii="仿宋_GB2312" w:eastAsia="仿宋_GB2312"/>
          <w:sz w:val="30"/>
          <w:szCs w:val="30"/>
        </w:rPr>
      </w:pPr>
      <w:r>
        <w:rPr>
          <w:rFonts w:hint="eastAsia" w:ascii="仿宋_GB2312" w:eastAsia="仿宋_GB2312"/>
          <w:sz w:val="30"/>
          <w:szCs w:val="30"/>
        </w:rPr>
        <w:t>十、政府性基金预算财政拨款收入支出决算表</w:t>
      </w:r>
    </w:p>
    <w:p w14:paraId="4F5198D3">
      <w:pPr>
        <w:pStyle w:val="24"/>
        <w:adjustRightInd w:val="0"/>
        <w:snapToGrid w:val="0"/>
        <w:spacing w:line="440" w:lineRule="exact"/>
        <w:jc w:val="left"/>
        <w:rPr>
          <w:rFonts w:ascii="仿宋_GB2312" w:eastAsia="仿宋_GB2312"/>
          <w:sz w:val="30"/>
          <w:szCs w:val="30"/>
        </w:rPr>
      </w:pPr>
      <w:r>
        <w:rPr>
          <w:rFonts w:hint="eastAsia" w:ascii="仿宋_GB2312" w:eastAsia="仿宋_GB2312"/>
          <w:sz w:val="30"/>
          <w:szCs w:val="30"/>
        </w:rPr>
        <w:t>十一、国有资本经营预算财政拨款收入支出决算表</w:t>
      </w:r>
    </w:p>
    <w:p w14:paraId="0D47DA1E">
      <w:pPr>
        <w:pStyle w:val="24"/>
        <w:adjustRightInd w:val="0"/>
        <w:snapToGrid w:val="0"/>
        <w:spacing w:line="440" w:lineRule="exact"/>
        <w:jc w:val="left"/>
        <w:rPr>
          <w:rFonts w:ascii="仿宋_GB2312" w:eastAsia="仿宋_GB2312"/>
          <w:sz w:val="30"/>
          <w:szCs w:val="30"/>
        </w:rPr>
      </w:pPr>
      <w:r>
        <w:rPr>
          <w:rFonts w:hint="eastAsia" w:ascii="仿宋_GB2312" w:eastAsia="仿宋_GB2312"/>
          <w:sz w:val="30"/>
          <w:szCs w:val="30"/>
        </w:rPr>
        <w:t>十二、国有资本经营预算财政拨款支出决算表</w:t>
      </w:r>
    </w:p>
    <w:p w14:paraId="34D299C1">
      <w:pPr>
        <w:pStyle w:val="24"/>
        <w:adjustRightInd w:val="0"/>
        <w:snapToGrid w:val="0"/>
        <w:spacing w:line="440" w:lineRule="exact"/>
        <w:jc w:val="left"/>
        <w:rPr>
          <w:rFonts w:ascii="仿宋_GB2312" w:eastAsia="仿宋_GB2312"/>
          <w:sz w:val="30"/>
          <w:szCs w:val="30"/>
        </w:rPr>
      </w:pPr>
      <w:r>
        <w:rPr>
          <w:rFonts w:hint="eastAsia" w:ascii="仿宋_GB2312" w:eastAsia="仿宋_GB2312"/>
          <w:sz w:val="30"/>
          <w:szCs w:val="30"/>
        </w:rPr>
        <w:t>十三、财政拨款“三公”经费支出决算表</w:t>
      </w:r>
    </w:p>
    <w:p w14:paraId="41D56990">
      <w:pPr>
        <w:pStyle w:val="24"/>
        <w:adjustRightInd w:val="0"/>
        <w:snapToGrid w:val="0"/>
        <w:spacing w:line="440" w:lineRule="exact"/>
        <w:jc w:val="left"/>
        <w:rPr>
          <w:rFonts w:ascii="仿宋_GB2312" w:eastAsia="仿宋_GB2312"/>
          <w:sz w:val="30"/>
          <w:szCs w:val="30"/>
        </w:rPr>
      </w:pPr>
    </w:p>
    <w:p w14:paraId="2F6E693E">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464050CF">
      <w:pPr>
        <w:pStyle w:val="3"/>
        <w:jc w:val="center"/>
        <w:rPr>
          <w:rStyle w:val="16"/>
          <w:rFonts w:ascii="黑体" w:hAnsi="黑体" w:eastAsia="黑体"/>
          <w:b w:val="0"/>
          <w:bCs w:val="0"/>
        </w:rPr>
      </w:pPr>
      <w:r>
        <w:rPr>
          <w:rFonts w:hint="eastAsia" w:ascii="黑体" w:hAnsi="黑体" w:eastAsia="黑体"/>
          <w:b w:val="0"/>
        </w:rPr>
        <w:t>第一部分 单位</w:t>
      </w:r>
      <w:r>
        <w:rPr>
          <w:rStyle w:val="16"/>
          <w:rFonts w:hint="eastAsia" w:ascii="黑体" w:hAnsi="黑体" w:eastAsia="黑体"/>
          <w:b w:val="0"/>
          <w:bCs w:val="0"/>
        </w:rPr>
        <w:t>概况</w:t>
      </w:r>
      <w:bookmarkEnd w:id="12"/>
      <w:bookmarkEnd w:id="13"/>
    </w:p>
    <w:p w14:paraId="56301051">
      <w:pPr>
        <w:pStyle w:val="4"/>
        <w:rPr>
          <w:rStyle w:val="17"/>
          <w:rFonts w:ascii="黑体" w:hAnsi="黑体" w:eastAsia="黑体"/>
          <w:b w:val="0"/>
          <w:bCs w:val="0"/>
        </w:rPr>
      </w:pPr>
      <w:bookmarkStart w:id="14" w:name="_Toc15377197"/>
      <w:bookmarkStart w:id="15" w:name="_Toc15396600"/>
      <w:r>
        <w:rPr>
          <w:rStyle w:val="17"/>
          <w:rFonts w:hint="eastAsia" w:ascii="黑体" w:hAnsi="黑体" w:eastAsia="黑体"/>
          <w:b w:val="0"/>
          <w:bCs w:val="0"/>
        </w:rPr>
        <w:t xml:space="preserve">    一、主要职责</w:t>
      </w:r>
    </w:p>
    <w:p w14:paraId="00C12897">
      <w:pPr>
        <w:ind w:firstLine="640" w:firstLineChars="200"/>
        <w:rPr>
          <w:rFonts w:ascii="仿宋_GB2312" w:eastAsia="仿宋_GB2312"/>
          <w:color w:val="000000"/>
          <w:sz w:val="32"/>
          <w:szCs w:val="32"/>
        </w:rPr>
      </w:pPr>
      <w:r>
        <w:rPr>
          <w:rFonts w:hint="eastAsia" w:ascii="仿宋_GB2312" w:eastAsia="仿宋_GB2312"/>
          <w:color w:val="000000"/>
          <w:sz w:val="32"/>
          <w:szCs w:val="32"/>
        </w:rPr>
        <w:t>1.组织拟订全区卫生健康政策。负责拟订卫生健康事业发展政策、规划并组织实施。统筹规划全区卫生健康资源配置。制定并组织实施推进卫生健康基本公共服务均等化、普惠化、便捷化和公共资源向基层延伸等政策措施。</w:t>
      </w:r>
    </w:p>
    <w:p w14:paraId="68E12987">
      <w:pPr>
        <w:ind w:firstLine="640" w:firstLineChars="200"/>
        <w:rPr>
          <w:rFonts w:ascii="仿宋_GB2312" w:eastAsia="仿宋_GB2312"/>
          <w:color w:val="000000"/>
          <w:sz w:val="32"/>
          <w:szCs w:val="32"/>
        </w:rPr>
      </w:pPr>
      <w:r>
        <w:rPr>
          <w:rFonts w:hint="eastAsia" w:ascii="仿宋_GB2312" w:eastAsia="仿宋_GB2312"/>
          <w:color w:val="000000"/>
          <w:sz w:val="32"/>
          <w:szCs w:val="32"/>
        </w:rPr>
        <w:t>2.牵头推进全区深化医药卫生体制改革。研究提出深化改革重大政策、措施的建议。配合开展深化公立医院综合改革。制定并组织实施推动卫生健康公共服务提供主体多元化、方式多样化的政策措施。</w:t>
      </w:r>
    </w:p>
    <w:p w14:paraId="6767D938">
      <w:pPr>
        <w:ind w:firstLine="640" w:firstLineChars="200"/>
        <w:rPr>
          <w:rFonts w:ascii="仿宋_GB2312" w:eastAsia="仿宋_GB2312"/>
          <w:color w:val="000000"/>
          <w:sz w:val="32"/>
          <w:szCs w:val="32"/>
        </w:rPr>
      </w:pPr>
      <w:r>
        <w:rPr>
          <w:rFonts w:hint="eastAsia" w:ascii="仿宋_GB2312" w:eastAsia="仿宋_GB2312"/>
          <w:color w:val="000000"/>
          <w:sz w:val="32"/>
          <w:szCs w:val="32"/>
        </w:rPr>
        <w:t>3.制定并组织落实全区疾病预防控制规划、免疫规划以及严重危害人民健康的艾滋病等重大传染病、寄生虫病、地方病等公共卫生问题的干预措施。负责全区卫生应急工作，组织和指导全区突发公共卫生事件预防控制和各类突发公共事件的医疗卫生救援。收集、报告法定传染病疫情信息、突发公共卫生事件应急处置信息。依照国家检疫传染病和监测传染病目录，参与开展检疫监测工作。</w:t>
      </w:r>
    </w:p>
    <w:p w14:paraId="4C2610D7">
      <w:pPr>
        <w:ind w:firstLine="640" w:firstLineChars="200"/>
        <w:rPr>
          <w:rFonts w:ascii="仿宋_GB2312" w:eastAsia="仿宋_GB2312"/>
          <w:color w:val="000000"/>
          <w:sz w:val="32"/>
          <w:szCs w:val="32"/>
        </w:rPr>
      </w:pPr>
      <w:r>
        <w:rPr>
          <w:rFonts w:hint="eastAsia" w:ascii="仿宋_GB2312" w:eastAsia="仿宋_GB2312"/>
          <w:color w:val="000000"/>
          <w:sz w:val="32"/>
          <w:szCs w:val="32"/>
        </w:rPr>
        <w:t>4.贯彻落实国家应对人口老龄化政策措施。负责推进老年健康服务体系建设和医养结合工作。承担区老龄工作委员会日常工作。</w:t>
      </w:r>
    </w:p>
    <w:p w14:paraId="71D55700">
      <w:pPr>
        <w:ind w:firstLine="640" w:firstLineChars="200"/>
        <w:rPr>
          <w:rFonts w:ascii="仿宋_GB2312" w:eastAsia="仿宋_GB2312"/>
          <w:color w:val="000000"/>
          <w:sz w:val="32"/>
          <w:szCs w:val="32"/>
        </w:rPr>
      </w:pPr>
      <w:r>
        <w:rPr>
          <w:rFonts w:hint="eastAsia" w:ascii="仿宋_GB2312" w:eastAsia="仿宋_GB2312"/>
          <w:color w:val="000000"/>
          <w:sz w:val="32"/>
          <w:szCs w:val="32"/>
        </w:rPr>
        <w:t>5.贯彻落实国家药物政策和国家基本药物制度。开展药械使用监测、临床综合评价和短缺药品预警，组织执行国家药典和国家基本药物目录，制定基本药物使用的政策措施。</w:t>
      </w:r>
    </w:p>
    <w:p w14:paraId="6375856A">
      <w:pPr>
        <w:ind w:firstLine="640" w:firstLineChars="200"/>
        <w:rPr>
          <w:rFonts w:ascii="仿宋_GB2312" w:eastAsia="仿宋_GB2312"/>
          <w:color w:val="000000"/>
          <w:sz w:val="32"/>
          <w:szCs w:val="32"/>
        </w:rPr>
      </w:pPr>
      <w:r>
        <w:rPr>
          <w:rFonts w:hint="eastAsia" w:ascii="仿宋_GB2312" w:eastAsia="仿宋_GB2312"/>
          <w:color w:val="000000"/>
          <w:sz w:val="32"/>
          <w:szCs w:val="32"/>
        </w:rPr>
        <w:t>6.组织实施食品安全风险监测，开展食品安全企业标准备案，组织开展食品安全事故流行病学调查。</w:t>
      </w:r>
    </w:p>
    <w:p w14:paraId="271FF344">
      <w:pPr>
        <w:ind w:firstLine="640" w:firstLineChars="200"/>
        <w:rPr>
          <w:rFonts w:ascii="仿宋_GB2312" w:eastAsia="仿宋_GB2312"/>
          <w:color w:val="000000"/>
          <w:sz w:val="32"/>
          <w:szCs w:val="32"/>
        </w:rPr>
      </w:pPr>
      <w:r>
        <w:rPr>
          <w:rFonts w:hint="eastAsia" w:ascii="仿宋_GB2312" w:eastAsia="仿宋_GB2312"/>
          <w:color w:val="000000"/>
          <w:sz w:val="32"/>
          <w:szCs w:val="32"/>
        </w:rPr>
        <w:t>7.负责职责范围内的职业卫生、放射卫生、环境卫生、学校卫生、公共场所卫生、饮用水卫生等公共卫生的监督管理。负责传染病防治监督，健全卫生健康综合监管体系。</w:t>
      </w:r>
    </w:p>
    <w:p w14:paraId="76C4B187">
      <w:pPr>
        <w:ind w:firstLine="640" w:firstLineChars="200"/>
        <w:rPr>
          <w:rFonts w:ascii="仿宋_GB2312" w:eastAsia="仿宋_GB2312"/>
          <w:color w:val="000000"/>
          <w:sz w:val="32"/>
          <w:szCs w:val="32"/>
        </w:rPr>
      </w:pPr>
      <w:r>
        <w:rPr>
          <w:rFonts w:hint="eastAsia" w:ascii="仿宋_GB2312" w:eastAsia="仿宋_GB2312"/>
          <w:color w:val="000000"/>
          <w:sz w:val="32"/>
          <w:szCs w:val="32"/>
        </w:rPr>
        <w:t>8.制定全区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p>
    <w:p w14:paraId="358FA17C">
      <w:pPr>
        <w:ind w:firstLine="640" w:firstLineChars="200"/>
        <w:rPr>
          <w:rFonts w:ascii="仿宋_GB2312" w:eastAsia="仿宋_GB2312"/>
          <w:color w:val="000000"/>
          <w:sz w:val="32"/>
          <w:szCs w:val="32"/>
        </w:rPr>
      </w:pPr>
      <w:r>
        <w:rPr>
          <w:rFonts w:hint="eastAsia" w:ascii="仿宋_GB2312" w:eastAsia="仿宋_GB2312"/>
          <w:color w:val="000000"/>
          <w:sz w:val="32"/>
          <w:szCs w:val="32"/>
        </w:rPr>
        <w:t>9.拟订全区中医药中长期发展规划，并纳入卫生健康事业发展总体规划和战略目标予以组织实施。</w:t>
      </w:r>
    </w:p>
    <w:p w14:paraId="4EEE84B9">
      <w:pPr>
        <w:ind w:firstLine="640" w:firstLineChars="200"/>
        <w:rPr>
          <w:rFonts w:ascii="仿宋_GB2312" w:eastAsia="仿宋_GB2312"/>
          <w:color w:val="000000"/>
          <w:sz w:val="32"/>
          <w:szCs w:val="32"/>
        </w:rPr>
      </w:pPr>
      <w:r>
        <w:rPr>
          <w:rFonts w:hint="eastAsia" w:ascii="仿宋_GB2312" w:eastAsia="仿宋_GB2312"/>
          <w:color w:val="000000"/>
          <w:sz w:val="32"/>
          <w:szCs w:val="32"/>
        </w:rPr>
        <w:t>10.负责全区计划生育管理和服务工作，开展人口监测预警，研究提出人口与家庭发展相关政策建议，执行计划生育政策。指导区计划生育协会的业务工作。</w:t>
      </w:r>
    </w:p>
    <w:p w14:paraId="15C62F64">
      <w:pPr>
        <w:ind w:firstLine="640" w:firstLineChars="200"/>
        <w:rPr>
          <w:rFonts w:ascii="仿宋_GB2312" w:eastAsia="仿宋_GB2312"/>
          <w:color w:val="000000"/>
          <w:sz w:val="32"/>
          <w:szCs w:val="32"/>
        </w:rPr>
      </w:pPr>
      <w:r>
        <w:rPr>
          <w:rFonts w:hint="eastAsia" w:ascii="仿宋_GB2312" w:eastAsia="仿宋_GB2312"/>
          <w:color w:val="000000"/>
          <w:sz w:val="32"/>
          <w:szCs w:val="32"/>
        </w:rPr>
        <w:t>11.指导全区卫生健康工作，指导基层医疗卫生、妇幼健康服务体系和基层卫生队伍建设。推进卫生健康科技创新发展。</w:t>
      </w:r>
    </w:p>
    <w:p w14:paraId="0C22CC4F">
      <w:pPr>
        <w:ind w:firstLine="640" w:firstLineChars="200"/>
        <w:rPr>
          <w:rFonts w:ascii="仿宋_GB2312" w:eastAsia="仿宋_GB2312"/>
          <w:color w:val="000000"/>
          <w:sz w:val="32"/>
          <w:szCs w:val="32"/>
        </w:rPr>
      </w:pPr>
      <w:r>
        <w:rPr>
          <w:rFonts w:hint="eastAsia" w:ascii="仿宋_GB2312" w:eastAsia="仿宋_GB2312"/>
          <w:color w:val="000000"/>
          <w:sz w:val="32"/>
          <w:szCs w:val="32"/>
        </w:rPr>
        <w:t>12.负责重要会议与重大活动的医疗卫生保障工作。</w:t>
      </w:r>
    </w:p>
    <w:p w14:paraId="5927029E">
      <w:pPr>
        <w:ind w:firstLine="640" w:firstLineChars="200"/>
        <w:rPr>
          <w:rFonts w:ascii="仿宋_GB2312" w:eastAsia="仿宋_GB2312"/>
          <w:color w:val="000000"/>
          <w:sz w:val="32"/>
          <w:szCs w:val="32"/>
        </w:rPr>
      </w:pPr>
      <w:r>
        <w:rPr>
          <w:rFonts w:hint="eastAsia" w:ascii="仿宋_GB2312" w:eastAsia="仿宋_GB2312"/>
          <w:color w:val="000000"/>
          <w:sz w:val="32"/>
          <w:szCs w:val="32"/>
        </w:rPr>
        <w:t>13.依法依规履行卫生健康行业安全生产监管职责，负责职责范围内的生态环境保护、审批服务便民化等工作。</w:t>
      </w:r>
    </w:p>
    <w:p w14:paraId="1D303A82">
      <w:pPr>
        <w:ind w:firstLine="640" w:firstLineChars="200"/>
        <w:rPr>
          <w:rFonts w:ascii="仿宋_GB2312" w:eastAsia="仿宋_GB2312"/>
          <w:color w:val="000000"/>
          <w:sz w:val="32"/>
          <w:szCs w:val="32"/>
        </w:rPr>
      </w:pPr>
      <w:r>
        <w:rPr>
          <w:rFonts w:hint="eastAsia" w:ascii="仿宋_GB2312" w:eastAsia="仿宋_GB2312"/>
          <w:color w:val="000000"/>
          <w:sz w:val="32"/>
          <w:szCs w:val="32"/>
        </w:rPr>
        <w:t>14.完成区委和区政府交办的其他任务。</w:t>
      </w:r>
    </w:p>
    <w:p w14:paraId="7103A866">
      <w:pPr>
        <w:ind w:firstLine="640" w:firstLineChars="200"/>
        <w:rPr>
          <w:rFonts w:ascii="仿宋_GB2312" w:eastAsia="仿宋_GB2312"/>
          <w:color w:val="000000"/>
          <w:sz w:val="32"/>
          <w:szCs w:val="32"/>
        </w:rPr>
      </w:pPr>
      <w:r>
        <w:rPr>
          <w:rFonts w:hint="eastAsia" w:ascii="仿宋_GB2312" w:eastAsia="仿宋_GB2312"/>
          <w:color w:val="000000"/>
          <w:sz w:val="32"/>
          <w:szCs w:val="32"/>
        </w:rPr>
        <w:t>15.职能转变</w:t>
      </w:r>
    </w:p>
    <w:p w14:paraId="7B8521E8">
      <w:pPr>
        <w:ind w:firstLine="640" w:firstLineChars="200"/>
        <w:rPr>
          <w:rFonts w:ascii="仿宋_GB2312" w:eastAsia="仿宋_GB2312"/>
          <w:color w:val="000000"/>
          <w:sz w:val="32"/>
          <w:szCs w:val="32"/>
        </w:rPr>
      </w:pPr>
      <w:r>
        <w:rPr>
          <w:rFonts w:hint="eastAsia" w:ascii="仿宋_GB2312" w:eastAsia="仿宋_GB2312"/>
          <w:color w:val="000000"/>
          <w:sz w:val="32"/>
          <w:szCs w:val="32"/>
        </w:rPr>
        <w:t>（1）牢固树立大卫生、大健康理念，推动实施健康中国、健康四川、健康攀枝花和健康西区战略，以改革创新为动力，以促健康、转模式、强基层、重保障为着力点，把以治病为中心转变到以人民健康为中心，为人民群众提供全方位全周期卫生健康服务。更加注重预防为主和健康促进，提高健康意识，加强爱国卫生运动工作，加强预防控制重大疾病工作，积极应对人口老龄化，健全卫生健康服务体系；更加注重卫生健康服务公平性和可及性，推动工作重心下移和资源下沉，推进卫生健康公共资源向基层延伸、向农村覆盖、向边远地区和生活困难群众倾斜；更加注重提高服务质量和水平，推动建设高质量健康服务基地和中医药强区；更加注重深化医药卫生体制改革的科学性和持续性，加快分级诊疗制度建设，加强医疗、医保、医药的联动改革。配合开展公立医院改革。</w:t>
      </w:r>
    </w:p>
    <w:p w14:paraId="5C1E1D99">
      <w:pPr>
        <w:ind w:firstLine="640" w:firstLineChars="200"/>
        <w:rPr>
          <w:rFonts w:ascii="仿宋_GB2312" w:eastAsia="仿宋_GB2312"/>
          <w:color w:val="000000"/>
          <w:sz w:val="32"/>
          <w:szCs w:val="32"/>
        </w:rPr>
      </w:pPr>
      <w:r>
        <w:rPr>
          <w:rFonts w:hint="eastAsia" w:ascii="仿宋_GB2312" w:hAnsi="宋体" w:eastAsia="仿宋_GB2312" w:cs="宋体"/>
          <w:color w:val="000000"/>
          <w:sz w:val="32"/>
          <w:szCs w:val="32"/>
        </w:rPr>
        <w:t>（2）</w:t>
      </w:r>
      <w:r>
        <w:rPr>
          <w:rFonts w:hint="eastAsia" w:ascii="仿宋_GB2312" w:eastAsia="仿宋_GB2312"/>
          <w:color w:val="000000"/>
          <w:sz w:val="32"/>
          <w:szCs w:val="32"/>
        </w:rPr>
        <w:t>统筹推进承担行政职能的事业单位改革。区老龄工作委员会办公室不再承担老龄工作等行政职责，交由区卫生健康局承担。</w:t>
      </w:r>
    </w:p>
    <w:p w14:paraId="597FB2E7">
      <w:pPr>
        <w:pStyle w:val="4"/>
        <w:rPr>
          <w:rFonts w:ascii="Times New Roman" w:hAnsi="Times New Roman" w:eastAsia="仿宋_GB2312"/>
        </w:rPr>
      </w:pPr>
      <w:r>
        <w:rPr>
          <w:rFonts w:hint="eastAsia" w:ascii="黑体" w:hAnsi="黑体" w:eastAsia="黑体"/>
          <w:b w:val="0"/>
        </w:rPr>
        <w:t xml:space="preserve">    二</w:t>
      </w:r>
      <w:bookmarkEnd w:id="14"/>
      <w:bookmarkEnd w:id="15"/>
      <w:r>
        <w:rPr>
          <w:rFonts w:hint="eastAsia" w:ascii="黑体" w:hAnsi="黑体" w:eastAsia="黑体"/>
        </w:rPr>
        <w:t xml:space="preserve">、机构设置 </w:t>
      </w:r>
    </w:p>
    <w:p w14:paraId="0D3CD96F">
      <w:pPr>
        <w:jc w:val="left"/>
        <w:rPr>
          <w:rFonts w:ascii="仿宋_GB2312" w:eastAsia="仿宋_GB2312"/>
          <w:color w:val="000000"/>
          <w:sz w:val="32"/>
          <w:szCs w:val="32"/>
        </w:rPr>
      </w:pPr>
      <w:r>
        <w:rPr>
          <w:rFonts w:hint="eastAsia" w:ascii="仿宋" w:hAnsi="仿宋" w:eastAsia="仿宋"/>
          <w:sz w:val="32"/>
          <w:szCs w:val="32"/>
        </w:rPr>
        <w:t xml:space="preserve">    攀枝</w:t>
      </w:r>
      <w:r>
        <w:rPr>
          <w:rFonts w:ascii="仿宋" w:hAnsi="仿宋" w:eastAsia="仿宋"/>
          <w:sz w:val="32"/>
          <w:szCs w:val="32"/>
        </w:rPr>
        <w:t>花市</w:t>
      </w:r>
      <w:r>
        <w:rPr>
          <w:rFonts w:hint="eastAsia" w:ascii="仿宋" w:hAnsi="仿宋" w:eastAsia="仿宋"/>
          <w:sz w:val="32"/>
          <w:szCs w:val="32"/>
        </w:rPr>
        <w:t>西区卫生健康</w:t>
      </w:r>
      <w:r>
        <w:rPr>
          <w:rFonts w:ascii="仿宋" w:hAnsi="仿宋" w:eastAsia="仿宋"/>
          <w:sz w:val="32"/>
          <w:szCs w:val="32"/>
        </w:rPr>
        <w:t>局</w:t>
      </w:r>
      <w:r>
        <w:rPr>
          <w:rFonts w:hint="eastAsia" w:ascii="仿宋" w:hAnsi="仿宋" w:eastAsia="仿宋"/>
          <w:sz w:val="32"/>
          <w:szCs w:val="32"/>
        </w:rPr>
        <w:t>下</w:t>
      </w:r>
      <w:r>
        <w:rPr>
          <w:rFonts w:ascii="仿宋" w:hAnsi="仿宋" w:eastAsia="仿宋"/>
          <w:sz w:val="32"/>
          <w:szCs w:val="32"/>
        </w:rPr>
        <w:t>设</w:t>
      </w:r>
      <w:r>
        <w:rPr>
          <w:rFonts w:hint="eastAsia" w:ascii="仿宋" w:hAnsi="仿宋" w:eastAsia="仿宋"/>
          <w:sz w:val="32"/>
          <w:szCs w:val="32"/>
        </w:rPr>
        <w:t>5个股</w:t>
      </w:r>
      <w:r>
        <w:rPr>
          <w:rFonts w:ascii="仿宋" w:hAnsi="仿宋" w:eastAsia="仿宋"/>
          <w:sz w:val="32"/>
          <w:szCs w:val="32"/>
        </w:rPr>
        <w:t>室</w:t>
      </w:r>
      <w:r>
        <w:rPr>
          <w:rFonts w:hint="eastAsia" w:ascii="仿宋" w:hAnsi="仿宋" w:eastAsia="仿宋"/>
          <w:sz w:val="32"/>
          <w:szCs w:val="32"/>
        </w:rPr>
        <w:t>,分别为:</w:t>
      </w:r>
      <w:r>
        <w:rPr>
          <w:rFonts w:hint="eastAsia" w:ascii="仿宋_GB2312" w:eastAsia="仿宋_GB2312"/>
          <w:spacing w:val="-4"/>
          <w:sz w:val="32"/>
          <w:szCs w:val="32"/>
        </w:rPr>
        <w:t>办公室、医政医管与职业健康股、</w:t>
      </w:r>
      <w:r>
        <w:rPr>
          <w:rFonts w:hint="eastAsia" w:ascii="仿宋_GB2312" w:eastAsia="仿宋_GB2312"/>
          <w:color w:val="000000"/>
          <w:sz w:val="32"/>
          <w:szCs w:val="32"/>
        </w:rPr>
        <w:t>信息统计与家庭发展股（区爱国卫生运动委员会办公室）、疾病预防控制股（区重大传染病防治工作委员会办公室）、基层卫生健康股（区深化医药卫生体制改革领导小组办公室）</w:t>
      </w:r>
      <w:r>
        <w:rPr>
          <w:rFonts w:hint="eastAsia" w:ascii="仿宋" w:hAnsi="仿宋" w:eastAsia="仿宋"/>
          <w:sz w:val="32"/>
          <w:szCs w:val="32"/>
        </w:rPr>
        <w:t>;</w:t>
      </w:r>
      <w:r>
        <w:rPr>
          <w:rFonts w:ascii="仿宋" w:hAnsi="仿宋" w:eastAsia="仿宋"/>
          <w:sz w:val="32"/>
          <w:szCs w:val="32"/>
        </w:rPr>
        <w:t>独立编制的参照公务员</w:t>
      </w:r>
      <w:r>
        <w:rPr>
          <w:rFonts w:hint="eastAsia" w:ascii="仿宋" w:hAnsi="仿宋" w:eastAsia="仿宋"/>
          <w:sz w:val="32"/>
          <w:szCs w:val="32"/>
        </w:rPr>
        <w:t>法</w:t>
      </w:r>
      <w:r>
        <w:rPr>
          <w:rFonts w:ascii="仿宋" w:hAnsi="仿宋" w:eastAsia="仿宋"/>
          <w:sz w:val="32"/>
          <w:szCs w:val="32"/>
        </w:rPr>
        <w:t>管理的事业单位</w:t>
      </w:r>
      <w:r>
        <w:rPr>
          <w:rFonts w:hint="eastAsia" w:ascii="仿宋" w:hAnsi="仿宋" w:eastAsia="仿宋"/>
          <w:sz w:val="32"/>
          <w:szCs w:val="32"/>
        </w:rPr>
        <w:t>3个</w:t>
      </w:r>
      <w:r>
        <w:rPr>
          <w:rFonts w:ascii="仿宋" w:hAnsi="仿宋" w:eastAsia="仿宋"/>
          <w:sz w:val="32"/>
          <w:szCs w:val="32"/>
        </w:rPr>
        <w:t>,</w:t>
      </w:r>
      <w:r>
        <w:rPr>
          <w:rFonts w:hint="eastAsia" w:ascii="仿宋" w:hAnsi="仿宋" w:eastAsia="仿宋"/>
          <w:sz w:val="32"/>
          <w:szCs w:val="32"/>
        </w:rPr>
        <w:t>分别为:</w:t>
      </w:r>
      <w:r>
        <w:rPr>
          <w:rFonts w:hint="eastAsia" w:ascii="仿宋_GB2312" w:eastAsia="仿宋_GB2312"/>
          <w:color w:val="000000"/>
          <w:sz w:val="32"/>
          <w:szCs w:val="32"/>
        </w:rPr>
        <w:t>攀枝花市西区红十字会、攀枝花市西区计划生育协会、攀枝花市西区老龄健康服务中心。</w:t>
      </w:r>
    </w:p>
    <w:p w14:paraId="0ADB2A99">
      <w:pPr>
        <w:jc w:val="left"/>
      </w:pPr>
      <w:r>
        <w:rPr>
          <w:rFonts w:hint="eastAsia" w:ascii="仿宋_GB2312" w:eastAsia="仿宋_GB2312"/>
          <w:color w:val="000000"/>
          <w:sz w:val="32"/>
          <w:szCs w:val="32"/>
        </w:rPr>
        <w:t xml:space="preserve">    独立编制</w:t>
      </w:r>
      <w:r>
        <w:rPr>
          <w:rFonts w:ascii="仿宋" w:hAnsi="仿宋" w:eastAsia="仿宋"/>
          <w:sz w:val="32"/>
          <w:szCs w:val="32"/>
        </w:rPr>
        <w:t>参照公务员</w:t>
      </w:r>
      <w:r>
        <w:rPr>
          <w:rFonts w:hint="eastAsia" w:ascii="仿宋" w:hAnsi="仿宋" w:eastAsia="仿宋"/>
          <w:sz w:val="32"/>
          <w:szCs w:val="32"/>
        </w:rPr>
        <w:t>法</w:t>
      </w:r>
      <w:r>
        <w:rPr>
          <w:rFonts w:ascii="仿宋" w:hAnsi="仿宋" w:eastAsia="仿宋"/>
          <w:sz w:val="32"/>
          <w:szCs w:val="32"/>
        </w:rPr>
        <w:t>管理的</w:t>
      </w:r>
      <w:r>
        <w:rPr>
          <w:rFonts w:hint="eastAsia" w:ascii="仿宋_GB2312" w:eastAsia="仿宋_GB2312"/>
          <w:color w:val="000000"/>
          <w:sz w:val="32"/>
          <w:szCs w:val="32"/>
        </w:rPr>
        <w:t>未单独核算的</w:t>
      </w:r>
      <w:r>
        <w:rPr>
          <w:rFonts w:ascii="仿宋" w:hAnsi="仿宋" w:eastAsia="仿宋"/>
          <w:sz w:val="32"/>
          <w:szCs w:val="32"/>
        </w:rPr>
        <w:t>事业单位</w:t>
      </w:r>
      <w:r>
        <w:rPr>
          <w:rFonts w:hint="eastAsia" w:ascii="仿宋" w:hAnsi="仿宋" w:eastAsia="仿宋"/>
          <w:sz w:val="32"/>
          <w:szCs w:val="32"/>
        </w:rPr>
        <w:t>：</w:t>
      </w:r>
      <w:r>
        <w:rPr>
          <w:rFonts w:hint="eastAsia" w:ascii="仿宋_GB2312" w:eastAsia="仿宋_GB2312"/>
          <w:color w:val="000000"/>
          <w:sz w:val="32"/>
          <w:szCs w:val="32"/>
        </w:rPr>
        <w:t>攀枝</w:t>
      </w:r>
      <w:r>
        <w:rPr>
          <w:rFonts w:hint="eastAsia" w:ascii="仿宋_GB2312" w:eastAsia="仿宋_GB2312"/>
          <w:color w:val="000000"/>
          <w:sz w:val="32"/>
          <w:szCs w:val="32"/>
          <w:lang w:eastAsia="zh-CN"/>
        </w:rPr>
        <w:t>花</w:t>
      </w:r>
      <w:r>
        <w:rPr>
          <w:rFonts w:hint="eastAsia" w:ascii="仿宋_GB2312" w:eastAsia="仿宋_GB2312"/>
          <w:color w:val="000000"/>
          <w:sz w:val="32"/>
          <w:szCs w:val="32"/>
        </w:rPr>
        <w:t>市西区红十字会。</w:t>
      </w:r>
    </w:p>
    <w:p w14:paraId="722BD3DB">
      <w:pPr>
        <w:widowControl/>
        <w:jc w:val="left"/>
        <w:rPr>
          <w:rStyle w:val="16"/>
          <w:rFonts w:ascii="黑体" w:hAnsi="黑体" w:eastAsia="黑体"/>
          <w:b w:val="0"/>
        </w:rPr>
      </w:pPr>
      <w:r>
        <w:rPr>
          <w:rFonts w:ascii="仿宋" w:hAnsi="仿宋" w:eastAsia="仿宋"/>
          <w:sz w:val="32"/>
          <w:szCs w:val="32"/>
        </w:rPr>
        <w:br w:type="page"/>
      </w:r>
      <w:bookmarkStart w:id="16" w:name="_Toc15377204"/>
      <w:bookmarkStart w:id="17" w:name="_Toc15396602"/>
      <w:r>
        <w:rPr>
          <w:rFonts w:hint="eastAsia" w:ascii="仿宋" w:hAnsi="仿宋" w:eastAsia="仿宋"/>
          <w:sz w:val="32"/>
          <w:szCs w:val="32"/>
        </w:rPr>
        <w:t xml:space="preserve">  </w:t>
      </w:r>
      <w:r>
        <w:rPr>
          <w:rStyle w:val="16"/>
          <w:rFonts w:hint="eastAsia" w:ascii="黑体" w:hAnsi="黑体"/>
        </w:rPr>
        <w:t>第二部分 2022年度</w:t>
      </w:r>
      <w:r>
        <w:rPr>
          <w:rStyle w:val="16"/>
          <w:rFonts w:hint="eastAsia" w:ascii="黑体" w:hAnsi="黑体" w:eastAsia="黑体"/>
          <w:b w:val="0"/>
        </w:rPr>
        <w:t>单位决算情况说明</w:t>
      </w:r>
      <w:bookmarkEnd w:id="16"/>
      <w:bookmarkEnd w:id="17"/>
    </w:p>
    <w:p w14:paraId="5CF5DABD"/>
    <w:p w14:paraId="498D5359">
      <w:pPr>
        <w:pStyle w:val="29"/>
        <w:numPr>
          <w:ilvl w:val="0"/>
          <w:numId w:val="1"/>
        </w:numPr>
        <w:spacing w:line="600" w:lineRule="exact"/>
        <w:ind w:firstLineChars="0"/>
        <w:outlineLvl w:val="1"/>
        <w:rPr>
          <w:rStyle w:val="17"/>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17"/>
          <w:rFonts w:hint="eastAsia" w:ascii="黑体" w:hAnsi="黑体" w:eastAsia="黑体"/>
          <w:b w:val="0"/>
        </w:rPr>
        <w:t>入支出决算总体情况说明</w:t>
      </w:r>
      <w:bookmarkEnd w:id="18"/>
      <w:bookmarkEnd w:id="19"/>
    </w:p>
    <w:p w14:paraId="418B51C1">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2022年度收入、支出总计1088.49万元。与2021年相比，收、支总计增加215.76万元，增长24.72%。主要变动原因是公共卫生特别服务岗等人员经费增加。</w:t>
      </w:r>
    </w:p>
    <w:p w14:paraId="5C70C2E6">
      <w:pPr>
        <w:pStyle w:val="2"/>
        <w:spacing w:before="93"/>
      </w:pPr>
      <w:r>
        <w:rPr>
          <w:rFonts w:hint="eastAsia"/>
        </w:rPr>
        <w:t xml:space="preserve">    </w:t>
      </w:r>
      <w:r>
        <w:object>
          <v:shape id="_x0000_i1025" o:spt="75" type="#_x0000_t75" style="height:153pt;width:333.75pt;" o:ole="t" filled="f" o:preferrelative="t" stroked="f" coordsize="21600,21600">
            <v:path/>
            <v:fill on="f" focussize="0,0"/>
            <v:stroke on="f" joinstyle="miter"/>
            <v:imagedata r:id="rId7" o:title=""/>
            <o:lock v:ext="edit" aspectratio="t"/>
            <w10:wrap type="none"/>
            <w10:anchorlock/>
          </v:shape>
          <o:OLEObject Type="Embed" ProgID="MSGraph.Chart.8" ShapeID="_x0000_i1025" DrawAspect="Content" ObjectID="_1468075725" r:id="rId6">
            <o:LockedField>false</o:LockedField>
          </o:OLEObject>
        </w:object>
      </w:r>
    </w:p>
    <w:p w14:paraId="193FD7CC">
      <w:pPr>
        <w:spacing w:line="600" w:lineRule="exact"/>
        <w:ind w:firstLine="640" w:firstLineChars="200"/>
        <w:jc w:val="left"/>
        <w:rPr>
          <w:rFonts w:ascii="仿宋_GB2312" w:eastAsia="仿宋_GB2312"/>
          <w:sz w:val="32"/>
          <w:szCs w:val="32"/>
        </w:rPr>
      </w:pPr>
      <w:bookmarkStart w:id="20" w:name="_Toc15377206"/>
      <w:bookmarkStart w:id="21" w:name="_Toc15396604"/>
      <w:r>
        <w:rPr>
          <w:rFonts w:hint="eastAsia" w:ascii="黑体" w:hAnsi="黑体" w:eastAsia="黑体"/>
          <w:sz w:val="32"/>
          <w:szCs w:val="32"/>
        </w:rPr>
        <w:t>二、收</w:t>
      </w:r>
      <w:r>
        <w:rPr>
          <w:rStyle w:val="17"/>
          <w:rFonts w:hint="eastAsia" w:ascii="黑体" w:hAnsi="黑体" w:eastAsia="黑体"/>
          <w:b w:val="0"/>
        </w:rPr>
        <w:t>入决算情况说明</w:t>
      </w:r>
      <w:bookmarkEnd w:id="20"/>
      <w:bookmarkEnd w:id="21"/>
    </w:p>
    <w:p w14:paraId="3697EF9C">
      <w:pPr>
        <w:spacing w:line="600" w:lineRule="exact"/>
        <w:ind w:firstLine="640" w:firstLineChars="200"/>
        <w:outlineLvl w:val="1"/>
        <w:rPr>
          <w:rFonts w:ascii="仿宋_GB2312" w:hAnsi="仿宋" w:eastAsia="仿宋_GB2312"/>
          <w:sz w:val="32"/>
          <w:szCs w:val="32"/>
        </w:rPr>
      </w:pPr>
      <w:r>
        <w:rPr>
          <w:rFonts w:ascii="仿宋_GB2312" w:hAnsi="仿宋" w:eastAsia="仿宋_GB2312"/>
          <w:sz w:val="32"/>
          <w:szCs w:val="32"/>
        </w:rPr>
        <w:t>20</w:t>
      </w:r>
      <w:r>
        <w:rPr>
          <w:rFonts w:hint="eastAsia" w:ascii="仿宋_GB2312" w:hAnsi="仿宋" w:eastAsia="仿宋_GB2312"/>
          <w:sz w:val="32"/>
          <w:szCs w:val="32"/>
        </w:rPr>
        <w:t>22年本年收入合计1040.58万元，其中：一般公共预算财政拨款收入1040.58万元，占100</w:t>
      </w:r>
      <w:r>
        <w:rPr>
          <w:rFonts w:ascii="仿宋_GB2312" w:hAnsi="仿宋" w:eastAsia="仿宋_GB2312"/>
          <w:sz w:val="32"/>
          <w:szCs w:val="32"/>
        </w:rPr>
        <w:t>%</w:t>
      </w:r>
      <w:r>
        <w:rPr>
          <w:rFonts w:hint="eastAsia" w:ascii="仿宋_GB2312" w:hAnsi="仿宋" w:eastAsia="仿宋_GB2312"/>
          <w:sz w:val="32"/>
          <w:szCs w:val="32"/>
        </w:rPr>
        <w:t>；政府性基金预算财政拨款收入0万元，占0</w:t>
      </w:r>
      <w:r>
        <w:rPr>
          <w:rFonts w:ascii="仿宋_GB2312" w:hAnsi="仿宋" w:eastAsia="仿宋_GB2312"/>
          <w:sz w:val="32"/>
          <w:szCs w:val="32"/>
        </w:rPr>
        <w:t>%</w:t>
      </w:r>
      <w:r>
        <w:rPr>
          <w:rFonts w:hint="eastAsia" w:ascii="仿宋_GB2312" w:hAnsi="仿宋" w:eastAsia="仿宋_GB2312"/>
          <w:sz w:val="32"/>
          <w:szCs w:val="32"/>
        </w:rPr>
        <w:t>；国有资本经营预算财政拨款收入0万元，占0</w:t>
      </w:r>
      <w:r>
        <w:rPr>
          <w:rFonts w:ascii="仿宋_GB2312" w:hAnsi="仿宋" w:eastAsia="仿宋_GB2312"/>
          <w:sz w:val="32"/>
          <w:szCs w:val="32"/>
        </w:rPr>
        <w:t>%</w:t>
      </w:r>
      <w:r>
        <w:rPr>
          <w:rFonts w:hint="eastAsia" w:ascii="仿宋_GB2312" w:hAnsi="仿宋" w:eastAsia="仿宋_GB2312"/>
          <w:sz w:val="32"/>
          <w:szCs w:val="32"/>
        </w:rPr>
        <w:t>；上级补助收入0万元，占0</w:t>
      </w:r>
      <w:r>
        <w:rPr>
          <w:rFonts w:ascii="仿宋_GB2312" w:hAnsi="仿宋" w:eastAsia="仿宋_GB2312"/>
          <w:sz w:val="32"/>
          <w:szCs w:val="32"/>
        </w:rPr>
        <w:t>%</w:t>
      </w:r>
      <w:r>
        <w:rPr>
          <w:rFonts w:hint="eastAsia" w:ascii="仿宋_GB2312" w:hAnsi="仿宋" w:eastAsia="仿宋_GB2312"/>
          <w:sz w:val="32"/>
          <w:szCs w:val="32"/>
        </w:rPr>
        <w:t>；事业收入0万元，占0</w:t>
      </w:r>
      <w:r>
        <w:rPr>
          <w:rFonts w:ascii="仿宋_GB2312" w:hAnsi="仿宋" w:eastAsia="仿宋_GB2312"/>
          <w:sz w:val="32"/>
          <w:szCs w:val="32"/>
        </w:rPr>
        <w:t>%</w:t>
      </w:r>
      <w:r>
        <w:rPr>
          <w:rFonts w:hint="eastAsia" w:ascii="仿宋_GB2312" w:hAnsi="仿宋" w:eastAsia="仿宋_GB2312"/>
          <w:sz w:val="32"/>
          <w:szCs w:val="32"/>
        </w:rPr>
        <w:t>；经营收入0万元，占0</w:t>
      </w:r>
      <w:r>
        <w:rPr>
          <w:rFonts w:ascii="仿宋_GB2312" w:hAnsi="仿宋" w:eastAsia="仿宋_GB2312"/>
          <w:sz w:val="32"/>
          <w:szCs w:val="32"/>
        </w:rPr>
        <w:t>%</w:t>
      </w:r>
      <w:r>
        <w:rPr>
          <w:rFonts w:hint="eastAsia" w:ascii="仿宋_GB2312" w:hAnsi="仿宋" w:eastAsia="仿宋_GB2312"/>
          <w:sz w:val="32"/>
          <w:szCs w:val="32"/>
        </w:rPr>
        <w:t>；附属单位上缴收入0万元，占0</w:t>
      </w:r>
      <w:r>
        <w:rPr>
          <w:rFonts w:ascii="仿宋_GB2312" w:hAnsi="仿宋" w:eastAsia="仿宋_GB2312"/>
          <w:sz w:val="32"/>
          <w:szCs w:val="32"/>
        </w:rPr>
        <w:t>%</w:t>
      </w:r>
      <w:r>
        <w:rPr>
          <w:rFonts w:hint="eastAsia" w:ascii="仿宋_GB2312" w:hAnsi="仿宋" w:eastAsia="仿宋_GB2312"/>
          <w:sz w:val="32"/>
          <w:szCs w:val="32"/>
        </w:rPr>
        <w:t>；其他收入0万元，占0</w:t>
      </w:r>
      <w:r>
        <w:rPr>
          <w:rFonts w:ascii="仿宋_GB2312" w:hAnsi="仿宋" w:eastAsia="仿宋_GB2312"/>
          <w:sz w:val="32"/>
          <w:szCs w:val="32"/>
        </w:rPr>
        <w:t>%</w:t>
      </w:r>
      <w:r>
        <w:rPr>
          <w:rFonts w:hint="eastAsia" w:ascii="仿宋_GB2312" w:hAnsi="仿宋" w:eastAsia="仿宋_GB2312"/>
          <w:sz w:val="32"/>
          <w:szCs w:val="32"/>
        </w:rPr>
        <w:t>。</w:t>
      </w:r>
    </w:p>
    <w:p w14:paraId="4B0B176A">
      <w:pPr>
        <w:pStyle w:val="2"/>
        <w:spacing w:before="93"/>
      </w:pPr>
      <w:r>
        <w:rPr>
          <w:rFonts w:hint="eastAsia"/>
        </w:rPr>
        <w:t xml:space="preserve"> </w:t>
      </w:r>
      <w:r>
        <w:t xml:space="preserve">   </w:t>
      </w:r>
      <w:r>
        <w:rPr>
          <w:rFonts w:ascii="仿宋" w:hAnsi="仿宋" w:eastAsia="仿宋"/>
          <w:sz w:val="32"/>
          <w:szCs w:val="32"/>
        </w:rPr>
        <w:object>
          <v:shape id="_x0000_i1026" o:spt="75" type="#_x0000_t75" style="height:150.75pt;width:381.75pt;" o:ole="t" filled="f" o:preferrelative="t" stroked="f" coordsize="21600,21600">
            <v:path/>
            <v:fill on="f" focussize="0,0"/>
            <v:stroke on="f" joinstyle="miter"/>
            <v:imagedata r:id="rId9" o:title=""/>
            <o:lock v:ext="edit" aspectratio="t"/>
            <w10:wrap type="none"/>
            <w10:anchorlock/>
          </v:shape>
          <o:OLEObject Type="Embed" ProgID="MSGraph.Chart.8" ShapeID="_x0000_i1026" DrawAspect="Content" ObjectID="_1468075726" r:id="rId8">
            <o:LockedField>false</o:LockedField>
          </o:OLEObject>
        </w:object>
      </w:r>
    </w:p>
    <w:p w14:paraId="222E9477">
      <w:pPr>
        <w:pStyle w:val="29"/>
        <w:spacing w:line="600" w:lineRule="exact"/>
        <w:ind w:left="640" w:firstLine="0" w:firstLineChars="0"/>
        <w:outlineLvl w:val="1"/>
        <w:rPr>
          <w:rStyle w:val="17"/>
          <w:rFonts w:ascii="黑体" w:hAnsi="黑体" w:eastAsia="黑体"/>
          <w:b w:val="0"/>
        </w:rPr>
      </w:pPr>
      <w:bookmarkStart w:id="22" w:name="_Toc15396605"/>
      <w:bookmarkStart w:id="23" w:name="_Toc15377207"/>
      <w:r>
        <w:rPr>
          <w:rFonts w:hint="eastAsia" w:ascii="黑体" w:hAnsi="黑体" w:eastAsia="黑体"/>
          <w:sz w:val="32"/>
          <w:szCs w:val="32"/>
        </w:rPr>
        <w:t>三、支</w:t>
      </w:r>
      <w:r>
        <w:rPr>
          <w:rStyle w:val="17"/>
          <w:rFonts w:hint="eastAsia" w:ascii="黑体" w:hAnsi="黑体" w:eastAsia="黑体"/>
          <w:b w:val="0"/>
        </w:rPr>
        <w:t>出决算情况说明</w:t>
      </w:r>
      <w:bookmarkEnd w:id="22"/>
      <w:bookmarkEnd w:id="23"/>
    </w:p>
    <w:p w14:paraId="0D812763">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22年本年支出合计1088.49万元，其中：基本支出340.15万元，占31.25</w:t>
      </w:r>
      <w:r>
        <w:rPr>
          <w:rFonts w:ascii="仿宋" w:hAnsi="仿宋" w:eastAsia="仿宋"/>
          <w:sz w:val="32"/>
          <w:szCs w:val="32"/>
        </w:rPr>
        <w:t>%</w:t>
      </w:r>
      <w:r>
        <w:rPr>
          <w:rFonts w:hint="eastAsia" w:ascii="仿宋" w:hAnsi="仿宋" w:eastAsia="仿宋"/>
          <w:sz w:val="32"/>
          <w:szCs w:val="32"/>
        </w:rPr>
        <w:t>；项目支出748.34万元，占68.75</w:t>
      </w:r>
      <w:r>
        <w:rPr>
          <w:rFonts w:ascii="仿宋" w:hAnsi="仿宋" w:eastAsia="仿宋"/>
          <w:sz w:val="32"/>
          <w:szCs w:val="32"/>
        </w:rPr>
        <w:t>%</w:t>
      </w:r>
      <w:r>
        <w:rPr>
          <w:rFonts w:hint="eastAsia" w:ascii="仿宋" w:hAnsi="仿宋" w:eastAsia="仿宋"/>
          <w:sz w:val="32"/>
          <w:szCs w:val="32"/>
        </w:rPr>
        <w:t>。</w:t>
      </w:r>
    </w:p>
    <w:p w14:paraId="43748AFC">
      <w:pPr>
        <w:pStyle w:val="2"/>
        <w:spacing w:before="93"/>
        <w:rPr>
          <w:rFonts w:ascii="仿宋" w:hAnsi="仿宋" w:eastAsia="仿宋"/>
          <w:sz w:val="32"/>
          <w:szCs w:val="32"/>
        </w:rPr>
      </w:pPr>
      <w:r>
        <w:rPr>
          <w:rFonts w:ascii="仿宋" w:hAnsi="仿宋" w:eastAsia="仿宋"/>
          <w:sz w:val="32"/>
          <w:szCs w:val="32"/>
        </w:rPr>
        <w:object>
          <v:shape id="_x0000_i1027" o:spt="75" type="#_x0000_t75" style="height:177pt;width:396.75pt;" o:ole="t" filled="f" o:preferrelative="t" stroked="f" coordsize="21600,21600">
            <v:path/>
            <v:fill on="f" focussize="0,0"/>
            <v:stroke on="f" joinstyle="miter"/>
            <v:imagedata r:id="rId11" o:title=""/>
            <o:lock v:ext="edit" aspectratio="t"/>
            <w10:wrap type="none"/>
            <w10:anchorlock/>
          </v:shape>
          <o:OLEObject Type="Embed" ProgID="MSGraph.Chart.8" ShapeID="_x0000_i1027" DrawAspect="Content" ObjectID="_1468075727" r:id="rId10">
            <o:LockedField>false</o:LockedField>
          </o:OLEObject>
        </w:object>
      </w:r>
    </w:p>
    <w:p w14:paraId="6A76442B">
      <w:pPr>
        <w:spacing w:line="600" w:lineRule="exact"/>
        <w:ind w:firstLine="640" w:firstLineChars="200"/>
        <w:outlineLvl w:val="1"/>
        <w:rPr>
          <w:rStyle w:val="17"/>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17"/>
          <w:rFonts w:hint="eastAsia" w:ascii="黑体" w:hAnsi="黑体" w:eastAsia="黑体"/>
          <w:b w:val="0"/>
        </w:rPr>
        <w:t>政拨款收入支出决算总体情况说明</w:t>
      </w:r>
      <w:bookmarkEnd w:id="24"/>
      <w:bookmarkEnd w:id="25"/>
    </w:p>
    <w:p w14:paraId="137587A2">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22年财政拨款收、支总计1088.49万元。与</w:t>
      </w:r>
      <w:r>
        <w:rPr>
          <w:rFonts w:ascii="仿宋" w:hAnsi="仿宋" w:eastAsia="仿宋"/>
          <w:sz w:val="32"/>
          <w:szCs w:val="32"/>
        </w:rPr>
        <w:t>20</w:t>
      </w:r>
      <w:r>
        <w:rPr>
          <w:rFonts w:hint="eastAsia" w:ascii="仿宋" w:hAnsi="仿宋" w:eastAsia="仿宋"/>
          <w:sz w:val="32"/>
          <w:szCs w:val="32"/>
        </w:rPr>
        <w:t>21年相比，财政拨款收、支总计增加215.83万元，增长24.73</w:t>
      </w:r>
      <w:r>
        <w:rPr>
          <w:rFonts w:ascii="仿宋" w:hAnsi="仿宋" w:eastAsia="仿宋"/>
          <w:sz w:val="32"/>
          <w:szCs w:val="32"/>
        </w:rPr>
        <w:t xml:space="preserve"> %</w:t>
      </w:r>
      <w:r>
        <w:rPr>
          <w:rFonts w:hint="eastAsia" w:ascii="仿宋" w:hAnsi="仿宋" w:eastAsia="仿宋"/>
          <w:sz w:val="32"/>
          <w:szCs w:val="32"/>
        </w:rPr>
        <w:t>。主要变动原因是公共卫生特别服务岗等人员经费增加。</w:t>
      </w:r>
    </w:p>
    <w:p w14:paraId="15F19F23">
      <w:pPr>
        <w:pStyle w:val="2"/>
        <w:spacing w:before="93"/>
        <w:rPr>
          <w:rFonts w:ascii="仿宋" w:hAnsi="仿宋" w:eastAsia="仿宋"/>
          <w:b/>
          <w:sz w:val="32"/>
          <w:szCs w:val="32"/>
        </w:rPr>
      </w:pPr>
      <w:r>
        <w:rPr>
          <w:rFonts w:hint="eastAsia" w:ascii="仿宋" w:hAnsi="仿宋" w:eastAsia="仿宋"/>
          <w:b/>
          <w:sz w:val="32"/>
          <w:szCs w:val="32"/>
        </w:rPr>
        <w:t xml:space="preserve">    </w:t>
      </w:r>
      <w:r>
        <w:object>
          <v:shape id="_x0000_i1028" o:spt="75" type="#_x0000_t75" style="height:153pt;width:317.25pt;" o:ole="t" filled="f" o:preferrelative="t" stroked="f" coordsize="21600,21600">
            <v:path/>
            <v:fill on="f" focussize="0,0"/>
            <v:stroke on="f" joinstyle="miter"/>
            <v:imagedata r:id="rId13" o:title=""/>
            <o:lock v:ext="edit" aspectratio="t"/>
            <w10:wrap type="none"/>
            <w10:anchorlock/>
          </v:shape>
          <o:OLEObject Type="Embed" ProgID="MSGraph.Chart.8" ShapeID="_x0000_i1028" DrawAspect="Content" ObjectID="_1468075728" r:id="rId12">
            <o:LockedField>false</o:LockedField>
          </o:OLEObject>
        </w:object>
      </w:r>
    </w:p>
    <w:p w14:paraId="21EE0F1D">
      <w:pPr>
        <w:spacing w:line="600" w:lineRule="exact"/>
        <w:ind w:firstLine="640" w:firstLineChars="200"/>
        <w:outlineLvl w:val="1"/>
        <w:rPr>
          <w:rStyle w:val="17"/>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17"/>
          <w:rFonts w:hint="eastAsia" w:ascii="黑体" w:hAnsi="黑体" w:eastAsia="黑体"/>
          <w:b w:val="0"/>
        </w:rPr>
        <w:t>般公共预算财政拨款支出决算情况说明</w:t>
      </w:r>
      <w:bookmarkEnd w:id="26"/>
      <w:bookmarkEnd w:id="27"/>
    </w:p>
    <w:p w14:paraId="1081E070">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32058C11">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ascii="仿宋" w:hAnsi="仿宋" w:eastAsia="仿宋"/>
          <w:sz w:val="32"/>
          <w:szCs w:val="32"/>
        </w:rPr>
        <w:t>2</w:t>
      </w:r>
      <w:r>
        <w:rPr>
          <w:rFonts w:hint="eastAsia" w:ascii="仿宋" w:hAnsi="仿宋" w:eastAsia="仿宋"/>
          <w:sz w:val="32"/>
          <w:szCs w:val="32"/>
        </w:rPr>
        <w:t>年一般公共预算财政拨款支出1088.49万元，占本年支出合计的100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21年相比，一般公共预算财政拨款支出增加216.01万元，增长24.76</w:t>
      </w:r>
      <w:r>
        <w:rPr>
          <w:rFonts w:ascii="仿宋" w:hAnsi="仿宋" w:eastAsia="仿宋"/>
          <w:sz w:val="32"/>
          <w:szCs w:val="32"/>
        </w:rPr>
        <w:t>%</w:t>
      </w:r>
      <w:r>
        <w:rPr>
          <w:rFonts w:hint="eastAsia" w:ascii="仿宋" w:hAnsi="仿宋" w:eastAsia="仿宋"/>
          <w:sz w:val="32"/>
          <w:szCs w:val="32"/>
        </w:rPr>
        <w:t>。主要变动原因是公共卫生服务岗聘用人员等人员经费增加。</w:t>
      </w:r>
    </w:p>
    <w:p w14:paraId="663568A6">
      <w:pPr>
        <w:pStyle w:val="2"/>
        <w:spacing w:before="93"/>
        <w:rPr>
          <w:rFonts w:ascii="仿宋" w:hAnsi="仿宋" w:eastAsia="仿宋"/>
          <w:sz w:val="32"/>
          <w:szCs w:val="32"/>
        </w:rPr>
      </w:pPr>
      <w:r>
        <w:rPr>
          <w:rFonts w:hint="eastAsia" w:ascii="仿宋" w:hAnsi="仿宋" w:eastAsia="仿宋"/>
          <w:sz w:val="32"/>
          <w:szCs w:val="32"/>
        </w:rPr>
        <w:t xml:space="preserve">       </w:t>
      </w:r>
      <w:r>
        <w:object>
          <v:shape id="_x0000_i1029" o:spt="75" type="#_x0000_t75" style="height:153pt;width:316.5pt;" o:ole="t" filled="f" o:preferrelative="t" stroked="f" coordsize="21600,21600">
            <v:path/>
            <v:fill on="f" focussize="0,0"/>
            <v:stroke on="f" joinstyle="miter"/>
            <v:imagedata r:id="rId15" o:title=""/>
            <o:lock v:ext="edit" aspectratio="t"/>
            <w10:wrap type="none"/>
            <w10:anchorlock/>
          </v:shape>
          <o:OLEObject Type="Embed" ProgID="MSGraph.Chart.8" ShapeID="_x0000_i1029" DrawAspect="Content" ObjectID="_1468075729" r:id="rId14">
            <o:LockedField>false</o:LockedField>
          </o:OLEObject>
        </w:object>
      </w:r>
    </w:p>
    <w:p w14:paraId="3D3C53C0">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2B8DD569">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22年一般公共预算财政拨款支出1088.49万元，主要用于以下方面</w:t>
      </w:r>
      <w:r>
        <w:rPr>
          <w:rFonts w:ascii="仿宋" w:hAnsi="仿宋" w:eastAsia="仿宋"/>
          <w:sz w:val="32"/>
          <w:szCs w:val="32"/>
        </w:rPr>
        <w:t>:</w:t>
      </w:r>
      <w:r>
        <w:rPr>
          <w:rFonts w:hint="eastAsia" w:ascii="仿宋" w:hAnsi="仿宋" w:eastAsia="仿宋"/>
          <w:sz w:val="32"/>
          <w:szCs w:val="32"/>
        </w:rPr>
        <w:t>社会保障和就业支出43.38万元，占3.99%；卫生健康支出1024.30万元，占94.10</w:t>
      </w:r>
      <w:r>
        <w:rPr>
          <w:rFonts w:ascii="仿宋" w:hAnsi="仿宋" w:eastAsia="仿宋"/>
          <w:sz w:val="32"/>
          <w:szCs w:val="32"/>
        </w:rPr>
        <w:t>%</w:t>
      </w:r>
      <w:r>
        <w:rPr>
          <w:rFonts w:hint="eastAsia" w:ascii="仿宋" w:hAnsi="仿宋" w:eastAsia="仿宋"/>
          <w:sz w:val="32"/>
          <w:szCs w:val="32"/>
        </w:rPr>
        <w:t>；住房保障支出20.81万元，占1.91</w:t>
      </w:r>
      <w:r>
        <w:rPr>
          <w:rFonts w:ascii="仿宋" w:hAnsi="仿宋" w:eastAsia="仿宋"/>
          <w:sz w:val="32"/>
          <w:szCs w:val="32"/>
        </w:rPr>
        <w:t>%</w:t>
      </w:r>
      <w:r>
        <w:rPr>
          <w:rFonts w:hint="eastAsia" w:ascii="仿宋" w:hAnsi="仿宋" w:eastAsia="仿宋"/>
          <w:sz w:val="32"/>
          <w:szCs w:val="32"/>
        </w:rPr>
        <w:t>。</w:t>
      </w:r>
    </w:p>
    <w:p w14:paraId="3607C13C">
      <w:pPr>
        <w:pStyle w:val="2"/>
        <w:spacing w:before="93"/>
      </w:pPr>
      <w:r>
        <w:rPr>
          <w:rFonts w:hint="eastAsia"/>
        </w:rPr>
        <w:t xml:space="preserve"> </w:t>
      </w:r>
      <w:r>
        <w:t xml:space="preserve">   </w:t>
      </w:r>
      <w:r>
        <w:rPr>
          <w:rFonts w:ascii="仿宋" w:hAnsi="仿宋" w:eastAsia="仿宋"/>
          <w:sz w:val="32"/>
          <w:szCs w:val="32"/>
        </w:rPr>
        <w:object>
          <v:shape id="_x0000_i1030" o:spt="75" type="#_x0000_t75" style="height:195.75pt;width:360.75pt;" o:ole="t" filled="f" o:preferrelative="t" stroked="f" coordsize="21600,21600">
            <v:path/>
            <v:fill on="f" focussize="0,0"/>
            <v:stroke on="f" joinstyle="miter"/>
            <v:imagedata r:id="rId17" o:title=""/>
            <o:lock v:ext="edit" aspectratio="t"/>
            <w10:wrap type="none"/>
            <w10:anchorlock/>
          </v:shape>
          <o:OLEObject Type="Embed" ProgID="MSGraph.Chart.8" ShapeID="_x0000_i1030" DrawAspect="Content" ObjectID="_1468075730" r:id="rId16">
            <o:LockedField>false</o:LockedField>
          </o:OLEObject>
        </w:object>
      </w:r>
    </w:p>
    <w:p w14:paraId="54A9553A">
      <w:pPr>
        <w:pStyle w:val="2"/>
        <w:spacing w:before="93"/>
        <w:rPr>
          <w:rFonts w:ascii="仿宋" w:hAnsi="仿宋" w:eastAsia="仿宋"/>
          <w:b/>
          <w:sz w:val="32"/>
          <w:szCs w:val="32"/>
        </w:rPr>
      </w:pPr>
      <w:r>
        <w:rPr>
          <w:rFonts w:hint="eastAsia"/>
        </w:rPr>
        <w:t xml:space="preserve">    </w:t>
      </w:r>
      <w:bookmarkStart w:id="30" w:name="_Toc15377212"/>
      <w:r>
        <w:rPr>
          <w:rFonts w:hint="eastAsia" w:ascii="仿宋" w:hAnsi="仿宋" w:eastAsia="仿宋"/>
          <w:b/>
          <w:sz w:val="32"/>
          <w:szCs w:val="32"/>
        </w:rPr>
        <w:t>（三）一般公共预算财政拨款支出决算具体情况</w:t>
      </w:r>
      <w:bookmarkEnd w:id="30"/>
    </w:p>
    <w:p w14:paraId="59960863">
      <w:pPr>
        <w:spacing w:line="600" w:lineRule="exact"/>
        <w:ind w:firstLine="643" w:firstLineChars="200"/>
        <w:outlineLvl w:val="2"/>
        <w:rPr>
          <w:rFonts w:ascii="仿宋" w:hAnsi="仿宋" w:eastAsia="仿宋"/>
          <w:sz w:val="32"/>
          <w:szCs w:val="32"/>
        </w:rPr>
      </w:pPr>
      <w:bookmarkStart w:id="31" w:name="_Toc15377213"/>
      <w:bookmarkStart w:id="32" w:name="_Toc15378460"/>
      <w:bookmarkStart w:id="33" w:name="_Toc15377444"/>
      <w:r>
        <w:rPr>
          <w:rFonts w:hint="eastAsia" w:ascii="仿宋" w:hAnsi="仿宋" w:eastAsia="仿宋"/>
          <w:b/>
          <w:sz w:val="32"/>
          <w:szCs w:val="32"/>
        </w:rPr>
        <w:t>2022年一般公共预算支出决算数为1088.49万元</w:t>
      </w:r>
      <w:r>
        <w:rPr>
          <w:rFonts w:hint="eastAsia" w:ascii="仿宋" w:hAnsi="仿宋" w:eastAsia="仿宋"/>
          <w:sz w:val="32"/>
          <w:szCs w:val="32"/>
        </w:rPr>
        <w:t>，</w:t>
      </w:r>
      <w:r>
        <w:rPr>
          <w:rStyle w:val="13"/>
          <w:rFonts w:hint="eastAsia" w:ascii="仿宋" w:hAnsi="仿宋" w:eastAsia="仿宋"/>
          <w:bCs/>
          <w:sz w:val="32"/>
          <w:szCs w:val="32"/>
        </w:rPr>
        <w:t>完成预算100</w:t>
      </w:r>
      <w:r>
        <w:rPr>
          <w:rStyle w:val="13"/>
          <w:rFonts w:ascii="仿宋" w:hAnsi="仿宋" w:eastAsia="仿宋"/>
          <w:bCs/>
          <w:sz w:val="32"/>
          <w:szCs w:val="32"/>
        </w:rPr>
        <w:t>%</w:t>
      </w:r>
      <w:r>
        <w:rPr>
          <w:rStyle w:val="13"/>
          <w:rFonts w:hint="eastAsia" w:ascii="仿宋" w:hAnsi="仿宋" w:eastAsia="仿宋"/>
          <w:bCs/>
          <w:sz w:val="32"/>
          <w:szCs w:val="32"/>
        </w:rPr>
        <w:t>。其中：</w:t>
      </w:r>
      <w:bookmarkEnd w:id="31"/>
      <w:bookmarkEnd w:id="32"/>
      <w:bookmarkEnd w:id="33"/>
    </w:p>
    <w:p w14:paraId="7350F6CA">
      <w:pPr>
        <w:spacing w:line="600" w:lineRule="exact"/>
        <w:ind w:firstLine="643" w:firstLineChars="200"/>
        <w:rPr>
          <w:rStyle w:val="13"/>
          <w:rFonts w:ascii="仿宋" w:hAnsi="仿宋" w:eastAsia="仿宋"/>
          <w:b w:val="0"/>
          <w:bCs/>
          <w:sz w:val="32"/>
          <w:szCs w:val="32"/>
        </w:rPr>
      </w:pPr>
      <w:r>
        <w:rPr>
          <w:rStyle w:val="13"/>
          <w:rFonts w:hint="eastAsia" w:ascii="仿宋" w:hAnsi="仿宋" w:eastAsia="仿宋"/>
          <w:bCs/>
          <w:sz w:val="32"/>
          <w:szCs w:val="32"/>
        </w:rPr>
        <w:t>1.社会保障和就业支出</w:t>
      </w:r>
      <w:r>
        <w:rPr>
          <w:rStyle w:val="13"/>
          <w:rFonts w:ascii="仿宋" w:hAnsi="仿宋" w:eastAsia="仿宋"/>
          <w:bCs/>
          <w:sz w:val="32"/>
          <w:szCs w:val="32"/>
        </w:rPr>
        <w:t>:</w:t>
      </w:r>
      <w:r>
        <w:rPr>
          <w:rStyle w:val="13"/>
          <w:rFonts w:ascii="仿宋" w:hAnsi="仿宋" w:eastAsia="仿宋"/>
          <w:b w:val="0"/>
          <w:bCs/>
          <w:sz w:val="32"/>
          <w:szCs w:val="32"/>
        </w:rPr>
        <w:t xml:space="preserve"> </w:t>
      </w:r>
    </w:p>
    <w:p w14:paraId="357F29DA">
      <w:pPr>
        <w:spacing w:line="600" w:lineRule="exact"/>
        <w:ind w:firstLine="643" w:firstLineChars="200"/>
        <w:rPr>
          <w:rStyle w:val="13"/>
          <w:rFonts w:ascii="仿宋" w:hAnsi="仿宋" w:eastAsia="仿宋"/>
          <w:b w:val="0"/>
          <w:bCs/>
          <w:sz w:val="32"/>
          <w:szCs w:val="32"/>
        </w:rPr>
      </w:pPr>
      <w:r>
        <w:rPr>
          <w:rStyle w:val="13"/>
          <w:rFonts w:hint="eastAsia" w:ascii="仿宋" w:hAnsi="仿宋" w:eastAsia="仿宋"/>
          <w:bCs/>
          <w:sz w:val="32"/>
          <w:szCs w:val="32"/>
        </w:rPr>
        <w:t>社会保障和就业支出（类）行政事业单位养老支出（款）行政单位离退休（项）</w:t>
      </w:r>
      <w:r>
        <w:rPr>
          <w:rStyle w:val="13"/>
          <w:rFonts w:hint="eastAsia" w:ascii="仿宋" w:hAnsi="仿宋" w:eastAsia="仿宋"/>
          <w:b w:val="0"/>
          <w:bCs/>
          <w:sz w:val="32"/>
          <w:szCs w:val="32"/>
        </w:rPr>
        <w:t>：支出决算为5.68万元，完成预算100</w:t>
      </w:r>
      <w:r>
        <w:rPr>
          <w:rStyle w:val="13"/>
          <w:rFonts w:ascii="仿宋" w:hAnsi="仿宋" w:eastAsia="仿宋"/>
          <w:b w:val="0"/>
          <w:bCs/>
          <w:sz w:val="32"/>
          <w:szCs w:val="32"/>
        </w:rPr>
        <w:t>%</w:t>
      </w:r>
      <w:r>
        <w:rPr>
          <w:rStyle w:val="13"/>
          <w:rFonts w:hint="eastAsia" w:ascii="仿宋" w:hAnsi="仿宋" w:eastAsia="仿宋"/>
          <w:b w:val="0"/>
          <w:bCs/>
          <w:sz w:val="32"/>
          <w:szCs w:val="32"/>
        </w:rPr>
        <w:t>；</w:t>
      </w:r>
    </w:p>
    <w:p w14:paraId="31C95CBC">
      <w:pPr>
        <w:spacing w:line="600" w:lineRule="exact"/>
        <w:ind w:firstLine="643" w:firstLineChars="200"/>
        <w:rPr>
          <w:rStyle w:val="13"/>
          <w:rFonts w:ascii="仿宋" w:hAnsi="仿宋" w:eastAsia="仿宋"/>
          <w:b w:val="0"/>
          <w:bCs/>
          <w:sz w:val="32"/>
          <w:szCs w:val="32"/>
        </w:rPr>
      </w:pPr>
      <w:r>
        <w:rPr>
          <w:rStyle w:val="13"/>
          <w:rFonts w:hint="eastAsia" w:ascii="仿宋" w:hAnsi="仿宋" w:eastAsia="仿宋"/>
          <w:bCs/>
          <w:sz w:val="32"/>
          <w:szCs w:val="32"/>
        </w:rPr>
        <w:t>社会保障和就业支出（类）行政事业单位养老支出（款）机关事业单位基本养老保险缴费支出（项）</w:t>
      </w:r>
      <w:r>
        <w:rPr>
          <w:rStyle w:val="13"/>
          <w:rFonts w:hint="eastAsia" w:ascii="仿宋" w:hAnsi="仿宋" w:eastAsia="仿宋"/>
          <w:b w:val="0"/>
          <w:bCs/>
          <w:sz w:val="32"/>
          <w:szCs w:val="32"/>
        </w:rPr>
        <w:t>：支出决算为17.28万元，完成预算100</w:t>
      </w:r>
      <w:r>
        <w:rPr>
          <w:rStyle w:val="13"/>
          <w:rFonts w:ascii="仿宋" w:hAnsi="仿宋" w:eastAsia="仿宋"/>
          <w:b w:val="0"/>
          <w:bCs/>
          <w:sz w:val="32"/>
          <w:szCs w:val="32"/>
        </w:rPr>
        <w:t>%</w:t>
      </w:r>
      <w:r>
        <w:rPr>
          <w:rStyle w:val="13"/>
          <w:rFonts w:hint="eastAsia" w:ascii="仿宋" w:hAnsi="仿宋" w:eastAsia="仿宋"/>
          <w:b w:val="0"/>
          <w:bCs/>
          <w:sz w:val="32"/>
          <w:szCs w:val="32"/>
        </w:rPr>
        <w:t>；</w:t>
      </w:r>
    </w:p>
    <w:p w14:paraId="31C3F007">
      <w:pPr>
        <w:pStyle w:val="2"/>
        <w:spacing w:before="93"/>
      </w:pPr>
      <w:r>
        <w:rPr>
          <w:rFonts w:hint="eastAsia"/>
        </w:rPr>
        <w:t xml:space="preserve">     </w:t>
      </w:r>
      <w:r>
        <w:rPr>
          <w:rStyle w:val="13"/>
          <w:rFonts w:hint="eastAsia" w:ascii="仿宋" w:hAnsi="仿宋" w:eastAsia="仿宋"/>
          <w:bCs/>
          <w:sz w:val="32"/>
          <w:szCs w:val="32"/>
        </w:rPr>
        <w:t>社会保障和就业支出（类）抚恤（款）死亡抚恤（项）</w:t>
      </w:r>
      <w:r>
        <w:rPr>
          <w:rStyle w:val="13"/>
          <w:rFonts w:hint="eastAsia" w:ascii="仿宋" w:hAnsi="仿宋" w:eastAsia="仿宋"/>
          <w:b w:val="0"/>
          <w:bCs/>
          <w:sz w:val="32"/>
          <w:szCs w:val="32"/>
        </w:rPr>
        <w:t>：支出决算为19.92万元，完成预算100</w:t>
      </w:r>
      <w:r>
        <w:rPr>
          <w:rStyle w:val="13"/>
          <w:rFonts w:ascii="仿宋" w:hAnsi="仿宋" w:eastAsia="仿宋"/>
          <w:b w:val="0"/>
          <w:bCs/>
          <w:sz w:val="32"/>
          <w:szCs w:val="32"/>
        </w:rPr>
        <w:t>%</w:t>
      </w:r>
      <w:r>
        <w:rPr>
          <w:rStyle w:val="13"/>
          <w:rFonts w:hint="eastAsia" w:ascii="仿宋" w:hAnsi="仿宋" w:eastAsia="仿宋"/>
          <w:b w:val="0"/>
          <w:bCs/>
          <w:sz w:val="32"/>
          <w:szCs w:val="32"/>
        </w:rPr>
        <w:t>；</w:t>
      </w:r>
    </w:p>
    <w:p w14:paraId="24BD2B5E">
      <w:pPr>
        <w:spacing w:line="600" w:lineRule="exact"/>
        <w:ind w:firstLine="643" w:firstLineChars="200"/>
        <w:rPr>
          <w:rStyle w:val="13"/>
          <w:rFonts w:ascii="仿宋" w:hAnsi="仿宋" w:eastAsia="仿宋"/>
          <w:b w:val="0"/>
          <w:bCs/>
          <w:sz w:val="32"/>
          <w:szCs w:val="32"/>
        </w:rPr>
      </w:pPr>
      <w:r>
        <w:rPr>
          <w:rStyle w:val="13"/>
          <w:rFonts w:hint="eastAsia" w:ascii="仿宋" w:hAnsi="仿宋" w:eastAsia="仿宋"/>
          <w:bCs/>
          <w:sz w:val="32"/>
          <w:szCs w:val="32"/>
        </w:rPr>
        <w:t>社会保障和就业支出（类）红十字事业（款）其他红十字事业支出（项）</w:t>
      </w:r>
      <w:r>
        <w:rPr>
          <w:rStyle w:val="13"/>
          <w:rFonts w:hint="eastAsia" w:ascii="仿宋" w:hAnsi="仿宋" w:eastAsia="仿宋"/>
          <w:b w:val="0"/>
          <w:bCs/>
          <w:sz w:val="32"/>
          <w:szCs w:val="32"/>
        </w:rPr>
        <w:t>：支出决算为0.5万元，完成预算100</w:t>
      </w:r>
      <w:r>
        <w:rPr>
          <w:rStyle w:val="13"/>
          <w:rFonts w:ascii="仿宋" w:hAnsi="仿宋" w:eastAsia="仿宋"/>
          <w:b w:val="0"/>
          <w:bCs/>
          <w:sz w:val="32"/>
          <w:szCs w:val="32"/>
        </w:rPr>
        <w:t>%</w:t>
      </w:r>
      <w:r>
        <w:rPr>
          <w:rStyle w:val="13"/>
          <w:rFonts w:hint="eastAsia" w:ascii="仿宋" w:hAnsi="仿宋" w:eastAsia="仿宋"/>
          <w:b w:val="0"/>
          <w:bCs/>
          <w:sz w:val="32"/>
          <w:szCs w:val="32"/>
        </w:rPr>
        <w:t>。</w:t>
      </w:r>
    </w:p>
    <w:p w14:paraId="4198DC5A">
      <w:pPr>
        <w:spacing w:line="600" w:lineRule="exact"/>
        <w:ind w:left="741"/>
        <w:rPr>
          <w:rFonts w:ascii="仿宋" w:hAnsi="仿宋" w:eastAsia="仿宋"/>
          <w:b/>
          <w:bCs/>
          <w:sz w:val="32"/>
          <w:szCs w:val="32"/>
        </w:rPr>
      </w:pPr>
      <w:r>
        <w:rPr>
          <w:rFonts w:hint="eastAsia" w:ascii="仿宋" w:hAnsi="仿宋" w:eastAsia="仿宋"/>
          <w:b/>
          <w:bCs/>
          <w:sz w:val="32"/>
          <w:szCs w:val="32"/>
        </w:rPr>
        <w:t>2.卫生健康支出：</w:t>
      </w:r>
    </w:p>
    <w:p w14:paraId="6F23C5D3">
      <w:pPr>
        <w:spacing w:line="600" w:lineRule="exact"/>
        <w:ind w:firstLine="643" w:firstLineChars="200"/>
        <w:rPr>
          <w:rStyle w:val="13"/>
          <w:rFonts w:ascii="仿宋" w:hAnsi="仿宋" w:eastAsia="仿宋"/>
          <w:b w:val="0"/>
          <w:bCs/>
          <w:sz w:val="32"/>
          <w:szCs w:val="32"/>
        </w:rPr>
      </w:pPr>
      <w:r>
        <w:rPr>
          <w:rStyle w:val="13"/>
          <w:rFonts w:hint="eastAsia" w:ascii="仿宋" w:hAnsi="仿宋" w:eastAsia="仿宋"/>
          <w:bCs/>
          <w:sz w:val="32"/>
          <w:szCs w:val="32"/>
        </w:rPr>
        <w:t>卫生健康支出（类）卫生健康管理事务（款）行政运行（项）</w:t>
      </w:r>
      <w:r>
        <w:rPr>
          <w:rStyle w:val="13"/>
          <w:rFonts w:hint="eastAsia" w:ascii="仿宋" w:hAnsi="仿宋" w:eastAsia="仿宋"/>
          <w:b w:val="0"/>
          <w:bCs/>
          <w:sz w:val="32"/>
          <w:szCs w:val="32"/>
        </w:rPr>
        <w:t>：支出决算为212.30万元，完成预算100</w:t>
      </w:r>
      <w:r>
        <w:rPr>
          <w:rStyle w:val="13"/>
          <w:rFonts w:ascii="仿宋" w:hAnsi="仿宋" w:eastAsia="仿宋"/>
          <w:b w:val="0"/>
          <w:bCs/>
          <w:sz w:val="32"/>
          <w:szCs w:val="32"/>
        </w:rPr>
        <w:t>%</w:t>
      </w:r>
      <w:r>
        <w:rPr>
          <w:rStyle w:val="13"/>
          <w:rFonts w:hint="eastAsia" w:ascii="仿宋" w:hAnsi="仿宋" w:eastAsia="仿宋"/>
          <w:b w:val="0"/>
          <w:bCs/>
          <w:sz w:val="32"/>
          <w:szCs w:val="32"/>
        </w:rPr>
        <w:t>；</w:t>
      </w:r>
    </w:p>
    <w:p w14:paraId="7E56CCAE">
      <w:pPr>
        <w:pStyle w:val="2"/>
        <w:spacing w:before="93"/>
        <w:ind w:firstLine="640"/>
        <w:rPr>
          <w:rStyle w:val="13"/>
          <w:rFonts w:ascii="仿宋" w:hAnsi="仿宋" w:eastAsia="仿宋"/>
          <w:b w:val="0"/>
          <w:bCs/>
          <w:sz w:val="32"/>
          <w:szCs w:val="32"/>
        </w:rPr>
      </w:pPr>
      <w:r>
        <w:rPr>
          <w:rStyle w:val="13"/>
          <w:rFonts w:hint="eastAsia" w:ascii="仿宋" w:hAnsi="仿宋" w:eastAsia="仿宋"/>
          <w:bCs/>
          <w:sz w:val="32"/>
          <w:szCs w:val="32"/>
        </w:rPr>
        <w:t>卫生健康支出（类）卫生健康管理事务（款）</w:t>
      </w:r>
      <w:r>
        <w:rPr>
          <w:rStyle w:val="13"/>
          <w:rFonts w:hint="eastAsia" w:ascii="仿宋" w:hAnsi="仿宋" w:eastAsia="仿宋"/>
          <w:sz w:val="32"/>
          <w:szCs w:val="32"/>
        </w:rPr>
        <w:t>其他卫生健康管理事务支出</w:t>
      </w:r>
      <w:r>
        <w:rPr>
          <w:rStyle w:val="13"/>
          <w:rFonts w:hint="eastAsia" w:ascii="仿宋" w:hAnsi="仿宋" w:eastAsia="仿宋"/>
          <w:bCs/>
          <w:sz w:val="32"/>
          <w:szCs w:val="32"/>
        </w:rPr>
        <w:t>（项）</w:t>
      </w:r>
      <w:r>
        <w:rPr>
          <w:rStyle w:val="13"/>
          <w:rFonts w:hint="eastAsia" w:ascii="仿宋" w:hAnsi="仿宋" w:eastAsia="仿宋"/>
          <w:b w:val="0"/>
          <w:bCs/>
          <w:sz w:val="32"/>
          <w:szCs w:val="32"/>
        </w:rPr>
        <w:t>：支出决算为47.91万元，完成预算100</w:t>
      </w:r>
      <w:r>
        <w:rPr>
          <w:rStyle w:val="13"/>
          <w:rFonts w:ascii="仿宋" w:hAnsi="仿宋" w:eastAsia="仿宋"/>
          <w:b w:val="0"/>
          <w:bCs/>
          <w:sz w:val="32"/>
          <w:szCs w:val="32"/>
        </w:rPr>
        <w:t>%</w:t>
      </w:r>
      <w:r>
        <w:rPr>
          <w:rStyle w:val="13"/>
          <w:rFonts w:hint="eastAsia" w:ascii="仿宋" w:hAnsi="仿宋" w:eastAsia="仿宋"/>
          <w:b w:val="0"/>
          <w:bCs/>
          <w:sz w:val="32"/>
          <w:szCs w:val="32"/>
        </w:rPr>
        <w:t>；</w:t>
      </w:r>
    </w:p>
    <w:p w14:paraId="7E59B926">
      <w:pPr>
        <w:pStyle w:val="2"/>
        <w:spacing w:before="93"/>
        <w:ind w:firstLine="640"/>
        <w:rPr>
          <w:rStyle w:val="13"/>
          <w:rFonts w:ascii="仿宋" w:hAnsi="仿宋" w:eastAsia="仿宋"/>
          <w:b w:val="0"/>
          <w:bCs/>
          <w:sz w:val="32"/>
          <w:szCs w:val="32"/>
        </w:rPr>
      </w:pPr>
      <w:r>
        <w:rPr>
          <w:rStyle w:val="13"/>
          <w:rFonts w:hint="eastAsia" w:ascii="仿宋" w:hAnsi="仿宋" w:eastAsia="仿宋"/>
          <w:bCs/>
          <w:sz w:val="32"/>
          <w:szCs w:val="32"/>
        </w:rPr>
        <w:t>卫生健康支出（类）公共卫生（款）</w:t>
      </w:r>
      <w:r>
        <w:rPr>
          <w:rStyle w:val="13"/>
          <w:rFonts w:hint="eastAsia" w:ascii="仿宋" w:hAnsi="仿宋" w:eastAsia="仿宋"/>
          <w:sz w:val="32"/>
          <w:szCs w:val="32"/>
        </w:rPr>
        <w:t>重大</w:t>
      </w:r>
      <w:r>
        <w:rPr>
          <w:rStyle w:val="13"/>
          <w:rFonts w:ascii="仿宋" w:hAnsi="仿宋" w:eastAsia="仿宋"/>
          <w:sz w:val="32"/>
          <w:szCs w:val="32"/>
        </w:rPr>
        <w:t>公共卫生服务</w:t>
      </w:r>
      <w:r>
        <w:rPr>
          <w:rStyle w:val="13"/>
          <w:rFonts w:hint="eastAsia" w:ascii="仿宋" w:hAnsi="仿宋" w:eastAsia="仿宋"/>
          <w:sz w:val="32"/>
          <w:szCs w:val="32"/>
        </w:rPr>
        <w:t>（项）</w:t>
      </w:r>
      <w:r>
        <w:rPr>
          <w:rStyle w:val="13"/>
          <w:rFonts w:hint="eastAsia" w:ascii="仿宋" w:hAnsi="仿宋" w:eastAsia="仿宋"/>
          <w:b w:val="0"/>
          <w:bCs/>
          <w:sz w:val="32"/>
          <w:szCs w:val="32"/>
        </w:rPr>
        <w:t>：支出决算为111.43万元，完成预算100%；</w:t>
      </w:r>
    </w:p>
    <w:p w14:paraId="2037BCC2">
      <w:pPr>
        <w:pStyle w:val="2"/>
        <w:spacing w:before="93"/>
        <w:ind w:firstLine="640"/>
        <w:rPr>
          <w:rStyle w:val="13"/>
          <w:rFonts w:ascii="仿宋" w:hAnsi="仿宋" w:eastAsia="仿宋"/>
          <w:b w:val="0"/>
          <w:bCs/>
          <w:sz w:val="32"/>
          <w:szCs w:val="32"/>
        </w:rPr>
      </w:pPr>
      <w:r>
        <w:rPr>
          <w:rStyle w:val="13"/>
          <w:rFonts w:hint="eastAsia" w:ascii="仿宋" w:hAnsi="仿宋" w:eastAsia="仿宋"/>
          <w:bCs/>
          <w:sz w:val="32"/>
          <w:szCs w:val="32"/>
        </w:rPr>
        <w:t>卫生健康支出（类）公共卫生（款）</w:t>
      </w:r>
      <w:r>
        <w:rPr>
          <w:rStyle w:val="13"/>
          <w:rFonts w:hint="eastAsia" w:ascii="仿宋" w:hAnsi="仿宋" w:eastAsia="仿宋"/>
          <w:sz w:val="32"/>
          <w:szCs w:val="32"/>
        </w:rPr>
        <w:t>其他公共卫生支出（项）</w:t>
      </w:r>
      <w:r>
        <w:rPr>
          <w:rStyle w:val="13"/>
          <w:rFonts w:hint="eastAsia" w:ascii="仿宋" w:hAnsi="仿宋" w:eastAsia="仿宋"/>
          <w:b w:val="0"/>
          <w:bCs/>
          <w:sz w:val="32"/>
          <w:szCs w:val="32"/>
        </w:rPr>
        <w:t>：支出决算为15万元，完成预算100</w:t>
      </w:r>
      <w:r>
        <w:rPr>
          <w:rStyle w:val="13"/>
          <w:rFonts w:ascii="仿宋" w:hAnsi="仿宋" w:eastAsia="仿宋"/>
          <w:b w:val="0"/>
          <w:bCs/>
          <w:sz w:val="32"/>
          <w:szCs w:val="32"/>
        </w:rPr>
        <w:t>%</w:t>
      </w:r>
      <w:r>
        <w:rPr>
          <w:rStyle w:val="13"/>
          <w:rFonts w:hint="eastAsia" w:ascii="仿宋" w:hAnsi="仿宋" w:eastAsia="仿宋"/>
          <w:b w:val="0"/>
          <w:bCs/>
          <w:sz w:val="32"/>
          <w:szCs w:val="32"/>
        </w:rPr>
        <w:t>；</w:t>
      </w:r>
    </w:p>
    <w:p w14:paraId="17CB2A9F">
      <w:pPr>
        <w:pStyle w:val="2"/>
        <w:spacing w:before="93"/>
        <w:ind w:firstLine="640"/>
        <w:rPr>
          <w:rStyle w:val="13"/>
          <w:rFonts w:ascii="仿宋" w:hAnsi="仿宋" w:eastAsia="仿宋"/>
          <w:b w:val="0"/>
          <w:bCs/>
          <w:sz w:val="32"/>
          <w:szCs w:val="32"/>
        </w:rPr>
      </w:pPr>
      <w:r>
        <w:rPr>
          <w:rStyle w:val="13"/>
          <w:rFonts w:hint="eastAsia" w:ascii="仿宋" w:hAnsi="仿宋" w:eastAsia="仿宋"/>
          <w:bCs/>
          <w:sz w:val="32"/>
          <w:szCs w:val="32"/>
        </w:rPr>
        <w:t>卫生健康支出（类）计划生育事务（款）</w:t>
      </w:r>
      <w:r>
        <w:rPr>
          <w:rStyle w:val="13"/>
          <w:rFonts w:hint="eastAsia" w:ascii="仿宋" w:hAnsi="仿宋" w:eastAsia="仿宋"/>
          <w:sz w:val="32"/>
          <w:szCs w:val="32"/>
        </w:rPr>
        <w:t>计划生育服务（项）</w:t>
      </w:r>
      <w:r>
        <w:rPr>
          <w:rStyle w:val="13"/>
          <w:rFonts w:hint="eastAsia" w:ascii="仿宋" w:hAnsi="仿宋" w:eastAsia="仿宋"/>
          <w:b w:val="0"/>
          <w:bCs/>
          <w:sz w:val="32"/>
          <w:szCs w:val="32"/>
        </w:rPr>
        <w:t>：支出决算为316.29万元，完成预算100%；</w:t>
      </w:r>
    </w:p>
    <w:p w14:paraId="4292ECCA">
      <w:pPr>
        <w:pStyle w:val="2"/>
        <w:spacing w:before="93"/>
        <w:ind w:firstLine="640"/>
        <w:rPr>
          <w:rStyle w:val="13"/>
          <w:rFonts w:ascii="仿宋" w:hAnsi="仿宋" w:eastAsia="仿宋"/>
          <w:b w:val="0"/>
          <w:bCs/>
          <w:sz w:val="32"/>
          <w:szCs w:val="32"/>
        </w:rPr>
      </w:pPr>
      <w:r>
        <w:rPr>
          <w:rStyle w:val="13"/>
          <w:rFonts w:hint="eastAsia" w:ascii="仿宋" w:hAnsi="仿宋" w:eastAsia="仿宋"/>
          <w:bCs/>
          <w:sz w:val="32"/>
          <w:szCs w:val="32"/>
        </w:rPr>
        <w:t>卫生健康支出（类）计划生育事务（款）</w:t>
      </w:r>
      <w:r>
        <w:rPr>
          <w:rStyle w:val="13"/>
          <w:rFonts w:hint="eastAsia" w:ascii="仿宋" w:hAnsi="仿宋" w:eastAsia="仿宋"/>
          <w:sz w:val="32"/>
          <w:szCs w:val="32"/>
        </w:rPr>
        <w:t>其他计划生育事务支出（项）</w:t>
      </w:r>
      <w:r>
        <w:rPr>
          <w:rStyle w:val="13"/>
          <w:rFonts w:hint="eastAsia" w:ascii="仿宋" w:hAnsi="仿宋" w:eastAsia="仿宋"/>
          <w:b w:val="0"/>
          <w:bCs/>
          <w:sz w:val="32"/>
          <w:szCs w:val="32"/>
        </w:rPr>
        <w:t>：支出决算为305.12万元，完成预算100</w:t>
      </w:r>
      <w:r>
        <w:rPr>
          <w:rStyle w:val="13"/>
          <w:rFonts w:ascii="仿宋" w:hAnsi="仿宋" w:eastAsia="仿宋"/>
          <w:b w:val="0"/>
          <w:bCs/>
          <w:sz w:val="32"/>
          <w:szCs w:val="32"/>
        </w:rPr>
        <w:t>%</w:t>
      </w:r>
      <w:r>
        <w:rPr>
          <w:rStyle w:val="13"/>
          <w:rFonts w:hint="eastAsia" w:ascii="仿宋" w:hAnsi="仿宋" w:eastAsia="仿宋"/>
          <w:b w:val="0"/>
          <w:bCs/>
          <w:sz w:val="32"/>
          <w:szCs w:val="32"/>
        </w:rPr>
        <w:t>；</w:t>
      </w:r>
    </w:p>
    <w:p w14:paraId="4A944A2F">
      <w:pPr>
        <w:pStyle w:val="2"/>
        <w:spacing w:before="93"/>
        <w:ind w:firstLine="640"/>
        <w:rPr>
          <w:rStyle w:val="13"/>
          <w:rFonts w:ascii="仿宋" w:hAnsi="仿宋" w:eastAsia="仿宋"/>
          <w:b w:val="0"/>
          <w:bCs/>
          <w:sz w:val="32"/>
          <w:szCs w:val="32"/>
        </w:rPr>
      </w:pPr>
      <w:r>
        <w:rPr>
          <w:rStyle w:val="13"/>
          <w:rFonts w:hint="eastAsia" w:ascii="仿宋" w:hAnsi="仿宋" w:eastAsia="仿宋"/>
          <w:bCs/>
          <w:sz w:val="32"/>
          <w:szCs w:val="32"/>
        </w:rPr>
        <w:t>卫生健康支出（类）</w:t>
      </w:r>
      <w:r>
        <w:rPr>
          <w:rStyle w:val="13"/>
          <w:rFonts w:hint="eastAsia" w:ascii="仿宋" w:hAnsi="仿宋" w:eastAsia="仿宋"/>
          <w:sz w:val="32"/>
          <w:szCs w:val="32"/>
        </w:rPr>
        <w:t>行政事业单位医疗（款）行政单位医疗（项）</w:t>
      </w:r>
      <w:r>
        <w:rPr>
          <w:rStyle w:val="13"/>
          <w:rFonts w:hint="eastAsia" w:ascii="仿宋" w:hAnsi="仿宋" w:eastAsia="仿宋"/>
          <w:b w:val="0"/>
          <w:bCs/>
          <w:sz w:val="32"/>
          <w:szCs w:val="32"/>
        </w:rPr>
        <w:t>：支出决算为14.67万元，完成预算100</w:t>
      </w:r>
      <w:r>
        <w:rPr>
          <w:rStyle w:val="13"/>
          <w:rFonts w:ascii="仿宋" w:hAnsi="仿宋" w:eastAsia="仿宋"/>
          <w:b w:val="0"/>
          <w:bCs/>
          <w:sz w:val="32"/>
          <w:szCs w:val="32"/>
        </w:rPr>
        <w:t>%</w:t>
      </w:r>
      <w:r>
        <w:rPr>
          <w:rStyle w:val="13"/>
          <w:rFonts w:hint="eastAsia" w:ascii="仿宋" w:hAnsi="仿宋" w:eastAsia="仿宋"/>
          <w:b w:val="0"/>
          <w:bCs/>
          <w:sz w:val="32"/>
          <w:szCs w:val="32"/>
        </w:rPr>
        <w:t>；</w:t>
      </w:r>
    </w:p>
    <w:p w14:paraId="3B8EC662">
      <w:pPr>
        <w:pStyle w:val="2"/>
        <w:spacing w:before="93"/>
        <w:ind w:firstLine="640"/>
        <w:rPr>
          <w:rStyle w:val="13"/>
          <w:rFonts w:ascii="仿宋" w:hAnsi="仿宋" w:eastAsia="仿宋"/>
          <w:b w:val="0"/>
          <w:bCs/>
          <w:sz w:val="32"/>
          <w:szCs w:val="32"/>
        </w:rPr>
      </w:pPr>
      <w:r>
        <w:rPr>
          <w:rStyle w:val="13"/>
          <w:rFonts w:hint="eastAsia" w:ascii="仿宋" w:hAnsi="仿宋" w:eastAsia="仿宋"/>
          <w:bCs/>
          <w:sz w:val="32"/>
          <w:szCs w:val="32"/>
        </w:rPr>
        <w:t>卫生健康支出（类）</w:t>
      </w:r>
      <w:r>
        <w:rPr>
          <w:rStyle w:val="13"/>
          <w:rFonts w:hint="eastAsia" w:ascii="仿宋" w:hAnsi="仿宋" w:eastAsia="仿宋"/>
          <w:sz w:val="32"/>
          <w:szCs w:val="32"/>
        </w:rPr>
        <w:t>行政事业单位医疗（款）公务员医疗补助（项）</w:t>
      </w:r>
      <w:r>
        <w:rPr>
          <w:rStyle w:val="13"/>
          <w:rFonts w:hint="eastAsia" w:ascii="仿宋" w:hAnsi="仿宋" w:eastAsia="仿宋"/>
          <w:b w:val="0"/>
          <w:bCs/>
          <w:sz w:val="32"/>
          <w:szCs w:val="32"/>
        </w:rPr>
        <w:t>：支出决算为1.58万元，完成预算100</w:t>
      </w:r>
      <w:r>
        <w:rPr>
          <w:rStyle w:val="13"/>
          <w:rFonts w:ascii="仿宋" w:hAnsi="仿宋" w:eastAsia="仿宋"/>
          <w:b w:val="0"/>
          <w:bCs/>
          <w:sz w:val="32"/>
          <w:szCs w:val="32"/>
        </w:rPr>
        <w:t>%</w:t>
      </w:r>
      <w:r>
        <w:rPr>
          <w:rStyle w:val="13"/>
          <w:rFonts w:hint="eastAsia" w:ascii="仿宋" w:hAnsi="仿宋" w:eastAsia="仿宋"/>
          <w:b w:val="0"/>
          <w:bCs/>
          <w:sz w:val="32"/>
          <w:szCs w:val="32"/>
        </w:rPr>
        <w:t>。</w:t>
      </w:r>
    </w:p>
    <w:p w14:paraId="488F29A9">
      <w:pPr>
        <w:spacing w:line="600" w:lineRule="exact"/>
        <w:ind w:left="741"/>
        <w:rPr>
          <w:rStyle w:val="13"/>
          <w:rFonts w:ascii="仿宋" w:hAnsi="仿宋" w:eastAsia="仿宋"/>
          <w:bCs/>
          <w:sz w:val="32"/>
          <w:szCs w:val="32"/>
        </w:rPr>
      </w:pPr>
      <w:r>
        <w:rPr>
          <w:rFonts w:hint="eastAsia" w:ascii="仿宋" w:hAnsi="仿宋" w:eastAsia="仿宋"/>
          <w:b/>
          <w:bCs/>
          <w:sz w:val="32"/>
          <w:szCs w:val="32"/>
        </w:rPr>
        <w:t>3.住房保障支出</w:t>
      </w:r>
      <w:r>
        <w:rPr>
          <w:rStyle w:val="13"/>
          <w:rFonts w:ascii="仿宋" w:hAnsi="仿宋" w:eastAsia="仿宋"/>
          <w:bCs/>
          <w:sz w:val="32"/>
          <w:szCs w:val="32"/>
        </w:rPr>
        <w:t>:</w:t>
      </w:r>
    </w:p>
    <w:p w14:paraId="3B63154D">
      <w:pPr>
        <w:spacing w:line="600" w:lineRule="exact"/>
        <w:ind w:left="630" w:leftChars="300"/>
        <w:rPr>
          <w:rFonts w:ascii="仿宋" w:hAnsi="仿宋" w:eastAsia="仿宋"/>
          <w:b/>
          <w:sz w:val="32"/>
          <w:szCs w:val="32"/>
        </w:rPr>
      </w:pPr>
      <w:r>
        <w:rPr>
          <w:rStyle w:val="13"/>
          <w:rFonts w:hint="eastAsia" w:ascii="仿宋" w:hAnsi="仿宋" w:eastAsia="仿宋"/>
          <w:bCs/>
          <w:sz w:val="32"/>
          <w:szCs w:val="32"/>
        </w:rPr>
        <w:t>住房保障支出（类）</w:t>
      </w:r>
      <w:r>
        <w:rPr>
          <w:rStyle w:val="13"/>
          <w:rFonts w:hint="eastAsia" w:ascii="仿宋" w:hAnsi="仿宋" w:eastAsia="仿宋"/>
          <w:sz w:val="32"/>
          <w:szCs w:val="32"/>
        </w:rPr>
        <w:t>住房改革支出（款）住房公积金（项）</w:t>
      </w:r>
      <w:r>
        <w:rPr>
          <w:rStyle w:val="13"/>
          <w:rFonts w:hint="eastAsia" w:ascii="仿宋" w:hAnsi="仿宋" w:eastAsia="仿宋"/>
          <w:b w:val="0"/>
          <w:bCs/>
          <w:sz w:val="32"/>
          <w:szCs w:val="32"/>
        </w:rPr>
        <w:t>：支出决算为20.81万元，完成预算100</w:t>
      </w:r>
      <w:r>
        <w:rPr>
          <w:rStyle w:val="13"/>
          <w:rFonts w:ascii="仿宋" w:hAnsi="仿宋" w:eastAsia="仿宋"/>
          <w:b w:val="0"/>
          <w:bCs/>
          <w:sz w:val="32"/>
          <w:szCs w:val="32"/>
        </w:rPr>
        <w:t>%</w:t>
      </w:r>
      <w:r>
        <w:rPr>
          <w:rStyle w:val="13"/>
          <w:rFonts w:hint="eastAsia" w:ascii="仿宋" w:hAnsi="仿宋" w:eastAsia="仿宋"/>
          <w:b w:val="0"/>
          <w:bCs/>
          <w:sz w:val="32"/>
          <w:szCs w:val="32"/>
        </w:rPr>
        <w:t>。</w:t>
      </w:r>
    </w:p>
    <w:p w14:paraId="29E02D72">
      <w:pPr>
        <w:tabs>
          <w:tab w:val="right" w:pos="8306"/>
        </w:tabs>
        <w:spacing w:line="600" w:lineRule="exact"/>
        <w:ind w:firstLine="640"/>
        <w:outlineLvl w:val="1"/>
        <w:rPr>
          <w:rStyle w:val="17"/>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7"/>
          <w:rFonts w:hint="eastAsia" w:ascii="黑体" w:hAnsi="黑体" w:eastAsia="黑体"/>
          <w:b w:val="0"/>
        </w:rPr>
        <w:t>般公共预算财政拨款基本支出决算情况说明</w:t>
      </w:r>
      <w:bookmarkEnd w:id="34"/>
      <w:bookmarkEnd w:id="35"/>
      <w:r>
        <w:rPr>
          <w:rStyle w:val="17"/>
          <w:rFonts w:ascii="黑体" w:hAnsi="黑体" w:eastAsia="黑体"/>
          <w:b w:val="0"/>
        </w:rPr>
        <w:tab/>
      </w:r>
    </w:p>
    <w:p w14:paraId="71ADE78E">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22年一般公共预算财政拨款基本支出340.15万元，其中：</w:t>
      </w:r>
    </w:p>
    <w:p w14:paraId="4A80DCE3">
      <w:pPr>
        <w:spacing w:line="600" w:lineRule="exact"/>
        <w:ind w:firstLine="645"/>
        <w:rPr>
          <w:rFonts w:ascii="仿宋" w:hAnsi="仿宋" w:eastAsia="仿宋"/>
          <w:sz w:val="32"/>
          <w:szCs w:val="32"/>
        </w:rPr>
      </w:pPr>
      <w:r>
        <w:rPr>
          <w:rFonts w:hint="eastAsia" w:ascii="仿宋" w:hAnsi="仿宋" w:eastAsia="仿宋"/>
          <w:sz w:val="32"/>
          <w:szCs w:val="32"/>
        </w:rPr>
        <w:t>人员经费320.97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xml:space="preserve">    公用经费19.18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ED0DB34">
      <w:pPr>
        <w:spacing w:line="600" w:lineRule="exact"/>
        <w:ind w:firstLine="640"/>
        <w:outlineLvl w:val="1"/>
        <w:rPr>
          <w:rStyle w:val="17"/>
          <w:rFonts w:ascii="黑体" w:hAnsi="黑体" w:eastAsia="黑体"/>
          <w:b w:val="0"/>
        </w:rPr>
      </w:pPr>
      <w:bookmarkStart w:id="36" w:name="_Toc15377215"/>
      <w:bookmarkStart w:id="37" w:name="_Toc15396609"/>
      <w:r>
        <w:rPr>
          <w:rFonts w:hint="eastAsia" w:ascii="黑体" w:eastAsia="黑体"/>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36"/>
      <w:bookmarkEnd w:id="37"/>
    </w:p>
    <w:p w14:paraId="11C3E247">
      <w:pPr>
        <w:pStyle w:val="5"/>
        <w:spacing w:before="0" w:after="0" w:line="600" w:lineRule="exact"/>
        <w:ind w:firstLine="640"/>
        <w:rPr>
          <w:rFonts w:ascii="仿宋" w:hAnsi="仿宋" w:eastAsia="仿宋"/>
          <w:bCs w:val="0"/>
        </w:rPr>
      </w:pPr>
      <w:r>
        <w:rPr>
          <w:rFonts w:hint="eastAsia" w:ascii="仿宋" w:hAnsi="仿宋" w:eastAsia="仿宋"/>
          <w:bCs w:val="0"/>
        </w:rPr>
        <w:t>（一）“三公”经费财政拨款支出决算总体情况说明</w:t>
      </w:r>
    </w:p>
    <w:p w14:paraId="7B25533F">
      <w:pPr>
        <w:pStyle w:val="33"/>
        <w:spacing w:before="0" w:beforeAutospacing="0" w:after="0" w:afterAutospacing="0" w:line="600" w:lineRule="exact"/>
        <w:ind w:firstLine="640"/>
        <w:jc w:val="both"/>
        <w:rPr>
          <w:rFonts w:ascii="仿宋" w:hAnsi="仿宋" w:eastAsia="仿宋"/>
          <w:kern w:val="2"/>
          <w:sz w:val="32"/>
          <w:szCs w:val="32"/>
        </w:rPr>
      </w:pPr>
      <w:r>
        <w:rPr>
          <w:rFonts w:hint="eastAsia" w:ascii="仿宋" w:hAnsi="仿宋" w:eastAsia="仿宋"/>
          <w:kern w:val="2"/>
          <w:sz w:val="32"/>
          <w:szCs w:val="32"/>
        </w:rPr>
        <w:t>2022年“三公”经费财政拨款支出决算为0.18万元，</w:t>
      </w:r>
      <w:r>
        <w:rPr>
          <w:rFonts w:ascii="仿宋" w:hAnsi="仿宋" w:eastAsia="仿宋"/>
          <w:kern w:val="2"/>
          <w:sz w:val="32"/>
          <w:szCs w:val="32"/>
        </w:rPr>
        <w:t>完成预算</w:t>
      </w:r>
      <w:r>
        <w:rPr>
          <w:rFonts w:hint="eastAsia" w:ascii="仿宋" w:hAnsi="仿宋" w:eastAsia="仿宋"/>
          <w:kern w:val="2"/>
          <w:sz w:val="32"/>
          <w:szCs w:val="32"/>
        </w:rPr>
        <w:t>10</w:t>
      </w:r>
      <w:r>
        <w:rPr>
          <w:rFonts w:ascii="仿宋" w:hAnsi="仿宋" w:eastAsia="仿宋"/>
          <w:kern w:val="2"/>
          <w:sz w:val="32"/>
          <w:szCs w:val="32"/>
        </w:rPr>
        <w:t>0%，</w:t>
      </w:r>
      <w:r>
        <w:rPr>
          <w:rFonts w:hint="eastAsia" w:ascii="仿宋" w:hAnsi="仿宋" w:eastAsia="仿宋"/>
          <w:kern w:val="2"/>
          <w:sz w:val="32"/>
          <w:szCs w:val="32"/>
        </w:rPr>
        <w:t>较上年增加0.18万元，增长100%。</w:t>
      </w:r>
      <w:r>
        <w:rPr>
          <w:rFonts w:ascii="仿宋" w:hAnsi="仿宋" w:eastAsia="仿宋"/>
          <w:kern w:val="2"/>
          <w:sz w:val="32"/>
          <w:szCs w:val="32"/>
        </w:rPr>
        <w:t>决算数与预算数持平</w:t>
      </w:r>
      <w:r>
        <w:rPr>
          <w:rFonts w:hint="eastAsia" w:ascii="仿宋" w:hAnsi="仿宋" w:eastAsia="仿宋"/>
          <w:kern w:val="2"/>
          <w:sz w:val="32"/>
          <w:szCs w:val="32"/>
        </w:rPr>
        <w:t>。</w:t>
      </w:r>
    </w:p>
    <w:p w14:paraId="57CB634E">
      <w:pPr>
        <w:pStyle w:val="5"/>
        <w:spacing w:before="0" w:after="0" w:line="600" w:lineRule="exact"/>
        <w:ind w:firstLine="640"/>
        <w:rPr>
          <w:rFonts w:ascii="仿宋" w:hAnsi="仿宋" w:eastAsia="仿宋"/>
          <w:bCs w:val="0"/>
        </w:rPr>
      </w:pPr>
      <w:r>
        <w:rPr>
          <w:rFonts w:hint="eastAsia" w:ascii="仿宋" w:hAnsi="仿宋" w:eastAsia="仿宋"/>
          <w:bCs w:val="0"/>
        </w:rPr>
        <w:t>（二）“三公”经费财政拨款支出决算具体情况说明</w:t>
      </w:r>
    </w:p>
    <w:p w14:paraId="41C3222E">
      <w:pPr>
        <w:pStyle w:val="33"/>
        <w:spacing w:before="0" w:beforeAutospacing="0" w:after="0" w:afterAutospacing="0" w:line="600" w:lineRule="exact"/>
        <w:ind w:firstLine="640"/>
        <w:jc w:val="both"/>
        <w:rPr>
          <w:rFonts w:ascii="仿宋" w:hAnsi="仿宋" w:eastAsia="仿宋"/>
          <w:kern w:val="2"/>
          <w:sz w:val="32"/>
          <w:szCs w:val="32"/>
        </w:rPr>
      </w:pPr>
      <w:r>
        <w:rPr>
          <w:rFonts w:hint="eastAsia" w:ascii="仿宋" w:hAnsi="仿宋" w:eastAsia="仿宋"/>
          <w:kern w:val="2"/>
          <w:sz w:val="32"/>
          <w:szCs w:val="32"/>
        </w:rPr>
        <w:t>2022年“三公”经费财政拨款支出决算中，因公出国（境）费支出决算0万元，</w:t>
      </w:r>
      <w:r>
        <w:rPr>
          <w:rFonts w:ascii="仿宋" w:hAnsi="仿宋" w:eastAsia="仿宋"/>
          <w:kern w:val="2"/>
          <w:sz w:val="32"/>
          <w:szCs w:val="32"/>
        </w:rPr>
        <w:t>占0%</w:t>
      </w:r>
      <w:r>
        <w:rPr>
          <w:rFonts w:hint="eastAsia" w:ascii="仿宋" w:hAnsi="仿宋" w:eastAsia="仿宋"/>
          <w:kern w:val="2"/>
          <w:sz w:val="32"/>
          <w:szCs w:val="32"/>
        </w:rPr>
        <w:t>；公务用车购置及运行维护费支出决算0万元，</w:t>
      </w:r>
      <w:r>
        <w:rPr>
          <w:rFonts w:ascii="仿宋" w:hAnsi="仿宋" w:eastAsia="仿宋"/>
          <w:kern w:val="2"/>
          <w:sz w:val="32"/>
          <w:szCs w:val="32"/>
        </w:rPr>
        <w:t>占0%</w:t>
      </w:r>
      <w:r>
        <w:rPr>
          <w:rFonts w:hint="eastAsia" w:ascii="仿宋" w:hAnsi="仿宋" w:eastAsia="仿宋"/>
          <w:kern w:val="2"/>
          <w:sz w:val="32"/>
          <w:szCs w:val="32"/>
        </w:rPr>
        <w:t>；公务接待费支出决算0.18万元，</w:t>
      </w:r>
      <w:r>
        <w:rPr>
          <w:rFonts w:ascii="仿宋" w:hAnsi="仿宋" w:eastAsia="仿宋"/>
          <w:kern w:val="2"/>
          <w:sz w:val="32"/>
          <w:szCs w:val="32"/>
        </w:rPr>
        <w:t>占</w:t>
      </w:r>
      <w:r>
        <w:rPr>
          <w:rFonts w:hint="eastAsia" w:ascii="仿宋" w:hAnsi="仿宋" w:eastAsia="仿宋"/>
          <w:kern w:val="2"/>
          <w:sz w:val="32"/>
          <w:szCs w:val="32"/>
        </w:rPr>
        <w:t>10</w:t>
      </w:r>
      <w:r>
        <w:rPr>
          <w:rFonts w:ascii="仿宋" w:hAnsi="仿宋" w:eastAsia="仿宋"/>
          <w:kern w:val="2"/>
          <w:sz w:val="32"/>
          <w:szCs w:val="32"/>
        </w:rPr>
        <w:t>0%</w:t>
      </w:r>
      <w:r>
        <w:rPr>
          <w:rFonts w:hint="eastAsia" w:ascii="仿宋" w:hAnsi="仿宋" w:eastAsia="仿宋"/>
          <w:kern w:val="2"/>
          <w:sz w:val="32"/>
          <w:szCs w:val="32"/>
        </w:rPr>
        <w:t>。</w:t>
      </w:r>
      <w:r>
        <w:rPr>
          <w:rFonts w:ascii="仿宋" w:hAnsi="仿宋" w:eastAsia="仿宋"/>
          <w:kern w:val="2"/>
          <w:sz w:val="32"/>
          <w:szCs w:val="32"/>
        </w:rPr>
        <w:t>具体情况如下：</w:t>
      </w:r>
    </w:p>
    <w:p w14:paraId="2A51E82D">
      <w:pPr>
        <w:pStyle w:val="33"/>
        <w:spacing w:before="0" w:beforeAutospacing="0" w:after="0" w:afterAutospacing="0" w:line="600" w:lineRule="exact"/>
        <w:ind w:firstLine="640"/>
        <w:jc w:val="both"/>
        <w:rPr>
          <w:rFonts w:ascii="仿宋" w:hAnsi="仿宋" w:eastAsia="仿宋"/>
          <w:kern w:val="2"/>
          <w:sz w:val="32"/>
          <w:szCs w:val="32"/>
        </w:rPr>
      </w:pPr>
      <w:r>
        <w:rPr>
          <w:rFonts w:hint="eastAsia" w:ascii="仿宋" w:hAnsi="仿宋" w:eastAsia="仿宋"/>
          <w:kern w:val="2"/>
          <w:sz w:val="32"/>
          <w:szCs w:val="32"/>
        </w:rPr>
        <w:t>1.因公出国（境）经费支出0万元</w:t>
      </w:r>
      <w:r>
        <w:rPr>
          <w:rFonts w:ascii="仿宋" w:hAnsi="仿宋" w:eastAsia="仿宋"/>
          <w:kern w:val="2"/>
          <w:sz w:val="32"/>
          <w:szCs w:val="32"/>
        </w:rPr>
        <w:t>，完成预算0%。全年安排因公出国（境）团组0次，出国（境）0人。因公出国（境）支出决算与202</w:t>
      </w:r>
      <w:r>
        <w:rPr>
          <w:rFonts w:hint="eastAsia" w:ascii="仿宋" w:hAnsi="仿宋" w:eastAsia="仿宋"/>
          <w:kern w:val="2"/>
          <w:sz w:val="32"/>
          <w:szCs w:val="32"/>
        </w:rPr>
        <w:t>1</w:t>
      </w:r>
      <w:r>
        <w:rPr>
          <w:rFonts w:ascii="仿宋" w:hAnsi="仿宋" w:eastAsia="仿宋"/>
          <w:kern w:val="2"/>
          <w:sz w:val="32"/>
          <w:szCs w:val="32"/>
        </w:rPr>
        <w:t>年持平</w:t>
      </w:r>
      <w:r>
        <w:rPr>
          <w:rFonts w:hint="eastAsia" w:ascii="仿宋" w:hAnsi="仿宋" w:eastAsia="仿宋"/>
          <w:kern w:val="2"/>
          <w:sz w:val="32"/>
          <w:szCs w:val="32"/>
        </w:rPr>
        <w:t>。</w:t>
      </w:r>
    </w:p>
    <w:p w14:paraId="7ACAF55E">
      <w:pPr>
        <w:pStyle w:val="33"/>
        <w:spacing w:before="0" w:beforeAutospacing="0" w:after="0" w:afterAutospacing="0" w:line="600" w:lineRule="exact"/>
        <w:ind w:firstLine="640"/>
        <w:jc w:val="both"/>
        <w:rPr>
          <w:rFonts w:ascii="仿宋" w:hAnsi="仿宋" w:eastAsia="仿宋"/>
          <w:kern w:val="2"/>
          <w:sz w:val="32"/>
          <w:szCs w:val="32"/>
        </w:rPr>
      </w:pPr>
      <w:r>
        <w:rPr>
          <w:rFonts w:hint="eastAsia" w:ascii="仿宋" w:hAnsi="仿宋" w:eastAsia="仿宋"/>
          <w:kern w:val="2"/>
          <w:sz w:val="32"/>
          <w:szCs w:val="32"/>
        </w:rPr>
        <w:t>2.公务用车购置及运行维护费支出0万元，</w:t>
      </w:r>
      <w:r>
        <w:rPr>
          <w:rFonts w:ascii="仿宋" w:hAnsi="仿宋" w:eastAsia="仿宋"/>
          <w:kern w:val="2"/>
          <w:sz w:val="32"/>
          <w:szCs w:val="32"/>
        </w:rPr>
        <w:t>完成预算0%。公务用车购置及运行维护费支出决算与202</w:t>
      </w:r>
      <w:r>
        <w:rPr>
          <w:rFonts w:hint="eastAsia" w:ascii="仿宋" w:hAnsi="仿宋" w:eastAsia="仿宋"/>
          <w:kern w:val="2"/>
          <w:sz w:val="32"/>
          <w:szCs w:val="32"/>
        </w:rPr>
        <w:t>1</w:t>
      </w:r>
      <w:r>
        <w:rPr>
          <w:rFonts w:ascii="仿宋" w:hAnsi="仿宋" w:eastAsia="仿宋"/>
          <w:kern w:val="2"/>
          <w:sz w:val="32"/>
          <w:szCs w:val="32"/>
        </w:rPr>
        <w:t>年持平。</w:t>
      </w:r>
      <w:r>
        <w:rPr>
          <w:rFonts w:ascii="仿宋" w:hAnsi="仿宋" w:eastAsia="仿宋"/>
          <w:kern w:val="2"/>
          <w:sz w:val="32"/>
          <w:szCs w:val="32"/>
        </w:rPr>
        <w:br w:type="textWrapping"/>
      </w:r>
      <w:r>
        <w:rPr>
          <w:rFonts w:hint="eastAsia" w:ascii="仿宋" w:hAnsi="仿宋" w:eastAsia="仿宋"/>
          <w:kern w:val="2"/>
          <w:sz w:val="32"/>
          <w:szCs w:val="32"/>
        </w:rPr>
        <w:t xml:space="preserve">    </w:t>
      </w:r>
      <w:r>
        <w:rPr>
          <w:rFonts w:ascii="仿宋" w:hAnsi="仿宋" w:eastAsia="仿宋"/>
          <w:kern w:val="2"/>
          <w:sz w:val="32"/>
          <w:szCs w:val="32"/>
        </w:rPr>
        <w:t>其中：公务用车购置支出0万元。全年按规定更新购置公务用车0辆，其中：轿车0辆、金额0万元，越野车0辆、金额0万元，载客汽车0辆、金额0万元。截至202</w:t>
      </w:r>
      <w:r>
        <w:rPr>
          <w:rFonts w:hint="eastAsia" w:ascii="仿宋" w:hAnsi="仿宋" w:eastAsia="仿宋"/>
          <w:kern w:val="2"/>
          <w:sz w:val="32"/>
          <w:szCs w:val="32"/>
        </w:rPr>
        <w:t>2</w:t>
      </w:r>
      <w:r>
        <w:rPr>
          <w:rFonts w:ascii="仿宋" w:hAnsi="仿宋" w:eastAsia="仿宋"/>
          <w:kern w:val="2"/>
          <w:sz w:val="32"/>
          <w:szCs w:val="32"/>
        </w:rPr>
        <w:t>年12月底，单位共有公务用车0辆，其中：轿车0辆、越野车0辆、载客汽车0辆。</w:t>
      </w:r>
      <w:r>
        <w:rPr>
          <w:rFonts w:ascii="仿宋" w:hAnsi="仿宋" w:eastAsia="仿宋"/>
          <w:kern w:val="2"/>
          <w:sz w:val="32"/>
          <w:szCs w:val="32"/>
        </w:rPr>
        <w:br w:type="textWrapping"/>
      </w:r>
      <w:r>
        <w:rPr>
          <w:rFonts w:hint="eastAsia" w:ascii="仿宋" w:hAnsi="仿宋" w:eastAsia="仿宋"/>
          <w:kern w:val="2"/>
          <w:sz w:val="32"/>
          <w:szCs w:val="32"/>
        </w:rPr>
        <w:t xml:space="preserve">    </w:t>
      </w:r>
      <w:r>
        <w:rPr>
          <w:rFonts w:ascii="仿宋" w:hAnsi="仿宋" w:eastAsia="仿宋"/>
          <w:kern w:val="2"/>
          <w:sz w:val="32"/>
          <w:szCs w:val="32"/>
        </w:rPr>
        <w:t>公务用车运行维护费支出0万元</w:t>
      </w:r>
      <w:r>
        <w:rPr>
          <w:rFonts w:hint="eastAsia" w:ascii="仿宋" w:hAnsi="仿宋" w:eastAsia="仿宋"/>
          <w:kern w:val="2"/>
          <w:sz w:val="32"/>
          <w:szCs w:val="32"/>
        </w:rPr>
        <w:t>。</w:t>
      </w:r>
    </w:p>
    <w:p w14:paraId="7E249978">
      <w:pPr>
        <w:pStyle w:val="33"/>
        <w:spacing w:before="0" w:beforeAutospacing="0" w:after="0" w:afterAutospacing="0" w:line="600" w:lineRule="exact"/>
        <w:ind w:firstLine="640"/>
        <w:jc w:val="both"/>
        <w:rPr>
          <w:rFonts w:ascii="黑体" w:eastAsia="黑体"/>
          <w:sz w:val="32"/>
          <w:szCs w:val="32"/>
        </w:rPr>
      </w:pPr>
      <w:r>
        <w:rPr>
          <w:rFonts w:hint="eastAsia" w:ascii="仿宋" w:hAnsi="仿宋" w:eastAsia="仿宋"/>
          <w:kern w:val="2"/>
          <w:sz w:val="32"/>
          <w:szCs w:val="32"/>
        </w:rPr>
        <w:t>3.公务接待费支出0.18万元</w:t>
      </w:r>
      <w:r>
        <w:rPr>
          <w:rFonts w:ascii="仿宋" w:hAnsi="仿宋" w:eastAsia="仿宋"/>
          <w:kern w:val="2"/>
          <w:sz w:val="32"/>
          <w:szCs w:val="32"/>
        </w:rPr>
        <w:t>，完成预算</w:t>
      </w:r>
      <w:r>
        <w:rPr>
          <w:rFonts w:hint="eastAsia" w:ascii="仿宋" w:hAnsi="仿宋" w:eastAsia="仿宋"/>
          <w:kern w:val="2"/>
          <w:sz w:val="32"/>
          <w:szCs w:val="32"/>
        </w:rPr>
        <w:t>10</w:t>
      </w:r>
      <w:r>
        <w:rPr>
          <w:rFonts w:ascii="仿宋" w:hAnsi="仿宋" w:eastAsia="仿宋"/>
          <w:kern w:val="2"/>
          <w:sz w:val="32"/>
          <w:szCs w:val="32"/>
        </w:rPr>
        <w:t>0%。公务接待费支出决算</w:t>
      </w:r>
      <w:r>
        <w:rPr>
          <w:rFonts w:hint="eastAsia" w:ascii="仿宋" w:hAnsi="仿宋" w:eastAsia="仿宋"/>
          <w:kern w:val="2"/>
          <w:sz w:val="32"/>
          <w:szCs w:val="32"/>
        </w:rPr>
        <w:t>比</w:t>
      </w:r>
      <w:r>
        <w:rPr>
          <w:rFonts w:ascii="仿宋" w:hAnsi="仿宋" w:eastAsia="仿宋"/>
          <w:kern w:val="2"/>
          <w:sz w:val="32"/>
          <w:szCs w:val="32"/>
        </w:rPr>
        <w:t>202</w:t>
      </w:r>
      <w:r>
        <w:rPr>
          <w:rFonts w:hint="eastAsia" w:ascii="仿宋" w:hAnsi="仿宋" w:eastAsia="仿宋"/>
          <w:kern w:val="2"/>
          <w:sz w:val="32"/>
          <w:szCs w:val="32"/>
        </w:rPr>
        <w:t>1</w:t>
      </w:r>
      <w:r>
        <w:rPr>
          <w:rFonts w:ascii="仿宋" w:hAnsi="仿宋" w:eastAsia="仿宋"/>
          <w:kern w:val="2"/>
          <w:sz w:val="32"/>
          <w:szCs w:val="32"/>
        </w:rPr>
        <w:t>年</w:t>
      </w:r>
      <w:r>
        <w:rPr>
          <w:rFonts w:hint="eastAsia" w:ascii="仿宋" w:hAnsi="仿宋" w:eastAsia="仿宋"/>
          <w:kern w:val="2"/>
          <w:sz w:val="32"/>
          <w:szCs w:val="32"/>
        </w:rPr>
        <w:t>增加0.18万元，增长100%。主要原因是接待传染病信息报告管理评估检查等工作。其中</w:t>
      </w:r>
      <w:r>
        <w:rPr>
          <w:rFonts w:ascii="仿宋" w:hAnsi="仿宋" w:eastAsia="仿宋"/>
          <w:kern w:val="2"/>
          <w:sz w:val="32"/>
          <w:szCs w:val="32"/>
        </w:rPr>
        <w:t>：</w:t>
      </w:r>
      <w:r>
        <w:rPr>
          <w:rFonts w:ascii="仿宋" w:hAnsi="仿宋" w:eastAsia="仿宋"/>
          <w:kern w:val="2"/>
          <w:sz w:val="32"/>
          <w:szCs w:val="32"/>
        </w:rPr>
        <w:br w:type="textWrapping"/>
      </w:r>
      <w:r>
        <w:rPr>
          <w:rFonts w:hint="eastAsia" w:ascii="仿宋" w:hAnsi="仿宋" w:eastAsia="仿宋"/>
          <w:kern w:val="2"/>
          <w:sz w:val="32"/>
          <w:szCs w:val="32"/>
        </w:rPr>
        <w:t xml:space="preserve">    </w:t>
      </w:r>
      <w:r>
        <w:rPr>
          <w:rFonts w:ascii="仿宋" w:hAnsi="仿宋" w:eastAsia="仿宋"/>
          <w:kern w:val="2"/>
          <w:sz w:val="32"/>
          <w:szCs w:val="32"/>
        </w:rPr>
        <w:t>国内公务接待支出</w:t>
      </w:r>
      <w:r>
        <w:rPr>
          <w:rFonts w:hint="eastAsia" w:ascii="仿宋" w:hAnsi="仿宋" w:eastAsia="仿宋"/>
          <w:kern w:val="2"/>
          <w:sz w:val="32"/>
          <w:szCs w:val="32"/>
        </w:rPr>
        <w:t>0.18</w:t>
      </w:r>
      <w:r>
        <w:rPr>
          <w:rFonts w:ascii="仿宋" w:hAnsi="仿宋" w:eastAsia="仿宋"/>
          <w:kern w:val="2"/>
          <w:sz w:val="32"/>
          <w:szCs w:val="32"/>
        </w:rPr>
        <w:t>万元</w:t>
      </w:r>
      <w:r>
        <w:rPr>
          <w:rFonts w:hint="eastAsia" w:ascii="仿宋" w:hAnsi="仿宋" w:eastAsia="仿宋"/>
          <w:kern w:val="2"/>
          <w:sz w:val="32"/>
          <w:szCs w:val="32"/>
        </w:rPr>
        <w:t>，主要用于接待传染病信息报告管理评估工作和米易县卫健局交叉检查</w:t>
      </w:r>
      <w:r>
        <w:rPr>
          <w:rFonts w:ascii="仿宋" w:hAnsi="仿宋" w:eastAsia="仿宋"/>
          <w:kern w:val="2"/>
          <w:sz w:val="32"/>
          <w:szCs w:val="32"/>
        </w:rPr>
        <w:t>。国内公务接待</w:t>
      </w:r>
      <w:r>
        <w:rPr>
          <w:rFonts w:hint="eastAsia" w:ascii="仿宋" w:hAnsi="仿宋" w:eastAsia="仿宋"/>
          <w:kern w:val="2"/>
          <w:sz w:val="32"/>
          <w:szCs w:val="32"/>
        </w:rPr>
        <w:t>2</w:t>
      </w:r>
      <w:r>
        <w:rPr>
          <w:rFonts w:ascii="仿宋" w:hAnsi="仿宋" w:eastAsia="仿宋"/>
          <w:kern w:val="2"/>
          <w:sz w:val="32"/>
          <w:szCs w:val="32"/>
        </w:rPr>
        <w:t>批次，</w:t>
      </w:r>
      <w:r>
        <w:rPr>
          <w:rFonts w:hint="eastAsia" w:ascii="仿宋" w:hAnsi="仿宋" w:eastAsia="仿宋"/>
          <w:kern w:val="2"/>
          <w:sz w:val="32"/>
          <w:szCs w:val="32"/>
        </w:rPr>
        <w:t>19</w:t>
      </w:r>
      <w:r>
        <w:rPr>
          <w:rFonts w:ascii="仿宋" w:hAnsi="仿宋" w:eastAsia="仿宋"/>
          <w:kern w:val="2"/>
          <w:sz w:val="32"/>
          <w:szCs w:val="32"/>
        </w:rPr>
        <w:t>人次（不包括陪同人员），共计支出0</w:t>
      </w:r>
      <w:r>
        <w:rPr>
          <w:rFonts w:hint="eastAsia" w:ascii="仿宋" w:hAnsi="仿宋" w:eastAsia="仿宋"/>
          <w:kern w:val="2"/>
          <w:sz w:val="32"/>
          <w:szCs w:val="32"/>
        </w:rPr>
        <w:t>.18</w:t>
      </w:r>
      <w:r>
        <w:rPr>
          <w:rFonts w:ascii="仿宋" w:hAnsi="仿宋" w:eastAsia="仿宋"/>
          <w:kern w:val="2"/>
          <w:sz w:val="32"/>
          <w:szCs w:val="32"/>
        </w:rPr>
        <w:t>万元。</w:t>
      </w:r>
      <w:r>
        <w:rPr>
          <w:rFonts w:ascii="仿宋" w:hAnsi="仿宋" w:eastAsia="仿宋"/>
          <w:kern w:val="2"/>
          <w:sz w:val="32"/>
          <w:szCs w:val="32"/>
        </w:rPr>
        <w:br w:type="textWrapping"/>
      </w:r>
      <w:r>
        <w:rPr>
          <w:rFonts w:hint="eastAsia" w:ascii="仿宋" w:hAnsi="仿宋" w:eastAsia="仿宋"/>
          <w:kern w:val="2"/>
          <w:sz w:val="32"/>
          <w:szCs w:val="32"/>
        </w:rPr>
        <w:t xml:space="preserve">    </w:t>
      </w:r>
      <w:r>
        <w:rPr>
          <w:rFonts w:ascii="仿宋" w:hAnsi="仿宋" w:eastAsia="仿宋"/>
          <w:kern w:val="2"/>
          <w:sz w:val="32"/>
          <w:szCs w:val="32"/>
        </w:rPr>
        <w:t>外事接待支出0万元，外事接待0批次，0人次（不包括陪同人员），共计支出0万元。</w:t>
      </w:r>
      <w:r>
        <w:rPr>
          <w:rFonts w:hint="eastAsia" w:ascii="仿宋" w:hAnsi="仿宋" w:eastAsia="仿宋"/>
          <w:kern w:val="2"/>
          <w:sz w:val="32"/>
          <w:szCs w:val="32"/>
        </w:rPr>
        <w:t xml:space="preserve"> </w:t>
      </w:r>
      <w:bookmarkStart w:id="38" w:name="_Toc15396610"/>
      <w:bookmarkStart w:id="39" w:name="_Toc15377218"/>
    </w:p>
    <w:p w14:paraId="4D1C1E72">
      <w:pPr>
        <w:spacing w:line="600" w:lineRule="exact"/>
        <w:ind w:firstLine="640"/>
        <w:outlineLvl w:val="1"/>
        <w:rPr>
          <w:rStyle w:val="17"/>
          <w:rFonts w:ascii="黑体" w:hAnsi="黑体" w:eastAsia="黑体"/>
        </w:rPr>
      </w:pPr>
      <w:r>
        <w:rPr>
          <w:rFonts w:hint="eastAsia" w:ascii="黑体" w:eastAsia="黑体"/>
          <w:sz w:val="32"/>
          <w:szCs w:val="32"/>
        </w:rPr>
        <w:t>八、</w:t>
      </w:r>
      <w:r>
        <w:rPr>
          <w:rStyle w:val="17"/>
          <w:rFonts w:hint="eastAsia" w:ascii="黑体" w:hAnsi="黑体" w:eastAsia="黑体"/>
          <w:b w:val="0"/>
        </w:rPr>
        <w:t>政府性基金预算支出决算情况说明</w:t>
      </w:r>
      <w:bookmarkEnd w:id="38"/>
      <w:bookmarkEnd w:id="39"/>
    </w:p>
    <w:p w14:paraId="1F0E0DB3">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14:paraId="39AE9A38">
      <w:pPr>
        <w:numPr>
          <w:ilvl w:val="0"/>
          <w:numId w:val="2"/>
        </w:numPr>
        <w:spacing w:line="600" w:lineRule="exact"/>
        <w:ind w:firstLine="640"/>
        <w:outlineLvl w:val="1"/>
        <w:rPr>
          <w:rStyle w:val="17"/>
          <w:rFonts w:ascii="黑体" w:hAnsi="黑体" w:eastAsia="黑体"/>
          <w:b w:val="0"/>
        </w:rPr>
      </w:pPr>
      <w:bookmarkStart w:id="40" w:name="_Toc15396611"/>
      <w:bookmarkStart w:id="41" w:name="_Toc15377219"/>
      <w:r>
        <w:rPr>
          <w:rStyle w:val="17"/>
          <w:rFonts w:hint="eastAsia" w:ascii="黑体" w:hAnsi="黑体" w:eastAsia="黑体"/>
          <w:b w:val="0"/>
        </w:rPr>
        <w:t>国有资本经营预算支出决算情况说明</w:t>
      </w:r>
      <w:bookmarkEnd w:id="40"/>
      <w:bookmarkEnd w:id="41"/>
    </w:p>
    <w:p w14:paraId="151C10AB">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14:paraId="1E8D89C9">
      <w:pPr>
        <w:numPr>
          <w:ilvl w:val="0"/>
          <w:numId w:val="2"/>
        </w:numPr>
        <w:spacing w:line="600" w:lineRule="exact"/>
        <w:ind w:firstLine="640"/>
        <w:outlineLvl w:val="1"/>
        <w:rPr>
          <w:rStyle w:val="17"/>
          <w:rFonts w:ascii="黑体" w:hAnsi="黑体" w:eastAsia="黑体"/>
          <w:b w:val="0"/>
        </w:rPr>
      </w:pPr>
      <w:bookmarkStart w:id="42" w:name="_Toc15396612"/>
      <w:bookmarkStart w:id="43" w:name="_Toc15377221"/>
      <w:r>
        <w:rPr>
          <w:rStyle w:val="17"/>
          <w:rFonts w:hint="eastAsia" w:ascii="黑体" w:hAnsi="黑体" w:eastAsia="黑体"/>
          <w:b w:val="0"/>
        </w:rPr>
        <w:t>其他重要事项的情况说明</w:t>
      </w:r>
      <w:bookmarkEnd w:id="42"/>
      <w:bookmarkEnd w:id="43"/>
    </w:p>
    <w:p w14:paraId="4B5A89CA">
      <w:pPr>
        <w:spacing w:line="600" w:lineRule="exact"/>
        <w:ind w:firstLine="643" w:firstLineChars="200"/>
        <w:outlineLvl w:val="2"/>
        <w:rPr>
          <w:rFonts w:ascii="仿宋" w:hAnsi="仿宋" w:eastAsia="仿宋"/>
          <w:sz w:val="32"/>
          <w:szCs w:val="32"/>
        </w:rPr>
      </w:pPr>
      <w:bookmarkStart w:id="44" w:name="_Toc15377222"/>
      <w:r>
        <w:rPr>
          <w:rFonts w:hint="eastAsia" w:ascii="仿宋" w:hAnsi="仿宋" w:eastAsia="仿宋"/>
          <w:b/>
          <w:sz w:val="32"/>
          <w:szCs w:val="32"/>
        </w:rPr>
        <w:t>（一）机关运行经费支出情况</w:t>
      </w:r>
      <w:bookmarkEnd w:id="44"/>
    </w:p>
    <w:p w14:paraId="58CE2A74">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22年，区卫生健康局机关运行经费支出19.18万元，比</w:t>
      </w:r>
      <w:r>
        <w:rPr>
          <w:rFonts w:ascii="仿宋_GB2312" w:eastAsia="仿宋_GB2312"/>
          <w:sz w:val="32"/>
          <w:szCs w:val="32"/>
        </w:rPr>
        <w:t>20</w:t>
      </w:r>
      <w:r>
        <w:rPr>
          <w:rFonts w:hint="eastAsia" w:ascii="仿宋_GB2312" w:eastAsia="仿宋_GB2312"/>
          <w:sz w:val="32"/>
          <w:szCs w:val="32"/>
        </w:rPr>
        <w:t>21年减少15.46万元，下降44.64</w:t>
      </w:r>
      <w:r>
        <w:rPr>
          <w:rFonts w:ascii="仿宋_GB2312" w:eastAsia="仿宋_GB2312"/>
          <w:sz w:val="32"/>
          <w:szCs w:val="32"/>
        </w:rPr>
        <w:t>%</w:t>
      </w:r>
      <w:r>
        <w:rPr>
          <w:rFonts w:hint="eastAsia" w:ascii="仿宋_GB2312" w:eastAsia="仿宋_GB2312"/>
          <w:sz w:val="32"/>
          <w:szCs w:val="32"/>
        </w:rPr>
        <w:t>。主要原因是按照节约机关运行成本要求，办公费、邮电费、差旅费、福利费、公务交通补贴等减少。</w:t>
      </w:r>
    </w:p>
    <w:p w14:paraId="71E435F5">
      <w:pPr>
        <w:autoSpaceDE w:val="0"/>
        <w:autoSpaceDN w:val="0"/>
        <w:adjustRightInd w:val="0"/>
        <w:spacing w:line="600" w:lineRule="exact"/>
        <w:ind w:firstLine="643" w:firstLineChars="200"/>
        <w:jc w:val="left"/>
        <w:outlineLvl w:val="2"/>
        <w:rPr>
          <w:rFonts w:ascii="仿宋" w:hAnsi="仿宋" w:eastAsia="仿宋"/>
          <w:b/>
          <w:sz w:val="32"/>
          <w:szCs w:val="32"/>
        </w:rPr>
      </w:pPr>
      <w:bookmarkStart w:id="45" w:name="_Toc15377223"/>
      <w:r>
        <w:rPr>
          <w:rFonts w:hint="eastAsia" w:ascii="仿宋" w:hAnsi="仿宋" w:eastAsia="仿宋"/>
          <w:b/>
          <w:sz w:val="32"/>
          <w:szCs w:val="32"/>
        </w:rPr>
        <w:t>（二）政府采购支出情况</w:t>
      </w:r>
      <w:bookmarkEnd w:id="45"/>
    </w:p>
    <w:p w14:paraId="0F93D29F">
      <w:pPr>
        <w:spacing w:line="600" w:lineRule="exact"/>
        <w:ind w:firstLine="640" w:firstLineChars="200"/>
        <w:rPr>
          <w:rFonts w:ascii="仿宋" w:hAnsi="仿宋" w:eastAsia="仿宋_GB2312"/>
          <w:b/>
          <w:sz w:val="32"/>
          <w:szCs w:val="32"/>
        </w:rPr>
      </w:pPr>
      <w:r>
        <w:rPr>
          <w:rFonts w:ascii="仿宋_GB2312" w:eastAsia="仿宋_GB2312"/>
          <w:sz w:val="32"/>
          <w:szCs w:val="32"/>
        </w:rPr>
        <w:t>20</w:t>
      </w:r>
      <w:r>
        <w:rPr>
          <w:rFonts w:hint="eastAsia" w:ascii="仿宋_GB2312" w:eastAsia="仿宋_GB2312"/>
          <w:sz w:val="32"/>
          <w:szCs w:val="32"/>
        </w:rPr>
        <w:t>22年，区卫生健康局政府采购支出总额0万元其中：政府采购货物支出0万元、政府采购工程支出0万元、政府采购服务支出0万元。授予中小企业合同金额0万元，占政府采购支出总额的0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68C988C7">
      <w:pPr>
        <w:autoSpaceDE w:val="0"/>
        <w:autoSpaceDN w:val="0"/>
        <w:adjustRightInd w:val="0"/>
        <w:spacing w:line="600" w:lineRule="exact"/>
        <w:ind w:firstLine="643" w:firstLineChars="200"/>
        <w:jc w:val="left"/>
        <w:outlineLvl w:val="2"/>
        <w:rPr>
          <w:rFonts w:ascii="仿宋" w:hAnsi="仿宋" w:eastAsia="仿宋"/>
          <w:b/>
          <w:sz w:val="32"/>
          <w:szCs w:val="32"/>
        </w:rPr>
      </w:pPr>
      <w:bookmarkStart w:id="46" w:name="_Toc15377224"/>
      <w:r>
        <w:rPr>
          <w:rFonts w:hint="eastAsia" w:ascii="仿宋" w:hAnsi="仿宋" w:eastAsia="仿宋"/>
          <w:b/>
          <w:sz w:val="32"/>
          <w:szCs w:val="32"/>
        </w:rPr>
        <w:t>（三）国有资产占有使用情况</w:t>
      </w:r>
      <w:bookmarkEnd w:id="46"/>
    </w:p>
    <w:p w14:paraId="1CEBFE4E">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日，区卫生健康局共有车辆0辆，其中：主要领导干部用车0辆、机要通信用车0辆、应急保障用车0辆、其他用车0辆。单价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万元以上专用设备0台（套）。</w:t>
      </w:r>
    </w:p>
    <w:p w14:paraId="7FEE3095">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3C90DA7B">
      <w:pPr>
        <w:spacing w:line="58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根据预算绩效管理要求，本单位在2022年度预算编制阶段，组织对计划生育服务、病媒生物防治等</w:t>
      </w:r>
      <w:r>
        <w:rPr>
          <w:rFonts w:ascii="仿宋_GB2312" w:eastAsia="仿宋_GB2312"/>
          <w:sz w:val="32"/>
          <w:szCs w:val="32"/>
        </w:rPr>
        <w:t>6</w:t>
      </w:r>
      <w:r>
        <w:rPr>
          <w:rFonts w:hint="eastAsia" w:ascii="仿宋_GB2312" w:eastAsia="仿宋_GB2312"/>
          <w:sz w:val="32"/>
          <w:szCs w:val="32"/>
        </w:rPr>
        <w:t>个项目开展了预算事前绩效评估，编制了绩效目标，预算执行过程中，选取</w:t>
      </w:r>
      <w:r>
        <w:rPr>
          <w:rFonts w:ascii="仿宋_GB2312" w:eastAsia="仿宋_GB2312"/>
          <w:sz w:val="32"/>
          <w:szCs w:val="32"/>
        </w:rPr>
        <w:t>6</w:t>
      </w:r>
      <w:r>
        <w:rPr>
          <w:rFonts w:hint="eastAsia" w:ascii="仿宋_GB2312" w:eastAsia="仿宋_GB2312"/>
          <w:sz w:val="32"/>
          <w:szCs w:val="32"/>
        </w:rPr>
        <w:t>个项目开展绩效监控，组织对</w:t>
      </w:r>
      <w:r>
        <w:rPr>
          <w:rFonts w:ascii="仿宋_GB2312" w:eastAsia="仿宋_GB2312"/>
          <w:sz w:val="32"/>
          <w:szCs w:val="32"/>
        </w:rPr>
        <w:t>6</w:t>
      </w:r>
      <w:r>
        <w:rPr>
          <w:rFonts w:hint="eastAsia" w:ascii="仿宋_GB2312" w:eastAsia="仿宋_GB2312"/>
          <w:sz w:val="32"/>
          <w:szCs w:val="32"/>
        </w:rPr>
        <w:t>个项目开展绩效自评，绩效自评表详见第四部分附件。</w:t>
      </w:r>
    </w:p>
    <w:p w14:paraId="281EB685">
      <w:pPr>
        <w:pStyle w:val="2"/>
        <w:spacing w:before="93"/>
        <w:rPr>
          <w:kern w:val="2"/>
          <w:sz w:val="32"/>
          <w:szCs w:val="32"/>
        </w:rPr>
      </w:pPr>
    </w:p>
    <w:p w14:paraId="0988603A">
      <w:pPr>
        <w:widowControl/>
        <w:jc w:val="left"/>
        <w:rPr>
          <w:rStyle w:val="16"/>
          <w:rFonts w:ascii="黑体" w:hAnsi="黑体" w:eastAsia="黑体"/>
          <w:b w:val="0"/>
        </w:rPr>
      </w:pPr>
      <w:r>
        <w:rPr>
          <w:rFonts w:ascii="仿宋_GB2312" w:eastAsia="仿宋_GB2312"/>
          <w:sz w:val="32"/>
          <w:szCs w:val="32"/>
        </w:rPr>
        <w:br w:type="page"/>
      </w:r>
      <w:bookmarkStart w:id="47" w:name="_Toc15396613"/>
      <w:bookmarkStart w:id="48" w:name="_Toc15377225"/>
      <w:r>
        <w:rPr>
          <w:rFonts w:hint="eastAsia" w:ascii="仿宋_GB2312" w:eastAsia="仿宋_GB2312"/>
          <w:b/>
          <w:sz w:val="32"/>
          <w:szCs w:val="32"/>
        </w:rPr>
        <w:t xml:space="preserve">             </w:t>
      </w:r>
      <w:r>
        <w:rPr>
          <w:rFonts w:hint="eastAsia" w:ascii="黑体" w:hAnsi="黑体" w:eastAsia="黑体"/>
          <w:sz w:val="44"/>
          <w:szCs w:val="44"/>
        </w:rPr>
        <w:t xml:space="preserve">第三部分  </w:t>
      </w:r>
      <w:r>
        <w:rPr>
          <w:rFonts w:hint="eastAsia" w:ascii="仿宋_GB2312" w:eastAsia="仿宋_GB2312"/>
          <w:b/>
          <w:sz w:val="32"/>
          <w:szCs w:val="32"/>
        </w:rPr>
        <w:t xml:space="preserve">   </w:t>
      </w:r>
      <w:r>
        <w:rPr>
          <w:rFonts w:hint="eastAsia" w:ascii="黑体" w:hAnsi="黑体" w:eastAsia="黑体"/>
          <w:sz w:val="44"/>
          <w:szCs w:val="44"/>
        </w:rPr>
        <w:t>名</w:t>
      </w:r>
      <w:r>
        <w:rPr>
          <w:rStyle w:val="16"/>
          <w:rFonts w:hint="eastAsia" w:ascii="黑体" w:hAnsi="黑体" w:eastAsia="黑体"/>
          <w:b w:val="0"/>
        </w:rPr>
        <w:t>词解释</w:t>
      </w:r>
      <w:bookmarkEnd w:id="47"/>
      <w:bookmarkEnd w:id="48"/>
    </w:p>
    <w:p w14:paraId="67CE0ADD">
      <w:pPr>
        <w:spacing w:line="600" w:lineRule="exact"/>
        <w:jc w:val="left"/>
        <w:rPr>
          <w:rFonts w:ascii="宋体"/>
          <w:b/>
          <w:sz w:val="44"/>
          <w:szCs w:val="44"/>
        </w:rPr>
      </w:pPr>
    </w:p>
    <w:p w14:paraId="60B6D488">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3D139BFB">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其他收入：指单位取得的银行存款利息收入。</w:t>
      </w:r>
    </w:p>
    <w:p w14:paraId="406AAE62">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使用非财政拨款结余：指事业单位使用以前年度积累的非财政拨款结余弥补当年收支差额的金额。</w:t>
      </w:r>
    </w:p>
    <w:p w14:paraId="6ABAFDBB">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14:paraId="278AEE34">
      <w:pPr>
        <w:spacing w:line="600" w:lineRule="exact"/>
        <w:ind w:firstLine="640"/>
        <w:rPr>
          <w:rFonts w:ascii="仿宋_GB2312" w:hAnsi="仿宋" w:eastAsia="仿宋_GB2312"/>
          <w:sz w:val="32"/>
          <w:szCs w:val="32"/>
        </w:rPr>
      </w:pPr>
      <w:r>
        <w:rPr>
          <w:rFonts w:hint="eastAsia" w:ascii="仿宋_GB2312" w:hAnsi="仿宋" w:eastAsia="仿宋_GB2312"/>
          <w:sz w:val="32"/>
          <w:szCs w:val="32"/>
        </w:rPr>
        <w:t>5.行政运行：反映我单位的基本支出。</w:t>
      </w:r>
    </w:p>
    <w:p w14:paraId="45383B5D">
      <w:pPr>
        <w:spacing w:line="600" w:lineRule="exact"/>
        <w:ind w:firstLine="640"/>
        <w:rPr>
          <w:rFonts w:ascii="仿宋_GB2312" w:hAnsi="仿宋" w:eastAsia="仿宋_GB2312"/>
          <w:sz w:val="32"/>
          <w:szCs w:val="32"/>
        </w:rPr>
      </w:pPr>
      <w:r>
        <w:rPr>
          <w:rFonts w:hint="eastAsia" w:ascii="仿宋_GB2312" w:hAnsi="仿宋" w:eastAsia="仿宋_GB2312"/>
          <w:sz w:val="32"/>
          <w:szCs w:val="32"/>
        </w:rPr>
        <w:t>6.机关事业单位基本养老保险缴费支出：指机关事业单位实施养老保险制度由单位缴纳的基本养老保险费支出。</w:t>
      </w:r>
    </w:p>
    <w:p w14:paraId="31B06459">
      <w:pPr>
        <w:pStyle w:val="2"/>
        <w:spacing w:before="93"/>
        <w:ind w:firstLine="640" w:firstLineChars="200"/>
        <w:rPr>
          <w:rFonts w:hAnsi="仿宋"/>
          <w:kern w:val="2"/>
          <w:sz w:val="32"/>
          <w:szCs w:val="32"/>
        </w:rPr>
      </w:pPr>
      <w:r>
        <w:rPr>
          <w:rFonts w:hint="eastAsia" w:hAnsi="仿宋"/>
          <w:kern w:val="2"/>
          <w:sz w:val="32"/>
          <w:szCs w:val="32"/>
        </w:rPr>
        <w:t>7.死亡抚恤：指按规定开支的机关事业单位职工和离退休人员丧葬费和抚恤金。</w:t>
      </w:r>
    </w:p>
    <w:p w14:paraId="64D606C1">
      <w:pPr>
        <w:pStyle w:val="2"/>
        <w:spacing w:before="93"/>
        <w:ind w:firstLine="640" w:firstLineChars="200"/>
        <w:rPr>
          <w:rFonts w:hAnsi="仿宋"/>
          <w:kern w:val="2"/>
          <w:sz w:val="32"/>
          <w:szCs w:val="32"/>
        </w:rPr>
      </w:pPr>
      <w:r>
        <w:rPr>
          <w:rFonts w:hint="eastAsia" w:hAnsi="仿宋"/>
          <w:kern w:val="2"/>
          <w:sz w:val="32"/>
          <w:szCs w:val="32"/>
        </w:rPr>
        <w:t>8.公务员医疗补助：反映财政部门集中安排的公务员医疗补助经费。</w:t>
      </w:r>
    </w:p>
    <w:p w14:paraId="46CF73E9">
      <w:pPr>
        <w:pStyle w:val="2"/>
        <w:spacing w:before="93"/>
        <w:ind w:firstLine="640" w:firstLineChars="200"/>
        <w:rPr>
          <w:rFonts w:hAnsi="仿宋"/>
          <w:kern w:val="2"/>
          <w:sz w:val="32"/>
          <w:szCs w:val="32"/>
        </w:rPr>
      </w:pPr>
      <w:r>
        <w:rPr>
          <w:rFonts w:hint="eastAsia" w:hAnsi="仿宋"/>
          <w:kern w:val="2"/>
          <w:sz w:val="32"/>
          <w:szCs w:val="32"/>
        </w:rPr>
        <w:t>9.行政单位离退休：指行政单位退休人员退休费。</w:t>
      </w:r>
    </w:p>
    <w:p w14:paraId="0156CCC0">
      <w:pPr>
        <w:ind w:firstLine="640" w:firstLineChars="200"/>
        <w:rPr>
          <w:rFonts w:ascii="仿宋_GB2312" w:hAnsi="仿宋" w:eastAsia="仿宋_GB2312"/>
          <w:sz w:val="32"/>
          <w:szCs w:val="32"/>
        </w:rPr>
      </w:pPr>
      <w:r>
        <w:rPr>
          <w:rFonts w:hint="eastAsia" w:ascii="仿宋_GB2312" w:hAnsi="仿宋" w:eastAsia="仿宋_GB2312"/>
          <w:sz w:val="32"/>
          <w:szCs w:val="32"/>
        </w:rPr>
        <w:t>10.其他红十字事业支出：指用于红十字事业方面的支出。</w:t>
      </w:r>
    </w:p>
    <w:p w14:paraId="125045D1">
      <w:pPr>
        <w:pStyle w:val="2"/>
        <w:spacing w:before="93"/>
        <w:ind w:firstLine="640" w:firstLineChars="200"/>
        <w:rPr>
          <w:rFonts w:hAnsi="仿宋"/>
          <w:kern w:val="2"/>
          <w:sz w:val="32"/>
          <w:szCs w:val="32"/>
        </w:rPr>
      </w:pPr>
      <w:r>
        <w:rPr>
          <w:rFonts w:hint="eastAsia" w:hAnsi="仿宋"/>
          <w:kern w:val="2"/>
          <w:sz w:val="32"/>
          <w:szCs w:val="32"/>
        </w:rPr>
        <w:t>11.重大公共卫生专项：重大疾病预防控制等重大公共卫生服务项目支出和卫生人员培训。</w:t>
      </w:r>
    </w:p>
    <w:p w14:paraId="541048BF">
      <w:pPr>
        <w:pStyle w:val="2"/>
        <w:spacing w:before="93"/>
        <w:ind w:firstLine="640" w:firstLineChars="200"/>
        <w:rPr>
          <w:rFonts w:hAnsi="仿宋"/>
          <w:kern w:val="2"/>
          <w:sz w:val="32"/>
          <w:szCs w:val="32"/>
        </w:rPr>
      </w:pPr>
      <w:r>
        <w:rPr>
          <w:rFonts w:hint="eastAsia" w:hAnsi="仿宋"/>
          <w:kern w:val="2"/>
          <w:sz w:val="32"/>
          <w:szCs w:val="32"/>
        </w:rPr>
        <w:t>12.其他公共卫生支出：指公共区域病媒生物集中防制、爱国卫生等工作经费。</w:t>
      </w:r>
    </w:p>
    <w:p w14:paraId="192E3CED">
      <w:pPr>
        <w:pStyle w:val="2"/>
        <w:spacing w:before="93"/>
        <w:ind w:firstLine="640" w:firstLineChars="200"/>
        <w:rPr>
          <w:rFonts w:hAnsi="仿宋"/>
          <w:kern w:val="2"/>
          <w:sz w:val="32"/>
          <w:szCs w:val="32"/>
        </w:rPr>
      </w:pPr>
      <w:r>
        <w:rPr>
          <w:rFonts w:hint="eastAsia" w:hAnsi="仿宋"/>
          <w:kern w:val="2"/>
          <w:sz w:val="32"/>
          <w:szCs w:val="32"/>
        </w:rPr>
        <w:t>13.计划生育服务：指人口计生事业费和计生四项补助经费。</w:t>
      </w:r>
    </w:p>
    <w:p w14:paraId="5662162F">
      <w:pPr>
        <w:pStyle w:val="2"/>
        <w:spacing w:before="93"/>
        <w:ind w:firstLine="640" w:firstLineChars="200"/>
        <w:rPr>
          <w:rFonts w:hAnsi="仿宋"/>
          <w:kern w:val="2"/>
          <w:sz w:val="32"/>
          <w:szCs w:val="32"/>
        </w:rPr>
      </w:pPr>
      <w:r>
        <w:rPr>
          <w:rFonts w:hint="eastAsia" w:hAnsi="仿宋"/>
          <w:kern w:val="2"/>
          <w:sz w:val="32"/>
          <w:szCs w:val="32"/>
        </w:rPr>
        <w:t>14.其他计划生育事务支出：指独生子女父母奖励经费、计划生育家庭特别扶助资金和计生专项资金。</w:t>
      </w:r>
    </w:p>
    <w:p w14:paraId="3EBEB67A">
      <w:pPr>
        <w:spacing w:line="600" w:lineRule="exact"/>
        <w:ind w:firstLine="640"/>
        <w:rPr>
          <w:rFonts w:ascii="仿宋_GB2312" w:hAnsi="仿宋" w:eastAsia="仿宋_GB2312"/>
          <w:sz w:val="32"/>
          <w:szCs w:val="32"/>
        </w:rPr>
      </w:pPr>
      <w:r>
        <w:rPr>
          <w:rFonts w:hint="eastAsia" w:ascii="仿宋_GB2312" w:hAnsi="仿宋" w:eastAsia="仿宋_GB2312"/>
          <w:sz w:val="32"/>
          <w:szCs w:val="32"/>
        </w:rPr>
        <w:t>15.住房公积金：指行政事业单位按人力资源和社会保障部、财政部规定的基本工资和津贴补贴以及规定比例为职工缴纳的住房公积金。</w:t>
      </w:r>
    </w:p>
    <w:p w14:paraId="7E3E8B68">
      <w:pPr>
        <w:spacing w:line="600" w:lineRule="exact"/>
        <w:ind w:firstLine="640"/>
      </w:pPr>
      <w:r>
        <w:rPr>
          <w:rFonts w:hint="eastAsia"/>
        </w:rPr>
        <w:t xml:space="preserve"> </w:t>
      </w:r>
      <w:r>
        <w:rPr>
          <w:rFonts w:hint="eastAsia" w:ascii="仿宋_GB2312" w:hAnsi="仿宋" w:eastAsia="仿宋_GB2312"/>
          <w:sz w:val="32"/>
          <w:szCs w:val="32"/>
        </w:rPr>
        <w:t>16.行政单位医疗：指为职工缴纳的基本医疗保险（含生育保险）费。</w:t>
      </w:r>
    </w:p>
    <w:p w14:paraId="470554D6">
      <w:pPr>
        <w:spacing w:line="600" w:lineRule="exact"/>
        <w:ind w:firstLine="640"/>
        <w:rPr>
          <w:rFonts w:ascii="仿宋_GB2312" w:hAnsi="仿宋" w:eastAsia="仿宋_GB2312"/>
          <w:sz w:val="32"/>
          <w:szCs w:val="32"/>
        </w:rPr>
      </w:pPr>
      <w:r>
        <w:rPr>
          <w:rFonts w:hint="eastAsia" w:ascii="仿宋_GB2312" w:hAnsi="仿宋" w:eastAsia="仿宋_GB2312"/>
          <w:sz w:val="32"/>
          <w:szCs w:val="32"/>
        </w:rPr>
        <w:t>17.基本支出：指为保障机构正常运转、完成日常工作任务而发生的人员支出和公用支出。</w:t>
      </w:r>
    </w:p>
    <w:p w14:paraId="3BA22E71">
      <w:pPr>
        <w:spacing w:line="600" w:lineRule="exact"/>
        <w:ind w:firstLine="640"/>
        <w:rPr>
          <w:rFonts w:ascii="仿宋_GB2312" w:hAnsi="仿宋" w:eastAsia="仿宋_GB2312"/>
          <w:sz w:val="32"/>
          <w:szCs w:val="32"/>
        </w:rPr>
      </w:pPr>
      <w:r>
        <w:rPr>
          <w:rFonts w:hint="eastAsia" w:ascii="仿宋_GB2312" w:hAnsi="仿宋" w:eastAsia="仿宋_GB2312"/>
          <w:sz w:val="32"/>
          <w:szCs w:val="32"/>
        </w:rPr>
        <w:t xml:space="preserve">18.项目支出：指在基本支出之外为完成特定行政任务和事业发展目标所发生的支出。 </w:t>
      </w:r>
    </w:p>
    <w:p w14:paraId="02EC720F">
      <w:pPr>
        <w:pStyle w:val="28"/>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19.年末结转和结余：指单位按有关规定结转到下年或以后年度继续使用的资金。</w:t>
      </w:r>
    </w:p>
    <w:p w14:paraId="126F657C">
      <w:pPr>
        <w:pStyle w:val="28"/>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20.结余分配：指事业单位按照会计制度规定缴纳的所得税、提取的专用结余以及转入非财政拨款结余的金额等。</w:t>
      </w:r>
    </w:p>
    <w:p w14:paraId="3158D373">
      <w:pPr>
        <w:spacing w:line="600" w:lineRule="exact"/>
        <w:ind w:firstLine="640"/>
        <w:rPr>
          <w:rFonts w:ascii="仿宋_GB2312" w:hAnsi="仿宋" w:eastAsia="仿宋_GB2312"/>
          <w:sz w:val="32"/>
          <w:szCs w:val="32"/>
        </w:rPr>
      </w:pPr>
      <w:r>
        <w:rPr>
          <w:rFonts w:hint="eastAsia" w:ascii="仿宋_GB2312" w:hAnsi="仿宋" w:eastAsia="仿宋_GB2312"/>
          <w:sz w:val="32"/>
          <w:szCs w:val="32"/>
        </w:rPr>
        <w:t>21.“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CCFED1A">
      <w:pPr>
        <w:spacing w:line="600" w:lineRule="exact"/>
        <w:ind w:firstLine="640"/>
        <w:rPr>
          <w:rFonts w:ascii="仿宋_GB2312" w:hAnsi="仿宋" w:eastAsia="仿宋_GB2312"/>
          <w:sz w:val="32"/>
          <w:szCs w:val="32"/>
        </w:rPr>
      </w:pPr>
      <w:r>
        <w:rPr>
          <w:rFonts w:hint="eastAsia" w:ascii="仿宋_GB2312" w:hAnsi="仿宋" w:eastAsia="仿宋_GB2312"/>
          <w:sz w:val="32"/>
          <w:szCs w:val="32"/>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8A02DE3">
      <w:pPr>
        <w:pStyle w:val="28"/>
        <w:spacing w:line="560" w:lineRule="exact"/>
        <w:ind w:firstLine="640" w:firstLineChars="200"/>
        <w:rPr>
          <w:rFonts w:ascii="仿宋_GB2312" w:eastAsia="仿宋_GB2312"/>
          <w:color w:val="auto"/>
          <w:sz w:val="32"/>
          <w:szCs w:val="32"/>
        </w:rPr>
      </w:pPr>
    </w:p>
    <w:p w14:paraId="4ED77E83">
      <w:pPr>
        <w:spacing w:line="600" w:lineRule="exact"/>
        <w:jc w:val="center"/>
        <w:outlineLvl w:val="0"/>
        <w:rPr>
          <w:rStyle w:val="16"/>
          <w:rFonts w:ascii="黑体" w:hAnsi="黑体" w:eastAsia="黑体"/>
          <w:b w:val="0"/>
        </w:rPr>
      </w:pPr>
      <w:bookmarkStart w:id="49" w:name="_Toc15377226"/>
      <w:r>
        <w:rPr>
          <w:rFonts w:ascii="宋体"/>
          <w:b/>
          <w:sz w:val="44"/>
          <w:szCs w:val="44"/>
        </w:rPr>
        <w:br w:type="page"/>
      </w:r>
      <w:bookmarkStart w:id="50" w:name="_Toc15396614"/>
      <w:r>
        <w:rPr>
          <w:rFonts w:hint="eastAsia" w:ascii="黑体" w:hAnsi="黑体" w:eastAsia="黑体"/>
          <w:sz w:val="44"/>
          <w:szCs w:val="44"/>
        </w:rPr>
        <w:t>第</w:t>
      </w:r>
      <w:r>
        <w:rPr>
          <w:rStyle w:val="16"/>
          <w:rFonts w:hint="eastAsia" w:ascii="黑体" w:hAnsi="黑体" w:eastAsia="黑体"/>
          <w:b w:val="0"/>
        </w:rPr>
        <w:t>四部分 附件</w:t>
      </w:r>
      <w:bookmarkEnd w:id="50"/>
    </w:p>
    <w:p w14:paraId="71CF1638">
      <w:pPr>
        <w:pStyle w:val="2"/>
        <w:spacing w:before="93"/>
      </w:pPr>
    </w:p>
    <w:p w14:paraId="716C533C">
      <w:pPr>
        <w:spacing w:line="560" w:lineRule="exact"/>
        <w:ind w:firstLine="1120" w:firstLineChars="350"/>
        <w:rPr>
          <w:rFonts w:eastAsia="仿宋_GB2312"/>
          <w:sz w:val="32"/>
          <w:szCs w:val="32"/>
        </w:rPr>
      </w:pPr>
      <w:bookmarkStart w:id="51" w:name="_Toc15396618"/>
      <w:r>
        <w:rPr>
          <w:rFonts w:eastAsia="仿宋_GB2312"/>
          <w:sz w:val="32"/>
          <w:szCs w:val="32"/>
        </w:rPr>
        <w:t>2022年</w:t>
      </w:r>
      <w:r>
        <w:rPr>
          <w:rFonts w:hint="eastAsia" w:eastAsia="仿宋_GB2312"/>
          <w:sz w:val="32"/>
          <w:szCs w:val="32"/>
        </w:rPr>
        <w:t>部门预算</w:t>
      </w:r>
      <w:r>
        <w:rPr>
          <w:rFonts w:eastAsia="仿宋_GB2312"/>
          <w:sz w:val="32"/>
          <w:szCs w:val="32"/>
        </w:rPr>
        <w:t>项目支出绩效自评表见附件3</w:t>
      </w:r>
    </w:p>
    <w:p w14:paraId="534BE055">
      <w:pPr>
        <w:pStyle w:val="28"/>
      </w:pPr>
    </w:p>
    <w:p w14:paraId="2963CA47">
      <w:pPr>
        <w:spacing w:line="600" w:lineRule="exact"/>
        <w:jc w:val="center"/>
        <w:outlineLvl w:val="0"/>
        <w:rPr>
          <w:rFonts w:ascii="黑体" w:hAnsi="黑体" w:eastAsia="黑体"/>
          <w:sz w:val="44"/>
          <w:szCs w:val="44"/>
        </w:rPr>
      </w:pPr>
    </w:p>
    <w:p w14:paraId="70983627">
      <w:pPr>
        <w:pStyle w:val="2"/>
        <w:spacing w:before="93"/>
      </w:pPr>
    </w:p>
    <w:p w14:paraId="75432684">
      <w:pPr>
        <w:pStyle w:val="2"/>
        <w:spacing w:before="93"/>
      </w:pPr>
    </w:p>
    <w:p w14:paraId="40EE3AE3">
      <w:pPr>
        <w:pStyle w:val="2"/>
        <w:spacing w:before="93"/>
      </w:pPr>
    </w:p>
    <w:p w14:paraId="3D2729DD">
      <w:pPr>
        <w:pStyle w:val="2"/>
        <w:spacing w:before="93"/>
      </w:pPr>
    </w:p>
    <w:p w14:paraId="4C641E7B">
      <w:pPr>
        <w:pStyle w:val="2"/>
        <w:spacing w:before="93"/>
      </w:pPr>
    </w:p>
    <w:p w14:paraId="45B7D926">
      <w:pPr>
        <w:pStyle w:val="2"/>
        <w:spacing w:before="93"/>
      </w:pPr>
    </w:p>
    <w:p w14:paraId="5A32EB10">
      <w:pPr>
        <w:pStyle w:val="2"/>
        <w:spacing w:before="93"/>
      </w:pPr>
    </w:p>
    <w:p w14:paraId="0C52C9FF">
      <w:pPr>
        <w:pStyle w:val="2"/>
        <w:spacing w:before="93"/>
      </w:pPr>
    </w:p>
    <w:p w14:paraId="3379193A">
      <w:pPr>
        <w:pStyle w:val="2"/>
        <w:spacing w:before="93"/>
      </w:pPr>
    </w:p>
    <w:p w14:paraId="1C4184D5">
      <w:pPr>
        <w:pStyle w:val="2"/>
        <w:spacing w:before="93"/>
      </w:pPr>
    </w:p>
    <w:p w14:paraId="197CDFC1">
      <w:pPr>
        <w:pStyle w:val="2"/>
        <w:spacing w:before="93"/>
      </w:pPr>
    </w:p>
    <w:p w14:paraId="60F73DF8">
      <w:pPr>
        <w:spacing w:line="600" w:lineRule="exact"/>
        <w:jc w:val="center"/>
        <w:outlineLvl w:val="0"/>
        <w:rPr>
          <w:rFonts w:ascii="黑体" w:hAnsi="黑体" w:eastAsia="黑体"/>
          <w:sz w:val="44"/>
          <w:szCs w:val="44"/>
        </w:rPr>
      </w:pPr>
    </w:p>
    <w:p w14:paraId="13A3EED6">
      <w:pPr>
        <w:spacing w:line="600" w:lineRule="exact"/>
        <w:jc w:val="center"/>
        <w:outlineLvl w:val="0"/>
        <w:rPr>
          <w:rFonts w:ascii="黑体" w:hAnsi="黑体" w:eastAsia="黑体"/>
          <w:sz w:val="44"/>
          <w:szCs w:val="44"/>
        </w:rPr>
      </w:pPr>
    </w:p>
    <w:p w14:paraId="021F5147">
      <w:pPr>
        <w:spacing w:line="600" w:lineRule="exact"/>
        <w:jc w:val="center"/>
        <w:outlineLvl w:val="0"/>
        <w:rPr>
          <w:rFonts w:ascii="黑体" w:hAnsi="黑体" w:eastAsia="黑体"/>
          <w:sz w:val="44"/>
          <w:szCs w:val="44"/>
        </w:rPr>
      </w:pPr>
    </w:p>
    <w:p w14:paraId="6DE33B27">
      <w:pPr>
        <w:spacing w:line="600" w:lineRule="exact"/>
        <w:jc w:val="center"/>
        <w:outlineLvl w:val="0"/>
        <w:rPr>
          <w:rFonts w:ascii="黑体" w:hAnsi="黑体" w:eastAsia="黑体"/>
          <w:sz w:val="44"/>
          <w:szCs w:val="44"/>
        </w:rPr>
      </w:pPr>
    </w:p>
    <w:p w14:paraId="2E2ED1B4">
      <w:pPr>
        <w:spacing w:line="600" w:lineRule="exact"/>
        <w:jc w:val="center"/>
        <w:outlineLvl w:val="0"/>
        <w:rPr>
          <w:rFonts w:ascii="黑体" w:hAnsi="黑体" w:eastAsia="黑体"/>
          <w:sz w:val="44"/>
          <w:szCs w:val="44"/>
        </w:rPr>
      </w:pPr>
    </w:p>
    <w:p w14:paraId="1B7D9942">
      <w:pPr>
        <w:spacing w:line="600" w:lineRule="exact"/>
        <w:jc w:val="center"/>
        <w:outlineLvl w:val="0"/>
        <w:rPr>
          <w:rFonts w:ascii="黑体" w:hAnsi="黑体" w:eastAsia="黑体"/>
          <w:sz w:val="44"/>
          <w:szCs w:val="44"/>
        </w:rPr>
      </w:pPr>
    </w:p>
    <w:p w14:paraId="2D95C7A9">
      <w:pPr>
        <w:spacing w:line="600" w:lineRule="exact"/>
        <w:jc w:val="center"/>
        <w:outlineLvl w:val="0"/>
        <w:rPr>
          <w:rFonts w:ascii="黑体" w:hAnsi="黑体" w:eastAsia="黑体"/>
          <w:sz w:val="44"/>
          <w:szCs w:val="44"/>
        </w:rPr>
      </w:pPr>
    </w:p>
    <w:p w14:paraId="0441A746">
      <w:pPr>
        <w:spacing w:line="600" w:lineRule="exact"/>
        <w:jc w:val="center"/>
        <w:outlineLvl w:val="0"/>
        <w:rPr>
          <w:rFonts w:ascii="黑体" w:hAnsi="黑体" w:eastAsia="黑体"/>
          <w:sz w:val="44"/>
          <w:szCs w:val="44"/>
        </w:rPr>
      </w:pPr>
    </w:p>
    <w:p w14:paraId="0295B8F9">
      <w:pPr>
        <w:spacing w:line="600" w:lineRule="exact"/>
        <w:jc w:val="center"/>
        <w:outlineLvl w:val="0"/>
        <w:rPr>
          <w:rFonts w:ascii="黑体" w:hAnsi="黑体" w:eastAsia="黑体"/>
          <w:sz w:val="44"/>
          <w:szCs w:val="44"/>
        </w:rPr>
      </w:pPr>
    </w:p>
    <w:p w14:paraId="5661DF0C">
      <w:pPr>
        <w:pStyle w:val="2"/>
        <w:spacing w:before="93"/>
      </w:pPr>
    </w:p>
    <w:p w14:paraId="5C90DA00">
      <w:pPr>
        <w:pStyle w:val="2"/>
        <w:spacing w:before="93"/>
      </w:pPr>
    </w:p>
    <w:p w14:paraId="7B2109A8">
      <w:pPr>
        <w:pStyle w:val="2"/>
        <w:spacing w:before="93"/>
      </w:pPr>
    </w:p>
    <w:p w14:paraId="72031F1E">
      <w:pPr>
        <w:spacing w:line="600" w:lineRule="exact"/>
        <w:jc w:val="center"/>
        <w:outlineLvl w:val="0"/>
        <w:rPr>
          <w:rFonts w:ascii="仿宋" w:hAnsi="仿宋" w:eastAsia="仿宋"/>
        </w:rPr>
      </w:pPr>
      <w:r>
        <w:rPr>
          <w:rFonts w:hint="eastAsia" w:ascii="黑体" w:hAnsi="黑体" w:eastAsia="黑体"/>
          <w:sz w:val="44"/>
          <w:szCs w:val="44"/>
        </w:rPr>
        <w:t>第</w:t>
      </w:r>
      <w:r>
        <w:rPr>
          <w:rStyle w:val="16"/>
          <w:rFonts w:hint="eastAsia" w:ascii="黑体" w:hAnsi="黑体" w:eastAsia="黑体"/>
          <w:b w:val="0"/>
        </w:rPr>
        <w:t>五部分 附表</w:t>
      </w:r>
      <w:bookmarkEnd w:id="49"/>
      <w:bookmarkEnd w:id="51"/>
      <w:bookmarkStart w:id="52" w:name="_Toc15396619"/>
    </w:p>
    <w:p w14:paraId="1369BCFE">
      <w:pPr>
        <w:pStyle w:val="4"/>
        <w:rPr>
          <w:rFonts w:ascii="仿宋" w:hAnsi="仿宋" w:eastAsia="仿宋"/>
        </w:rPr>
      </w:pPr>
      <w:r>
        <w:rPr>
          <w:rFonts w:hint="eastAsia" w:ascii="仿宋" w:hAnsi="仿宋" w:eastAsia="仿宋"/>
          <w:b w:val="0"/>
        </w:rPr>
        <w:t>一、收</w:t>
      </w:r>
      <w:r>
        <w:rPr>
          <w:rStyle w:val="17"/>
          <w:rFonts w:hint="eastAsia" w:ascii="仿宋" w:hAnsi="仿宋" w:eastAsia="仿宋"/>
          <w:b w:val="0"/>
          <w:bCs w:val="0"/>
        </w:rPr>
        <w:t>入支出决算总表</w:t>
      </w:r>
      <w:bookmarkEnd w:id="52"/>
    </w:p>
    <w:p w14:paraId="6CF339E5">
      <w:pPr>
        <w:pStyle w:val="4"/>
        <w:rPr>
          <w:rFonts w:ascii="仿宋" w:hAnsi="仿宋" w:eastAsia="仿宋"/>
        </w:rPr>
      </w:pPr>
      <w:bookmarkStart w:id="53" w:name="_Toc15396620"/>
      <w:r>
        <w:rPr>
          <w:rFonts w:hint="eastAsia" w:ascii="仿宋" w:hAnsi="仿宋" w:eastAsia="仿宋"/>
          <w:b w:val="0"/>
        </w:rPr>
        <w:t>二、收</w:t>
      </w:r>
      <w:r>
        <w:rPr>
          <w:rStyle w:val="17"/>
          <w:rFonts w:hint="eastAsia" w:ascii="仿宋" w:hAnsi="仿宋" w:eastAsia="仿宋"/>
          <w:b w:val="0"/>
          <w:bCs w:val="0"/>
        </w:rPr>
        <w:t>入决算表</w:t>
      </w:r>
      <w:bookmarkEnd w:id="53"/>
    </w:p>
    <w:p w14:paraId="187DA4F0">
      <w:pPr>
        <w:pStyle w:val="4"/>
        <w:rPr>
          <w:rFonts w:ascii="仿宋" w:hAnsi="仿宋" w:eastAsia="仿宋"/>
        </w:rPr>
      </w:pPr>
      <w:bookmarkStart w:id="54" w:name="_Toc15396621"/>
      <w:r>
        <w:rPr>
          <w:rStyle w:val="17"/>
          <w:rFonts w:hint="eastAsia" w:ascii="仿宋" w:hAnsi="仿宋" w:eastAsia="仿宋"/>
          <w:b w:val="0"/>
          <w:bCs w:val="0"/>
        </w:rPr>
        <w:t>三、</w:t>
      </w:r>
      <w:r>
        <w:rPr>
          <w:rFonts w:hint="eastAsia" w:ascii="仿宋" w:hAnsi="仿宋" w:eastAsia="仿宋"/>
          <w:b w:val="0"/>
        </w:rPr>
        <w:t>支</w:t>
      </w:r>
      <w:r>
        <w:rPr>
          <w:rStyle w:val="17"/>
          <w:rFonts w:hint="eastAsia" w:ascii="仿宋" w:hAnsi="仿宋" w:eastAsia="仿宋"/>
          <w:b w:val="0"/>
          <w:bCs w:val="0"/>
        </w:rPr>
        <w:t>出决算表</w:t>
      </w:r>
      <w:bookmarkEnd w:id="54"/>
    </w:p>
    <w:p w14:paraId="63FA5791">
      <w:pPr>
        <w:pStyle w:val="4"/>
        <w:rPr>
          <w:rFonts w:ascii="仿宋" w:hAnsi="仿宋" w:eastAsia="仿宋"/>
          <w:b w:val="0"/>
        </w:rPr>
      </w:pPr>
      <w:bookmarkStart w:id="55" w:name="_Toc15396622"/>
      <w:r>
        <w:rPr>
          <w:rStyle w:val="17"/>
          <w:rFonts w:hint="eastAsia" w:ascii="仿宋" w:hAnsi="仿宋" w:eastAsia="仿宋"/>
          <w:b w:val="0"/>
          <w:bCs w:val="0"/>
        </w:rPr>
        <w:t>四、</w:t>
      </w:r>
      <w:r>
        <w:rPr>
          <w:rFonts w:hint="eastAsia" w:ascii="仿宋" w:hAnsi="仿宋" w:eastAsia="仿宋"/>
          <w:b w:val="0"/>
        </w:rPr>
        <w:t>财</w:t>
      </w:r>
      <w:r>
        <w:rPr>
          <w:rStyle w:val="17"/>
          <w:rFonts w:hint="eastAsia" w:ascii="仿宋" w:hAnsi="仿宋" w:eastAsia="仿宋"/>
          <w:b w:val="0"/>
          <w:bCs w:val="0"/>
        </w:rPr>
        <w:t>政拨款收入支出决算总表</w:t>
      </w:r>
      <w:bookmarkEnd w:id="55"/>
    </w:p>
    <w:p w14:paraId="3E53060D">
      <w:pPr>
        <w:pStyle w:val="4"/>
        <w:rPr>
          <w:rStyle w:val="17"/>
          <w:rFonts w:ascii="仿宋" w:hAnsi="仿宋" w:eastAsia="仿宋"/>
          <w:b w:val="0"/>
          <w:bCs w:val="0"/>
        </w:rPr>
      </w:pPr>
      <w:bookmarkStart w:id="56" w:name="_Toc15396623"/>
      <w:r>
        <w:rPr>
          <w:rStyle w:val="17"/>
          <w:rFonts w:hint="eastAsia" w:ascii="仿宋" w:hAnsi="仿宋" w:eastAsia="仿宋"/>
          <w:b w:val="0"/>
          <w:bCs w:val="0"/>
        </w:rPr>
        <w:t>五、</w:t>
      </w:r>
      <w:r>
        <w:rPr>
          <w:rFonts w:hint="eastAsia" w:ascii="仿宋" w:hAnsi="仿宋" w:eastAsia="仿宋"/>
          <w:b w:val="0"/>
        </w:rPr>
        <w:t>财</w:t>
      </w:r>
      <w:r>
        <w:rPr>
          <w:rStyle w:val="17"/>
          <w:rFonts w:hint="eastAsia" w:ascii="仿宋" w:hAnsi="仿宋" w:eastAsia="仿宋"/>
          <w:b w:val="0"/>
          <w:bCs w:val="0"/>
        </w:rPr>
        <w:t>政拨款支出决算明细表</w:t>
      </w:r>
      <w:bookmarkEnd w:id="56"/>
      <w:bookmarkStart w:id="57" w:name="_Toc15396624"/>
    </w:p>
    <w:p w14:paraId="359307C0">
      <w:pPr>
        <w:pStyle w:val="4"/>
        <w:rPr>
          <w:rFonts w:ascii="仿宋" w:hAnsi="仿宋" w:eastAsia="仿宋"/>
        </w:rPr>
      </w:pPr>
      <w:r>
        <w:rPr>
          <w:rStyle w:val="17"/>
          <w:rFonts w:hint="eastAsia" w:ascii="仿宋" w:hAnsi="仿宋" w:eastAsia="仿宋"/>
          <w:b w:val="0"/>
          <w:bCs w:val="0"/>
        </w:rPr>
        <w:t>六、</w:t>
      </w:r>
      <w:r>
        <w:rPr>
          <w:rFonts w:hint="eastAsia" w:ascii="仿宋" w:hAnsi="仿宋" w:eastAsia="仿宋"/>
          <w:b w:val="0"/>
        </w:rPr>
        <w:t>一</w:t>
      </w:r>
      <w:r>
        <w:rPr>
          <w:rStyle w:val="17"/>
          <w:rFonts w:hint="eastAsia" w:ascii="仿宋" w:hAnsi="仿宋" w:eastAsia="仿宋"/>
          <w:b w:val="0"/>
          <w:bCs w:val="0"/>
        </w:rPr>
        <w:t>般公共预算财政拨款支出决算表</w:t>
      </w:r>
      <w:bookmarkEnd w:id="57"/>
    </w:p>
    <w:p w14:paraId="7040F8D7">
      <w:pPr>
        <w:pStyle w:val="4"/>
        <w:rPr>
          <w:rFonts w:ascii="仿宋" w:hAnsi="仿宋" w:eastAsia="仿宋"/>
        </w:rPr>
      </w:pPr>
      <w:bookmarkStart w:id="58" w:name="_Toc15396625"/>
      <w:r>
        <w:rPr>
          <w:rStyle w:val="17"/>
          <w:rFonts w:hint="eastAsia" w:ascii="仿宋" w:hAnsi="仿宋" w:eastAsia="仿宋"/>
          <w:b w:val="0"/>
          <w:bCs w:val="0"/>
        </w:rPr>
        <w:t>七、</w:t>
      </w:r>
      <w:r>
        <w:rPr>
          <w:rFonts w:hint="eastAsia" w:ascii="仿宋" w:hAnsi="仿宋" w:eastAsia="仿宋"/>
          <w:b w:val="0"/>
        </w:rPr>
        <w:t>一</w:t>
      </w:r>
      <w:r>
        <w:rPr>
          <w:rStyle w:val="17"/>
          <w:rFonts w:hint="eastAsia" w:ascii="仿宋" w:hAnsi="仿宋" w:eastAsia="仿宋"/>
          <w:b w:val="0"/>
          <w:bCs w:val="0"/>
        </w:rPr>
        <w:t>般公共预算财政拨款支出决算明细表</w:t>
      </w:r>
      <w:bookmarkEnd w:id="58"/>
    </w:p>
    <w:p w14:paraId="303B4313">
      <w:pPr>
        <w:pStyle w:val="4"/>
        <w:rPr>
          <w:rFonts w:ascii="仿宋" w:hAnsi="仿宋" w:eastAsia="仿宋"/>
        </w:rPr>
      </w:pPr>
      <w:bookmarkStart w:id="59" w:name="_Toc15396626"/>
      <w:r>
        <w:rPr>
          <w:rStyle w:val="17"/>
          <w:rFonts w:hint="eastAsia" w:ascii="仿宋" w:hAnsi="仿宋" w:eastAsia="仿宋"/>
          <w:b w:val="0"/>
          <w:bCs w:val="0"/>
        </w:rPr>
        <w:t>八、</w:t>
      </w:r>
      <w:r>
        <w:rPr>
          <w:rFonts w:hint="eastAsia" w:ascii="仿宋" w:hAnsi="仿宋" w:eastAsia="仿宋"/>
          <w:b w:val="0"/>
        </w:rPr>
        <w:t>一</w:t>
      </w:r>
      <w:r>
        <w:rPr>
          <w:rStyle w:val="17"/>
          <w:rFonts w:hint="eastAsia" w:ascii="仿宋" w:hAnsi="仿宋" w:eastAsia="仿宋"/>
          <w:b w:val="0"/>
          <w:bCs w:val="0"/>
        </w:rPr>
        <w:t>般公共预算财政拨款基本支出决算表</w:t>
      </w:r>
      <w:bookmarkEnd w:id="59"/>
    </w:p>
    <w:p w14:paraId="4CB0919E">
      <w:pPr>
        <w:pStyle w:val="4"/>
        <w:rPr>
          <w:rFonts w:ascii="仿宋" w:hAnsi="仿宋" w:eastAsia="仿宋"/>
        </w:rPr>
      </w:pPr>
      <w:bookmarkStart w:id="60" w:name="_Toc15396627"/>
      <w:r>
        <w:rPr>
          <w:rStyle w:val="17"/>
          <w:rFonts w:hint="eastAsia" w:ascii="仿宋" w:hAnsi="仿宋" w:eastAsia="仿宋"/>
          <w:b w:val="0"/>
          <w:bCs w:val="0"/>
        </w:rPr>
        <w:t>九、</w:t>
      </w:r>
      <w:r>
        <w:rPr>
          <w:rFonts w:hint="eastAsia" w:ascii="仿宋" w:hAnsi="仿宋" w:eastAsia="仿宋"/>
          <w:b w:val="0"/>
        </w:rPr>
        <w:t>一</w:t>
      </w:r>
      <w:r>
        <w:rPr>
          <w:rStyle w:val="17"/>
          <w:rFonts w:hint="eastAsia" w:ascii="仿宋" w:hAnsi="仿宋" w:eastAsia="仿宋"/>
          <w:b w:val="0"/>
          <w:bCs w:val="0"/>
        </w:rPr>
        <w:t>般公共预算财政拨款项目支出决算表</w:t>
      </w:r>
      <w:bookmarkEnd w:id="60"/>
    </w:p>
    <w:p w14:paraId="4C9FCE33">
      <w:pPr>
        <w:pStyle w:val="4"/>
        <w:rPr>
          <w:rFonts w:ascii="仿宋" w:hAnsi="仿宋" w:eastAsia="仿宋"/>
        </w:rPr>
      </w:pPr>
      <w:bookmarkStart w:id="61" w:name="_Toc15396628"/>
      <w:r>
        <w:rPr>
          <w:rStyle w:val="17"/>
          <w:rFonts w:hint="eastAsia" w:ascii="仿宋" w:hAnsi="仿宋" w:eastAsia="仿宋"/>
          <w:b w:val="0"/>
          <w:bCs w:val="0"/>
        </w:rPr>
        <w:t>十、</w:t>
      </w:r>
      <w:bookmarkEnd w:id="61"/>
      <w:r>
        <w:rPr>
          <w:rFonts w:hint="eastAsia" w:ascii="仿宋" w:hAnsi="仿宋" w:eastAsia="仿宋"/>
          <w:b w:val="0"/>
        </w:rPr>
        <w:t>政</w:t>
      </w:r>
      <w:r>
        <w:rPr>
          <w:rStyle w:val="17"/>
          <w:rFonts w:hint="eastAsia" w:ascii="仿宋" w:hAnsi="仿宋" w:eastAsia="仿宋"/>
          <w:b w:val="0"/>
          <w:bCs w:val="0"/>
        </w:rPr>
        <w:t>府性基金预算财政拨款收入支出决算表</w:t>
      </w:r>
    </w:p>
    <w:p w14:paraId="0E7F995F">
      <w:pPr>
        <w:pStyle w:val="4"/>
        <w:rPr>
          <w:rStyle w:val="17"/>
          <w:rFonts w:hint="eastAsia" w:ascii="仿宋" w:hAnsi="仿宋" w:eastAsia="仿宋"/>
          <w:b w:val="0"/>
          <w:bCs w:val="0"/>
        </w:rPr>
      </w:pPr>
      <w:bookmarkStart w:id="62" w:name="_Toc15396629"/>
      <w:r>
        <w:rPr>
          <w:rStyle w:val="17"/>
          <w:rFonts w:hint="eastAsia" w:ascii="仿宋" w:hAnsi="仿宋" w:eastAsia="仿宋"/>
          <w:b w:val="0"/>
          <w:bCs w:val="0"/>
        </w:rPr>
        <w:t>十一、</w:t>
      </w:r>
      <w:bookmarkEnd w:id="62"/>
      <w:r>
        <w:rPr>
          <w:rFonts w:hint="eastAsia" w:ascii="仿宋" w:hAnsi="仿宋" w:eastAsia="仿宋"/>
          <w:b w:val="0"/>
        </w:rPr>
        <w:t>国</w:t>
      </w:r>
      <w:r>
        <w:rPr>
          <w:rStyle w:val="17"/>
          <w:rFonts w:hint="eastAsia" w:ascii="仿宋" w:hAnsi="仿宋" w:eastAsia="仿宋"/>
          <w:b w:val="0"/>
          <w:bCs w:val="0"/>
        </w:rPr>
        <w:t>有资本经营预算财政拨款收入支出决算表</w:t>
      </w:r>
    </w:p>
    <w:p w14:paraId="2BD11B5A">
      <w:pPr>
        <w:rPr>
          <w:rFonts w:ascii="仿宋" w:hAnsi="仿宋" w:eastAsia="仿宋"/>
        </w:rPr>
      </w:pPr>
      <w:r>
        <w:rPr>
          <w:rStyle w:val="17"/>
          <w:rFonts w:hint="eastAsia" w:ascii="仿宋" w:hAnsi="仿宋" w:eastAsia="仿宋"/>
          <w:b w:val="0"/>
          <w:bCs w:val="0"/>
        </w:rPr>
        <w:t>十二、国有资本经营预算财政拨款支出决算表</w:t>
      </w:r>
    </w:p>
    <w:p w14:paraId="614B88B5">
      <w:pPr>
        <w:pStyle w:val="4"/>
        <w:rPr>
          <w:rStyle w:val="17"/>
          <w:rFonts w:ascii="仿宋" w:hAnsi="仿宋" w:eastAsia="仿宋"/>
          <w:b w:val="0"/>
          <w:bCs w:val="0"/>
        </w:rPr>
      </w:pPr>
      <w:bookmarkStart w:id="63" w:name="_Toc15396631"/>
      <w:r>
        <w:rPr>
          <w:rStyle w:val="17"/>
          <w:rFonts w:hint="eastAsia" w:ascii="仿宋" w:hAnsi="仿宋" w:eastAsia="仿宋"/>
          <w:b w:val="0"/>
          <w:bCs w:val="0"/>
        </w:rPr>
        <w:t>十三、</w:t>
      </w:r>
      <w:bookmarkEnd w:id="63"/>
      <w:bookmarkStart w:id="64" w:name="_Toc15396630"/>
      <w:r>
        <w:rPr>
          <w:rStyle w:val="17"/>
          <w:rFonts w:hint="eastAsia" w:ascii="仿宋" w:hAnsi="仿宋" w:eastAsia="仿宋"/>
          <w:b w:val="0"/>
          <w:bCs w:val="0"/>
        </w:rPr>
        <w:t>财政拨款“三公”经费支出决算表</w:t>
      </w:r>
      <w:bookmarkEnd w:id="64"/>
    </w:p>
    <w:p w14:paraId="12DB6531">
      <w:pPr>
        <w:pStyle w:val="2"/>
      </w:pP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099E4">
    <w:pPr>
      <w:pStyle w:val="8"/>
      <w:jc w:val="center"/>
    </w:pPr>
    <w:r>
      <w:fldChar w:fldCharType="begin"/>
    </w:r>
    <w:r>
      <w:instrText xml:space="preserve">PAGE   \* MERGEFORMAT</w:instrText>
    </w:r>
    <w:r>
      <w:fldChar w:fldCharType="separate"/>
    </w:r>
    <w:r>
      <w:rPr>
        <w:lang w:val="zh-CN"/>
      </w:rPr>
      <w:t>30</w:t>
    </w:r>
    <w:r>
      <w:rPr>
        <w:lang w:val="zh-CN"/>
      </w:rPr>
      <w:fldChar w:fldCharType="end"/>
    </w:r>
  </w:p>
  <w:p w14:paraId="70AEFC2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37BD3">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c3YWQ0OTgxNzMyMjllNTZlMTRmMzYyYmFkNjRhYTIifQ=="/>
  </w:docVars>
  <w:rsids>
    <w:rsidRoot w:val="00F1361C"/>
    <w:rsid w:val="000222C6"/>
    <w:rsid w:val="0002549F"/>
    <w:rsid w:val="0004153C"/>
    <w:rsid w:val="000429FE"/>
    <w:rsid w:val="000468DB"/>
    <w:rsid w:val="00055D85"/>
    <w:rsid w:val="0006487A"/>
    <w:rsid w:val="00065F8F"/>
    <w:rsid w:val="00066E17"/>
    <w:rsid w:val="00070A43"/>
    <w:rsid w:val="000768F2"/>
    <w:rsid w:val="0009184B"/>
    <w:rsid w:val="00094236"/>
    <w:rsid w:val="00094EED"/>
    <w:rsid w:val="0009593C"/>
    <w:rsid w:val="00097322"/>
    <w:rsid w:val="000A17E0"/>
    <w:rsid w:val="000A6A92"/>
    <w:rsid w:val="000B047F"/>
    <w:rsid w:val="000B5923"/>
    <w:rsid w:val="000B5A48"/>
    <w:rsid w:val="000B6FF3"/>
    <w:rsid w:val="000C180C"/>
    <w:rsid w:val="000C3467"/>
    <w:rsid w:val="000C3CA6"/>
    <w:rsid w:val="000D1267"/>
    <w:rsid w:val="000D1D50"/>
    <w:rsid w:val="000D5782"/>
    <w:rsid w:val="000E6613"/>
    <w:rsid w:val="000E7119"/>
    <w:rsid w:val="000F6A00"/>
    <w:rsid w:val="001133F4"/>
    <w:rsid w:val="001147EC"/>
    <w:rsid w:val="00114E9B"/>
    <w:rsid w:val="00116F99"/>
    <w:rsid w:val="00121456"/>
    <w:rsid w:val="00121AFA"/>
    <w:rsid w:val="00142216"/>
    <w:rsid w:val="00144D6A"/>
    <w:rsid w:val="00145FA3"/>
    <w:rsid w:val="0014729F"/>
    <w:rsid w:val="00157BAB"/>
    <w:rsid w:val="001654D1"/>
    <w:rsid w:val="00174518"/>
    <w:rsid w:val="0018106D"/>
    <w:rsid w:val="001877A7"/>
    <w:rsid w:val="00191536"/>
    <w:rsid w:val="00196687"/>
    <w:rsid w:val="00197CEF"/>
    <w:rsid w:val="001A1C28"/>
    <w:rsid w:val="001C0962"/>
    <w:rsid w:val="001D102F"/>
    <w:rsid w:val="001D7531"/>
    <w:rsid w:val="001E1DC5"/>
    <w:rsid w:val="001E737D"/>
    <w:rsid w:val="001F0592"/>
    <w:rsid w:val="001F4269"/>
    <w:rsid w:val="001F7506"/>
    <w:rsid w:val="002006CD"/>
    <w:rsid w:val="00202B36"/>
    <w:rsid w:val="00204B7A"/>
    <w:rsid w:val="00204CDE"/>
    <w:rsid w:val="0021101A"/>
    <w:rsid w:val="00216B4A"/>
    <w:rsid w:val="00220536"/>
    <w:rsid w:val="00233976"/>
    <w:rsid w:val="00235629"/>
    <w:rsid w:val="00246703"/>
    <w:rsid w:val="0025056A"/>
    <w:rsid w:val="00260C38"/>
    <w:rsid w:val="00261082"/>
    <w:rsid w:val="002616C0"/>
    <w:rsid w:val="00265372"/>
    <w:rsid w:val="002662AA"/>
    <w:rsid w:val="00280496"/>
    <w:rsid w:val="00294B7B"/>
    <w:rsid w:val="00294DC9"/>
    <w:rsid w:val="00295495"/>
    <w:rsid w:val="002A31DE"/>
    <w:rsid w:val="002A5CF6"/>
    <w:rsid w:val="002A622F"/>
    <w:rsid w:val="002A7563"/>
    <w:rsid w:val="002B1342"/>
    <w:rsid w:val="002B2613"/>
    <w:rsid w:val="002C504A"/>
    <w:rsid w:val="002D312A"/>
    <w:rsid w:val="002D6D05"/>
    <w:rsid w:val="002D7629"/>
    <w:rsid w:val="002E4618"/>
    <w:rsid w:val="002E4ADE"/>
    <w:rsid w:val="002F1818"/>
    <w:rsid w:val="002F567B"/>
    <w:rsid w:val="003216A9"/>
    <w:rsid w:val="00335A74"/>
    <w:rsid w:val="0036561B"/>
    <w:rsid w:val="0037013F"/>
    <w:rsid w:val="00380C92"/>
    <w:rsid w:val="00387035"/>
    <w:rsid w:val="003A484F"/>
    <w:rsid w:val="003A4883"/>
    <w:rsid w:val="003B0BE0"/>
    <w:rsid w:val="003B0C1B"/>
    <w:rsid w:val="003B6176"/>
    <w:rsid w:val="003B688C"/>
    <w:rsid w:val="003B70A6"/>
    <w:rsid w:val="003C0291"/>
    <w:rsid w:val="003C39AE"/>
    <w:rsid w:val="003C7B60"/>
    <w:rsid w:val="003D0C0F"/>
    <w:rsid w:val="003D1FB2"/>
    <w:rsid w:val="003D38C4"/>
    <w:rsid w:val="003D66DA"/>
    <w:rsid w:val="003E1310"/>
    <w:rsid w:val="003E5A0D"/>
    <w:rsid w:val="003E6F55"/>
    <w:rsid w:val="003F4B8C"/>
    <w:rsid w:val="00400A09"/>
    <w:rsid w:val="00406254"/>
    <w:rsid w:val="00411A3A"/>
    <w:rsid w:val="004223DE"/>
    <w:rsid w:val="004300F4"/>
    <w:rsid w:val="00434489"/>
    <w:rsid w:val="00437085"/>
    <w:rsid w:val="00443880"/>
    <w:rsid w:val="004464F4"/>
    <w:rsid w:val="00471401"/>
    <w:rsid w:val="00473F31"/>
    <w:rsid w:val="0048263A"/>
    <w:rsid w:val="00487E5D"/>
    <w:rsid w:val="004A711F"/>
    <w:rsid w:val="004A7A68"/>
    <w:rsid w:val="004B199D"/>
    <w:rsid w:val="004B4690"/>
    <w:rsid w:val="004B4E1D"/>
    <w:rsid w:val="004D106E"/>
    <w:rsid w:val="004E0A2D"/>
    <w:rsid w:val="004E206B"/>
    <w:rsid w:val="004E6DF7"/>
    <w:rsid w:val="004E71B0"/>
    <w:rsid w:val="004F0FBD"/>
    <w:rsid w:val="00505A47"/>
    <w:rsid w:val="00512FDA"/>
    <w:rsid w:val="005132E3"/>
    <w:rsid w:val="00520DA0"/>
    <w:rsid w:val="0052120C"/>
    <w:rsid w:val="00551EB8"/>
    <w:rsid w:val="005664BB"/>
    <w:rsid w:val="00566FFA"/>
    <w:rsid w:val="0057481D"/>
    <w:rsid w:val="0058486E"/>
    <w:rsid w:val="00585B33"/>
    <w:rsid w:val="0059014D"/>
    <w:rsid w:val="005B5C64"/>
    <w:rsid w:val="005C5337"/>
    <w:rsid w:val="005C6BD0"/>
    <w:rsid w:val="005D1C8B"/>
    <w:rsid w:val="005D468D"/>
    <w:rsid w:val="005D5CED"/>
    <w:rsid w:val="005E5A28"/>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05E8"/>
    <w:rsid w:val="0066343B"/>
    <w:rsid w:val="00664777"/>
    <w:rsid w:val="00671025"/>
    <w:rsid w:val="006748A4"/>
    <w:rsid w:val="00681A31"/>
    <w:rsid w:val="00683E73"/>
    <w:rsid w:val="00685221"/>
    <w:rsid w:val="006A3141"/>
    <w:rsid w:val="006A3A6E"/>
    <w:rsid w:val="006A5E34"/>
    <w:rsid w:val="006B2422"/>
    <w:rsid w:val="006B2B9A"/>
    <w:rsid w:val="006C1937"/>
    <w:rsid w:val="006D1300"/>
    <w:rsid w:val="006F020C"/>
    <w:rsid w:val="00704B6B"/>
    <w:rsid w:val="007127B7"/>
    <w:rsid w:val="0071798E"/>
    <w:rsid w:val="00717F8F"/>
    <w:rsid w:val="007302B4"/>
    <w:rsid w:val="007416B6"/>
    <w:rsid w:val="00746F48"/>
    <w:rsid w:val="00750371"/>
    <w:rsid w:val="0075404D"/>
    <w:rsid w:val="0076182A"/>
    <w:rsid w:val="00767B7E"/>
    <w:rsid w:val="007770C3"/>
    <w:rsid w:val="00784D24"/>
    <w:rsid w:val="00785FBA"/>
    <w:rsid w:val="00786E4A"/>
    <w:rsid w:val="007875EB"/>
    <w:rsid w:val="00790F61"/>
    <w:rsid w:val="00793A79"/>
    <w:rsid w:val="0079426B"/>
    <w:rsid w:val="007D1682"/>
    <w:rsid w:val="007D312A"/>
    <w:rsid w:val="007D3F19"/>
    <w:rsid w:val="007E23B0"/>
    <w:rsid w:val="007E23E5"/>
    <w:rsid w:val="007F1991"/>
    <w:rsid w:val="007F2C2F"/>
    <w:rsid w:val="007F4772"/>
    <w:rsid w:val="007F55FC"/>
    <w:rsid w:val="007F5665"/>
    <w:rsid w:val="00800112"/>
    <w:rsid w:val="00813348"/>
    <w:rsid w:val="008253BB"/>
    <w:rsid w:val="0083346D"/>
    <w:rsid w:val="00834DEF"/>
    <w:rsid w:val="008365ED"/>
    <w:rsid w:val="0083706E"/>
    <w:rsid w:val="008408F6"/>
    <w:rsid w:val="008423A5"/>
    <w:rsid w:val="00846C15"/>
    <w:rsid w:val="00850625"/>
    <w:rsid w:val="00853718"/>
    <w:rsid w:val="00855221"/>
    <w:rsid w:val="00860645"/>
    <w:rsid w:val="00871F71"/>
    <w:rsid w:val="00872FD8"/>
    <w:rsid w:val="00877F6A"/>
    <w:rsid w:val="00885AF4"/>
    <w:rsid w:val="008939CD"/>
    <w:rsid w:val="008A6451"/>
    <w:rsid w:val="008B3A26"/>
    <w:rsid w:val="008B768C"/>
    <w:rsid w:val="008C3313"/>
    <w:rsid w:val="008C4DB1"/>
    <w:rsid w:val="008C4EAF"/>
    <w:rsid w:val="008C5176"/>
    <w:rsid w:val="008C7FD0"/>
    <w:rsid w:val="008E0B67"/>
    <w:rsid w:val="008E1DE7"/>
    <w:rsid w:val="008E707C"/>
    <w:rsid w:val="008F21FE"/>
    <w:rsid w:val="008F5101"/>
    <w:rsid w:val="008F598C"/>
    <w:rsid w:val="00900B08"/>
    <w:rsid w:val="00902155"/>
    <w:rsid w:val="00902FA3"/>
    <w:rsid w:val="00904CB9"/>
    <w:rsid w:val="009115EC"/>
    <w:rsid w:val="00923564"/>
    <w:rsid w:val="0092392E"/>
    <w:rsid w:val="009315F9"/>
    <w:rsid w:val="00933499"/>
    <w:rsid w:val="00935C98"/>
    <w:rsid w:val="00942B8C"/>
    <w:rsid w:val="00946945"/>
    <w:rsid w:val="00951248"/>
    <w:rsid w:val="0095152F"/>
    <w:rsid w:val="00954C49"/>
    <w:rsid w:val="00955E37"/>
    <w:rsid w:val="0097099F"/>
    <w:rsid w:val="00971997"/>
    <w:rsid w:val="00971FFC"/>
    <w:rsid w:val="00984FD0"/>
    <w:rsid w:val="0098660A"/>
    <w:rsid w:val="009931C3"/>
    <w:rsid w:val="009A797B"/>
    <w:rsid w:val="009B2C43"/>
    <w:rsid w:val="009B4EAE"/>
    <w:rsid w:val="009B73E1"/>
    <w:rsid w:val="009B7573"/>
    <w:rsid w:val="009C22F4"/>
    <w:rsid w:val="009C2A4B"/>
    <w:rsid w:val="009C2E98"/>
    <w:rsid w:val="009D01D8"/>
    <w:rsid w:val="009D3447"/>
    <w:rsid w:val="009D4711"/>
    <w:rsid w:val="009D56D0"/>
    <w:rsid w:val="009E563D"/>
    <w:rsid w:val="009F1000"/>
    <w:rsid w:val="009F1185"/>
    <w:rsid w:val="009F18CD"/>
    <w:rsid w:val="009F2A13"/>
    <w:rsid w:val="009F7527"/>
    <w:rsid w:val="00A04EB0"/>
    <w:rsid w:val="00A13CC1"/>
    <w:rsid w:val="00A16847"/>
    <w:rsid w:val="00A237D8"/>
    <w:rsid w:val="00A24A31"/>
    <w:rsid w:val="00A268C4"/>
    <w:rsid w:val="00A307CD"/>
    <w:rsid w:val="00A331C8"/>
    <w:rsid w:val="00A40A00"/>
    <w:rsid w:val="00A4142F"/>
    <w:rsid w:val="00A422EB"/>
    <w:rsid w:val="00A45BB7"/>
    <w:rsid w:val="00A541E4"/>
    <w:rsid w:val="00A56DF2"/>
    <w:rsid w:val="00A56E6E"/>
    <w:rsid w:val="00A67AB5"/>
    <w:rsid w:val="00A733B2"/>
    <w:rsid w:val="00A741C2"/>
    <w:rsid w:val="00A832E2"/>
    <w:rsid w:val="00A91760"/>
    <w:rsid w:val="00A93B00"/>
    <w:rsid w:val="00A93C21"/>
    <w:rsid w:val="00AB64C9"/>
    <w:rsid w:val="00AC1F87"/>
    <w:rsid w:val="00AC3C6A"/>
    <w:rsid w:val="00AC5625"/>
    <w:rsid w:val="00AD5620"/>
    <w:rsid w:val="00AD656B"/>
    <w:rsid w:val="00AD7C1B"/>
    <w:rsid w:val="00AE16BA"/>
    <w:rsid w:val="00AE1EBE"/>
    <w:rsid w:val="00AF5E6F"/>
    <w:rsid w:val="00B03C9D"/>
    <w:rsid w:val="00B060AE"/>
    <w:rsid w:val="00B10517"/>
    <w:rsid w:val="00B14E76"/>
    <w:rsid w:val="00B161B8"/>
    <w:rsid w:val="00B2048C"/>
    <w:rsid w:val="00B2529D"/>
    <w:rsid w:val="00B310B9"/>
    <w:rsid w:val="00B3220E"/>
    <w:rsid w:val="00B35F3F"/>
    <w:rsid w:val="00B36CBB"/>
    <w:rsid w:val="00B425E0"/>
    <w:rsid w:val="00B440AA"/>
    <w:rsid w:val="00B44B70"/>
    <w:rsid w:val="00B452B7"/>
    <w:rsid w:val="00B53C56"/>
    <w:rsid w:val="00B57DAF"/>
    <w:rsid w:val="00B643ED"/>
    <w:rsid w:val="00B77EA6"/>
    <w:rsid w:val="00B81598"/>
    <w:rsid w:val="00B82545"/>
    <w:rsid w:val="00B841F1"/>
    <w:rsid w:val="00B8498F"/>
    <w:rsid w:val="00B944D6"/>
    <w:rsid w:val="00BA5A60"/>
    <w:rsid w:val="00BB4DF0"/>
    <w:rsid w:val="00BC289F"/>
    <w:rsid w:val="00BC2D50"/>
    <w:rsid w:val="00BC5361"/>
    <w:rsid w:val="00BC5460"/>
    <w:rsid w:val="00BC6B50"/>
    <w:rsid w:val="00BD0E25"/>
    <w:rsid w:val="00BE1504"/>
    <w:rsid w:val="00BF4388"/>
    <w:rsid w:val="00BF5BD6"/>
    <w:rsid w:val="00BF62C0"/>
    <w:rsid w:val="00BF6C71"/>
    <w:rsid w:val="00C02536"/>
    <w:rsid w:val="00C03E31"/>
    <w:rsid w:val="00C15C99"/>
    <w:rsid w:val="00C33E72"/>
    <w:rsid w:val="00C3547B"/>
    <w:rsid w:val="00C354B2"/>
    <w:rsid w:val="00C35554"/>
    <w:rsid w:val="00C42709"/>
    <w:rsid w:val="00C533CC"/>
    <w:rsid w:val="00C5751C"/>
    <w:rsid w:val="00C61BFC"/>
    <w:rsid w:val="00C62B85"/>
    <w:rsid w:val="00C65438"/>
    <w:rsid w:val="00C80197"/>
    <w:rsid w:val="00C87FD8"/>
    <w:rsid w:val="00C91381"/>
    <w:rsid w:val="00C91CBB"/>
    <w:rsid w:val="00CA6F31"/>
    <w:rsid w:val="00CB0E9D"/>
    <w:rsid w:val="00CB4E70"/>
    <w:rsid w:val="00CB6D0F"/>
    <w:rsid w:val="00CC00D2"/>
    <w:rsid w:val="00CC09B6"/>
    <w:rsid w:val="00CC3583"/>
    <w:rsid w:val="00CC639C"/>
    <w:rsid w:val="00CC666F"/>
    <w:rsid w:val="00CD1E3F"/>
    <w:rsid w:val="00CE14B2"/>
    <w:rsid w:val="00CE44F6"/>
    <w:rsid w:val="00CE49DA"/>
    <w:rsid w:val="00CE7B61"/>
    <w:rsid w:val="00CF1481"/>
    <w:rsid w:val="00CF565E"/>
    <w:rsid w:val="00CF7722"/>
    <w:rsid w:val="00D00095"/>
    <w:rsid w:val="00D114F0"/>
    <w:rsid w:val="00D14834"/>
    <w:rsid w:val="00D20620"/>
    <w:rsid w:val="00D21CAD"/>
    <w:rsid w:val="00D254F7"/>
    <w:rsid w:val="00D26091"/>
    <w:rsid w:val="00D2685C"/>
    <w:rsid w:val="00D34E7C"/>
    <w:rsid w:val="00D35489"/>
    <w:rsid w:val="00D36AFE"/>
    <w:rsid w:val="00D36FBD"/>
    <w:rsid w:val="00D47D77"/>
    <w:rsid w:val="00D51276"/>
    <w:rsid w:val="00D63FCA"/>
    <w:rsid w:val="00D65F1D"/>
    <w:rsid w:val="00D7035F"/>
    <w:rsid w:val="00D714C2"/>
    <w:rsid w:val="00D71F95"/>
    <w:rsid w:val="00D87299"/>
    <w:rsid w:val="00D87723"/>
    <w:rsid w:val="00D91402"/>
    <w:rsid w:val="00DA634F"/>
    <w:rsid w:val="00DA65AC"/>
    <w:rsid w:val="00DB1913"/>
    <w:rsid w:val="00DB21BE"/>
    <w:rsid w:val="00DC3DB2"/>
    <w:rsid w:val="00DC410D"/>
    <w:rsid w:val="00DC5A81"/>
    <w:rsid w:val="00DC68CA"/>
    <w:rsid w:val="00DC7CBA"/>
    <w:rsid w:val="00DD73B7"/>
    <w:rsid w:val="00DF28BC"/>
    <w:rsid w:val="00DF34B9"/>
    <w:rsid w:val="00E01053"/>
    <w:rsid w:val="00E016D0"/>
    <w:rsid w:val="00E07ACF"/>
    <w:rsid w:val="00E261B0"/>
    <w:rsid w:val="00E302B2"/>
    <w:rsid w:val="00E331A1"/>
    <w:rsid w:val="00E33202"/>
    <w:rsid w:val="00E336A9"/>
    <w:rsid w:val="00E44595"/>
    <w:rsid w:val="00E472B1"/>
    <w:rsid w:val="00E50624"/>
    <w:rsid w:val="00E568B9"/>
    <w:rsid w:val="00E568DF"/>
    <w:rsid w:val="00E64269"/>
    <w:rsid w:val="00E65287"/>
    <w:rsid w:val="00E82267"/>
    <w:rsid w:val="00E853CE"/>
    <w:rsid w:val="00E867B6"/>
    <w:rsid w:val="00E9178E"/>
    <w:rsid w:val="00EA010F"/>
    <w:rsid w:val="00EA66EF"/>
    <w:rsid w:val="00EC6034"/>
    <w:rsid w:val="00ED1B63"/>
    <w:rsid w:val="00ED3C1F"/>
    <w:rsid w:val="00ED4085"/>
    <w:rsid w:val="00ED420E"/>
    <w:rsid w:val="00ED6FBE"/>
    <w:rsid w:val="00EE2F57"/>
    <w:rsid w:val="00EE39F0"/>
    <w:rsid w:val="00EF4C34"/>
    <w:rsid w:val="00EF77C6"/>
    <w:rsid w:val="00F05438"/>
    <w:rsid w:val="00F10B14"/>
    <w:rsid w:val="00F1361C"/>
    <w:rsid w:val="00F156F0"/>
    <w:rsid w:val="00F160C7"/>
    <w:rsid w:val="00F20A7A"/>
    <w:rsid w:val="00F2177C"/>
    <w:rsid w:val="00F21BC5"/>
    <w:rsid w:val="00F2408F"/>
    <w:rsid w:val="00F240E9"/>
    <w:rsid w:val="00F36D8F"/>
    <w:rsid w:val="00F417B1"/>
    <w:rsid w:val="00F45853"/>
    <w:rsid w:val="00F55BF0"/>
    <w:rsid w:val="00F602DF"/>
    <w:rsid w:val="00F754A1"/>
    <w:rsid w:val="00F75BB6"/>
    <w:rsid w:val="00F81FD9"/>
    <w:rsid w:val="00F823AB"/>
    <w:rsid w:val="00F841AA"/>
    <w:rsid w:val="00F84A94"/>
    <w:rsid w:val="00F87E96"/>
    <w:rsid w:val="00F87EF4"/>
    <w:rsid w:val="00FA23E8"/>
    <w:rsid w:val="00FA31FC"/>
    <w:rsid w:val="00FA68B2"/>
    <w:rsid w:val="00FC1EA5"/>
    <w:rsid w:val="00FC53BB"/>
    <w:rsid w:val="00FD3CC1"/>
    <w:rsid w:val="00FD3E6F"/>
    <w:rsid w:val="00FF1E02"/>
    <w:rsid w:val="00FF30B4"/>
    <w:rsid w:val="01B67B4E"/>
    <w:rsid w:val="0328329F"/>
    <w:rsid w:val="066342AA"/>
    <w:rsid w:val="0A2032A3"/>
    <w:rsid w:val="0B1E4F61"/>
    <w:rsid w:val="0B8A37D8"/>
    <w:rsid w:val="0BB8255B"/>
    <w:rsid w:val="0BCB0FBA"/>
    <w:rsid w:val="0D2304AD"/>
    <w:rsid w:val="0EFF29F7"/>
    <w:rsid w:val="0FD83ACA"/>
    <w:rsid w:val="10686904"/>
    <w:rsid w:val="10BC329C"/>
    <w:rsid w:val="10C055FF"/>
    <w:rsid w:val="10C123FA"/>
    <w:rsid w:val="10D03DBD"/>
    <w:rsid w:val="118107EC"/>
    <w:rsid w:val="11DD6519"/>
    <w:rsid w:val="16BB723D"/>
    <w:rsid w:val="16CD47FE"/>
    <w:rsid w:val="173073DC"/>
    <w:rsid w:val="18015F3F"/>
    <w:rsid w:val="1BE8440E"/>
    <w:rsid w:val="1C142509"/>
    <w:rsid w:val="1D155CEE"/>
    <w:rsid w:val="20F57F95"/>
    <w:rsid w:val="212C6B4E"/>
    <w:rsid w:val="230261BC"/>
    <w:rsid w:val="23EF693F"/>
    <w:rsid w:val="240371BF"/>
    <w:rsid w:val="25C741E6"/>
    <w:rsid w:val="27842671"/>
    <w:rsid w:val="27B76947"/>
    <w:rsid w:val="28461859"/>
    <w:rsid w:val="29F91087"/>
    <w:rsid w:val="29FD04D3"/>
    <w:rsid w:val="29FE3D88"/>
    <w:rsid w:val="2ABE7A3E"/>
    <w:rsid w:val="2D0E6608"/>
    <w:rsid w:val="2EFA178C"/>
    <w:rsid w:val="30B46D73"/>
    <w:rsid w:val="319F7F4E"/>
    <w:rsid w:val="32303E53"/>
    <w:rsid w:val="32AC6713"/>
    <w:rsid w:val="32DD66B6"/>
    <w:rsid w:val="342603A3"/>
    <w:rsid w:val="39AE70AB"/>
    <w:rsid w:val="39E12B86"/>
    <w:rsid w:val="3A742699"/>
    <w:rsid w:val="3B84575D"/>
    <w:rsid w:val="3C0C0783"/>
    <w:rsid w:val="3C617C87"/>
    <w:rsid w:val="3D2A1C1E"/>
    <w:rsid w:val="3F9F3A96"/>
    <w:rsid w:val="41D05678"/>
    <w:rsid w:val="426B47A5"/>
    <w:rsid w:val="432618FE"/>
    <w:rsid w:val="43684434"/>
    <w:rsid w:val="47393FD4"/>
    <w:rsid w:val="493C27E9"/>
    <w:rsid w:val="496F39ED"/>
    <w:rsid w:val="49FF41D3"/>
    <w:rsid w:val="4B0E7B19"/>
    <w:rsid w:val="4BB80EE0"/>
    <w:rsid w:val="4BE068DB"/>
    <w:rsid w:val="4BF6002B"/>
    <w:rsid w:val="4CDD1663"/>
    <w:rsid w:val="4EC24B02"/>
    <w:rsid w:val="4ECE2238"/>
    <w:rsid w:val="51DB4B86"/>
    <w:rsid w:val="52CE07BD"/>
    <w:rsid w:val="543563BA"/>
    <w:rsid w:val="55333C3E"/>
    <w:rsid w:val="568A7189"/>
    <w:rsid w:val="56A8574D"/>
    <w:rsid w:val="599252AD"/>
    <w:rsid w:val="59BD179D"/>
    <w:rsid w:val="5B391F4F"/>
    <w:rsid w:val="5BF85580"/>
    <w:rsid w:val="601312D0"/>
    <w:rsid w:val="602C3AFE"/>
    <w:rsid w:val="60557A5D"/>
    <w:rsid w:val="60BF5A94"/>
    <w:rsid w:val="62AB56C0"/>
    <w:rsid w:val="64CA39A1"/>
    <w:rsid w:val="64F43265"/>
    <w:rsid w:val="68D8205D"/>
    <w:rsid w:val="6AB9525A"/>
    <w:rsid w:val="6C4A05C8"/>
    <w:rsid w:val="6F0C2338"/>
    <w:rsid w:val="6F2D1DE0"/>
    <w:rsid w:val="70691651"/>
    <w:rsid w:val="706D7810"/>
    <w:rsid w:val="72734D90"/>
    <w:rsid w:val="73AE635E"/>
    <w:rsid w:val="752C18D6"/>
    <w:rsid w:val="75862B23"/>
    <w:rsid w:val="76FC1DA9"/>
    <w:rsid w:val="77A25312"/>
    <w:rsid w:val="78196732"/>
    <w:rsid w:val="79E7B28D"/>
    <w:rsid w:val="7B84284C"/>
    <w:rsid w:val="7D137458"/>
    <w:rsid w:val="7E0C255D"/>
    <w:rsid w:val="7E351DD7"/>
    <w:rsid w:val="7F9F20EE"/>
    <w:rsid w:val="7FB304B8"/>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18"/>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99"/>
    <w:pPr>
      <w:spacing w:beforeLines="30"/>
    </w:pPr>
    <w:rPr>
      <w:rFonts w:ascii="仿宋_GB2312" w:eastAsia="仿宋_GB2312"/>
      <w:kern w:val="0"/>
      <w:sz w:val="24"/>
      <w:szCs w:val="20"/>
    </w:rPr>
  </w:style>
  <w:style w:type="paragraph" w:styleId="6">
    <w:name w:val="caption"/>
    <w:basedOn w:val="1"/>
    <w:next w:val="1"/>
    <w:unhideWhenUsed/>
    <w:qFormat/>
    <w:uiPriority w:val="35"/>
    <w:rPr>
      <w:rFonts w:ascii="Cambria" w:hAnsi="Cambria" w:eastAsia="黑体"/>
      <w:sz w:val="20"/>
      <w:szCs w:val="20"/>
    </w:rPr>
  </w:style>
  <w:style w:type="paragraph" w:styleId="7">
    <w:name w:val="Balloon Text"/>
    <w:basedOn w:val="1"/>
    <w:link w:val="20"/>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Normal (Web)"/>
    <w:basedOn w:val="1"/>
    <w:unhideWhenUsed/>
    <w:qFormat/>
    <w:uiPriority w:val="99"/>
    <w:pPr>
      <w:widowControl/>
      <w:spacing w:before="100" w:beforeAutospacing="1" w:after="100" w:afterAutospacing="1"/>
    </w:pPr>
    <w:rPr>
      <w:sz w:val="24"/>
    </w:rPr>
  </w:style>
  <w:style w:type="character" w:styleId="13">
    <w:name w:val="Strong"/>
    <w:qFormat/>
    <w:uiPriority w:val="99"/>
    <w:rPr>
      <w:b/>
    </w:rPr>
  </w:style>
  <w:style w:type="character" w:styleId="14">
    <w:name w:val="Hyperlink"/>
    <w:unhideWhenUsed/>
    <w:qFormat/>
    <w:uiPriority w:val="99"/>
    <w:rPr>
      <w:color w:val="0000FF"/>
      <w:u w:val="single"/>
    </w:rPr>
  </w:style>
  <w:style w:type="character" w:customStyle="1" w:styleId="15">
    <w:name w:val="正文文本 字符"/>
    <w:link w:val="2"/>
    <w:qFormat/>
    <w:locked/>
    <w:uiPriority w:val="99"/>
    <w:rPr>
      <w:rFonts w:ascii="仿宋_GB2312" w:hAnsi="Times New Roman" w:eastAsia="仿宋_GB2312"/>
      <w:sz w:val="24"/>
    </w:rPr>
  </w:style>
  <w:style w:type="character" w:customStyle="1" w:styleId="16">
    <w:name w:val="标题 1 字符"/>
    <w:link w:val="3"/>
    <w:qFormat/>
    <w:uiPriority w:val="9"/>
    <w:rPr>
      <w:rFonts w:ascii="Times New Roman" w:hAnsi="Times New Roman"/>
      <w:b/>
      <w:bCs/>
      <w:kern w:val="44"/>
      <w:sz w:val="44"/>
      <w:szCs w:val="44"/>
    </w:rPr>
  </w:style>
  <w:style w:type="character" w:customStyle="1" w:styleId="17">
    <w:name w:val="标题 2 字符"/>
    <w:link w:val="4"/>
    <w:qFormat/>
    <w:uiPriority w:val="9"/>
    <w:rPr>
      <w:rFonts w:ascii="Cambria" w:hAnsi="Cambria" w:eastAsia="宋体" w:cs="Times New Roman"/>
      <w:b/>
      <w:bCs/>
      <w:kern w:val="2"/>
      <w:sz w:val="32"/>
      <w:szCs w:val="32"/>
    </w:rPr>
  </w:style>
  <w:style w:type="character" w:customStyle="1" w:styleId="18">
    <w:name w:val="标题 3 字符"/>
    <w:link w:val="5"/>
    <w:qFormat/>
    <w:uiPriority w:val="9"/>
    <w:rPr>
      <w:rFonts w:ascii="Times New Roman" w:hAnsi="Times New Roman"/>
      <w:b/>
      <w:bCs/>
      <w:kern w:val="2"/>
      <w:sz w:val="32"/>
      <w:szCs w:val="32"/>
    </w:rPr>
  </w:style>
  <w:style w:type="paragraph" w:customStyle="1" w:styleId="19">
    <w:name w:val="目录 31"/>
    <w:basedOn w:val="1"/>
    <w:next w:val="1"/>
    <w:unhideWhenUsed/>
    <w:qFormat/>
    <w:uiPriority w:val="39"/>
    <w:pPr>
      <w:tabs>
        <w:tab w:val="right" w:leader="dot" w:pos="8296"/>
      </w:tabs>
      <w:ind w:left="840" w:leftChars="400"/>
    </w:pPr>
  </w:style>
  <w:style w:type="character" w:customStyle="1" w:styleId="20">
    <w:name w:val="批注框文本 字符"/>
    <w:link w:val="7"/>
    <w:semiHidden/>
    <w:qFormat/>
    <w:uiPriority w:val="99"/>
    <w:rPr>
      <w:rFonts w:ascii="Times New Roman" w:hAnsi="Times New Roman"/>
      <w:kern w:val="2"/>
      <w:sz w:val="18"/>
      <w:szCs w:val="18"/>
    </w:rPr>
  </w:style>
  <w:style w:type="character" w:customStyle="1" w:styleId="21">
    <w:name w:val="页脚 字符"/>
    <w:link w:val="8"/>
    <w:qFormat/>
    <w:locked/>
    <w:uiPriority w:val="99"/>
    <w:rPr>
      <w:sz w:val="18"/>
    </w:rPr>
  </w:style>
  <w:style w:type="character" w:customStyle="1" w:styleId="22">
    <w:name w:val="页眉 字符"/>
    <w:link w:val="9"/>
    <w:semiHidden/>
    <w:qFormat/>
    <w:locked/>
    <w:uiPriority w:val="99"/>
    <w:rPr>
      <w:sz w:val="18"/>
    </w:rPr>
  </w:style>
  <w:style w:type="paragraph" w:customStyle="1" w:styleId="23">
    <w:name w:val="目录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4">
    <w:name w:val="目录 21"/>
    <w:basedOn w:val="1"/>
    <w:next w:val="1"/>
    <w:unhideWhenUsed/>
    <w:qFormat/>
    <w:uiPriority w:val="39"/>
    <w:pPr>
      <w:tabs>
        <w:tab w:val="right" w:leader="dot" w:pos="8296"/>
      </w:tabs>
      <w:ind w:left="420" w:leftChars="200"/>
    </w:pPr>
  </w:style>
  <w:style w:type="character" w:customStyle="1" w:styleId="25">
    <w:name w:val="Header Char"/>
    <w:semiHidden/>
    <w:qFormat/>
    <w:uiPriority w:val="99"/>
    <w:rPr>
      <w:rFonts w:ascii="Times New Roman" w:hAnsi="Times New Roman"/>
      <w:sz w:val="18"/>
      <w:szCs w:val="18"/>
    </w:rPr>
  </w:style>
  <w:style w:type="character" w:customStyle="1" w:styleId="26">
    <w:name w:val="Footer Char"/>
    <w:semiHidden/>
    <w:qFormat/>
    <w:uiPriority w:val="99"/>
    <w:rPr>
      <w:rFonts w:ascii="Times New Roman" w:hAnsi="Times New Roman"/>
      <w:sz w:val="18"/>
      <w:szCs w:val="18"/>
    </w:rPr>
  </w:style>
  <w:style w:type="character" w:customStyle="1" w:styleId="27">
    <w:name w:val="Body Text Char"/>
    <w:semiHidden/>
    <w:qFormat/>
    <w:uiPriority w:val="99"/>
    <w:rPr>
      <w:rFonts w:ascii="Times New Roman" w:hAnsi="Times New Roman"/>
      <w:szCs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TOC 标题1"/>
    <w:basedOn w:val="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31">
    <w:name w:val="TOC 标题2"/>
    <w:basedOn w:val="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32">
    <w:name w:val="_Style 5"/>
    <w:qFormat/>
    <w:uiPriority w:val="99"/>
    <w:pPr>
      <w:widowControl w:val="0"/>
      <w:ind w:firstLine="200" w:firstLineChars="200"/>
      <w:jc w:val="both"/>
    </w:pPr>
    <w:rPr>
      <w:rFonts w:hint="eastAsia" w:ascii="Calibri" w:hAnsi="Calibri" w:eastAsia="宋体" w:cs="Times New Roman"/>
      <w:kern w:val="2"/>
      <w:sz w:val="24"/>
      <w:lang w:val="en-US" w:eastAsia="zh-CN" w:bidi="ar-SA"/>
    </w:rPr>
  </w:style>
  <w:style w:type="paragraph" w:customStyle="1" w:styleId="33">
    <w:name w:val="paragraph"/>
    <w:basedOn w:val="1"/>
    <w:semiHidden/>
    <w:qFormat/>
    <w:uiPriority w:val="0"/>
    <w:pPr>
      <w:widowControl/>
      <w:spacing w:before="100" w:beforeAutospacing="1" w:after="100" w:afterAutospacing="1"/>
      <w:jc w:val="left"/>
    </w:pPr>
    <w:rPr>
      <w:rFonts w:ascii="等线" w:hAnsi="等线" w:eastAsia="等线"/>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20</Pages>
  <Words>6338</Words>
  <Characters>6800</Characters>
  <Lines>52</Lines>
  <Paragraphs>14</Paragraphs>
  <TotalTime>3</TotalTime>
  <ScaleCrop>false</ScaleCrop>
  <LinksUpToDate>false</LinksUpToDate>
  <CharactersWithSpaces>6904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2023-10-24T08:28:00Z</dcterms:created>
  <dc:creator>曹颖</dc:creator>
  <cp:lastModifiedBy>Administrator</cp:lastModifiedBy>
  <cp:lastPrinted>2022-08-06T02:23:00Z</cp:lastPrinted>
  <dcterms:modified xsi:type="dcterms:W3CDTF">2024-10-24T01:53:04Z</dcterms:modified>
  <dc:title>四川省***</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B2404332564B4A4482ECDBC0A4F23AAF</vt:lpwstr>
  </property>
</Properties>
</file>