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96475"/>
      <w:bookmarkStart w:id="4" w:name="_Toc1537742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194"/>
      <w:bookmarkStart w:id="7" w:name="_Toc15378442"/>
      <w:bookmarkStart w:id="8" w:name="_Toc15396598"/>
      <w:bookmarkStart w:id="9" w:name="_Toc15377426"/>
      <w:bookmarkStart w:id="10" w:name="_Toc15396476"/>
      <w:r>
        <w:rPr>
          <w:rFonts w:hint="eastAsia" w:ascii="方正小标宋简体" w:hAnsi="方正小标宋简体" w:eastAsia="方正小标宋简体" w:cs="方正小标宋简体"/>
          <w:sz w:val="72"/>
          <w:szCs w:val="72"/>
        </w:rPr>
        <w:t>四川省</w:t>
      </w:r>
      <w:bookmarkStart w:id="11" w:name="_Toc15306268"/>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eastAsia="zh-CN"/>
        </w:rPr>
        <w:t>第</w:t>
      </w:r>
    </w:p>
    <w:p>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方正小标宋简体" w:eastAsia="方正小标宋简体" w:cs="方正小标宋简体"/>
          <w:sz w:val="72"/>
          <w:szCs w:val="72"/>
          <w:lang w:eastAsia="zh-CN"/>
        </w:rPr>
        <w:t>三十六中</w:t>
      </w:r>
      <w:r>
        <w:rPr>
          <w:rFonts w:hint="eastAsia" w:ascii="方正小标宋简体" w:hAnsi="宋体" w:eastAsia="方正小标宋简体"/>
          <w:color w:val="000000"/>
          <w:sz w:val="72"/>
          <w:szCs w:val="72"/>
        </w:rPr>
        <w:t>小学校</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color w:val="FF0000"/>
        </w:rPr>
      </w:pPr>
      <w:r>
        <w:rPr>
          <w:rFonts w:hint="eastAsia"/>
        </w:rPr>
        <w:t>公开时间：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10</w:t>
      </w:r>
      <w:r>
        <w:rPr>
          <w:rFonts w:hint="eastAsia"/>
          <w:color w:val="auto"/>
        </w:rPr>
        <w:t>日</w:t>
      </w:r>
    </w:p>
    <w:p/>
    <w:p>
      <w:pPr>
        <w:pStyle w:val="12"/>
        <w:adjustRightInd w:val="0"/>
        <w:snapToGrid w:val="0"/>
        <w:spacing w:before="0" w:line="440" w:lineRule="exact"/>
        <w:jc w:val="left"/>
        <w:rPr>
          <w:rFonts w:hint="eastAsia" w:eastAsia="仿宋" w:cstheme="minorBidi"/>
          <w:sz w:val="24"/>
          <w:szCs w:val="24"/>
          <w:lang w:val="en-US" w:eastAsia="zh-CN"/>
        </w:rPr>
      </w:pPr>
      <w:bookmarkStart w:id="12" w:name="_Toc15396599"/>
      <w:bookmarkStart w:id="13" w:name="_Toc15377196"/>
      <w:r>
        <w:rPr>
          <w:rFonts w:hint="eastAsia"/>
          <w:sz w:val="24"/>
        </w:rPr>
        <w:t>第一部分</w:t>
      </w:r>
      <w:r>
        <w:rPr>
          <w:sz w:val="24"/>
        </w:rPr>
        <w:t xml:space="preserve"> </w:t>
      </w:r>
      <w:r>
        <w:rPr>
          <w:rFonts w:hint="eastAsia"/>
          <w:sz w:val="24"/>
        </w:rPr>
        <w:t>单位概况</w:t>
      </w:r>
      <w:r>
        <w:tab/>
      </w:r>
      <w:r>
        <w:rPr>
          <w:rFonts w:hint="eastAsia"/>
          <w:lang w:val="en-US" w:eastAsia="zh-CN"/>
        </w:rPr>
        <w:t>4</w:t>
      </w:r>
    </w:p>
    <w:p>
      <w:pPr>
        <w:pStyle w:val="14"/>
        <w:adjustRightInd w:val="0"/>
        <w:snapToGrid w:val="0"/>
        <w:spacing w:line="440" w:lineRule="exact"/>
        <w:jc w:val="left"/>
        <w:rPr>
          <w:rFonts w:hint="eastAsia" w:eastAsia="宋体"/>
          <w:sz w:val="24"/>
          <w:lang w:val="en-US" w:eastAsia="zh-CN"/>
        </w:rPr>
      </w:pPr>
      <w:r>
        <w:rPr>
          <w:rFonts w:hint="eastAsia"/>
          <w:sz w:val="24"/>
        </w:rPr>
        <w:t>一、主要职责</w:t>
      </w:r>
      <w:r>
        <w:tab/>
      </w:r>
      <w:r>
        <w:rPr>
          <w:rFonts w:hint="eastAsia"/>
          <w:lang w:val="en-US" w:eastAsia="zh-CN"/>
        </w:rPr>
        <w:t>4</w:t>
      </w:r>
    </w:p>
    <w:p>
      <w:pPr>
        <w:pStyle w:val="14"/>
        <w:adjustRightInd w:val="0"/>
        <w:snapToGrid w:val="0"/>
        <w:spacing w:line="440" w:lineRule="exact"/>
        <w:jc w:val="left"/>
        <w:rPr>
          <w:rFonts w:hint="eastAsia" w:eastAsia="宋体"/>
          <w:lang w:val="en-US" w:eastAsia="zh-CN"/>
        </w:rPr>
      </w:pPr>
      <w:r>
        <w:rPr>
          <w:rFonts w:hint="eastAsia"/>
          <w:sz w:val="24"/>
        </w:rPr>
        <w:t>二、机构设置</w:t>
      </w:r>
      <w:r>
        <w:tab/>
      </w:r>
      <w:r>
        <w:rPr>
          <w:rFonts w:hint="eastAsia"/>
          <w:lang w:val="en-US" w:eastAsia="zh-CN"/>
        </w:rPr>
        <w:t>5</w:t>
      </w:r>
    </w:p>
    <w:p>
      <w:pPr>
        <w:pStyle w:val="12"/>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tab/>
      </w:r>
      <w:r>
        <w:rPr>
          <w:rFonts w:hint="eastAsia"/>
          <w:lang w:val="en-US" w:eastAsia="zh-CN"/>
        </w:rPr>
        <w:t>6</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6</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lang w:val="en-US" w:eastAsia="zh-CN"/>
        </w:rPr>
        <w:t>6</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7</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7</w:t>
      </w:r>
    </w:p>
    <w:p>
      <w:pPr>
        <w:pStyle w:val="14"/>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8</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10</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tab/>
      </w:r>
      <w:r>
        <w:rPr>
          <w:rFonts w:hint="eastAsia"/>
          <w:lang w:val="en-US" w:eastAsia="zh-CN"/>
        </w:rPr>
        <w:t>11</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12</w:t>
      </w:r>
    </w:p>
    <w:p>
      <w:pPr>
        <w:pStyle w:val="14"/>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tab/>
      </w:r>
      <w:r>
        <w:rPr>
          <w:rFonts w:hint="eastAsia"/>
          <w:lang w:val="en-US" w:eastAsia="zh-CN"/>
        </w:rPr>
        <w:t>12</w:t>
      </w:r>
    </w:p>
    <w:p>
      <w:pPr>
        <w:pStyle w:val="14"/>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lang w:val="en-US" w:eastAsia="zh-CN"/>
        </w:rPr>
        <w:t>12</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lang w:val="en-US" w:eastAsia="zh-CN"/>
        </w:rPr>
        <w:t>14</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lang w:val="en-US" w:eastAsia="zh-CN"/>
        </w:rPr>
        <w:t>17</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一、收入支出决算总表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二、收入决算表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三、支出决算表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四、财政拨款收入支出决算总表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五、财政拨款支出决算明细表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tab/>
      </w:r>
      <w:r>
        <w:rPr>
          <w:rFonts w:hint="eastAsia"/>
          <w:lang w:val="en-US" w:eastAsia="zh-CN"/>
        </w:rPr>
        <w:t>18</w:t>
      </w:r>
    </w:p>
    <w:p>
      <w:pPr>
        <w:pStyle w:val="14"/>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tab/>
      </w:r>
      <w:r>
        <w:rPr>
          <w:rFonts w:hint="eastAsia"/>
          <w:lang w:val="en-US" w:eastAsia="zh-CN"/>
        </w:rPr>
        <w:t>18</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9"/>
          <w:rFonts w:hint="eastAsia" w:ascii="黑体" w:hAnsi="黑体" w:eastAsia="黑体"/>
          <w:b w:val="0"/>
          <w:bCs w:val="0"/>
          <w:color w:val="auto"/>
          <w:lang w:eastAsia="zh-CN"/>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bookmarkStart w:id="14" w:name="_Toc15396600"/>
      <w:bookmarkStart w:id="15" w:name="_Toc15377197"/>
    </w:p>
    <w:p>
      <w:pPr>
        <w:pStyle w:val="4"/>
        <w:numPr>
          <w:ilvl w:val="0"/>
          <w:numId w:val="0"/>
        </w:numPr>
        <w:ind w:firstLine="640" w:firstLineChars="200"/>
        <w:rPr>
          <w:rStyle w:val="29"/>
          <w:rFonts w:ascii="黑体" w:hAnsi="黑体" w:eastAsia="黑体"/>
          <w:b w:val="0"/>
          <w:bCs w:val="0"/>
          <w:color w:val="auto"/>
        </w:rPr>
      </w:pPr>
      <w:r>
        <w:rPr>
          <w:rStyle w:val="29"/>
          <w:rFonts w:hint="eastAsia" w:ascii="黑体" w:hAnsi="黑体" w:eastAsia="黑体"/>
          <w:b w:val="0"/>
          <w:bCs w:val="0"/>
          <w:color w:val="auto"/>
          <w:lang w:eastAsia="zh-CN"/>
        </w:rPr>
        <w:t>一、</w:t>
      </w:r>
      <w:r>
        <w:rPr>
          <w:rStyle w:val="29"/>
          <w:rFonts w:hint="eastAsia" w:ascii="黑体" w:hAnsi="黑体" w:eastAsia="黑体"/>
          <w:b w:val="0"/>
          <w:bCs w:val="0"/>
          <w:color w:val="auto"/>
        </w:rPr>
        <w:t>主要职责</w:t>
      </w:r>
    </w:p>
    <w:bookmarkEnd w:id="14"/>
    <w:bookmarkEnd w:id="15"/>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2023年，我校围绕学习贯彻党的二十大精神，紧扣“一区一城”建设目标，以提高学生整体素质为目的，进一步树立团队意识，全面提高教育教学质量，努力打造区域品牌学校。</w:t>
      </w:r>
    </w:p>
    <w:p>
      <w:pPr>
        <w:spacing w:line="353"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1．以学校文化打造为契机，以“厚德笃志、乐学尚美”为核心修订完善学校各项规章制度，提升学校管理水平。</w:t>
      </w:r>
    </w:p>
    <w:p>
      <w:pPr>
        <w:spacing w:line="353"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2．学校室内的体育场馆打造，要求功能、环境设计要做到切合实际，以人为本。</w:t>
      </w:r>
    </w:p>
    <w:p>
      <w:pPr>
        <w:spacing w:line="353"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3．切实加强跨区域校际间的合作。一是让教师能够走出去，与国内名校开展合作交流；二是跨行业引进合作项目，如劳动教育实践基地、文明礼仪教育、科技教育实验基础等。</w:t>
      </w:r>
    </w:p>
    <w:p>
      <w:pPr>
        <w:spacing w:line="353" w:lineRule="auto"/>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4．继续推进多元化的办学思路，强化师生社团工作，办好办强学校特色课程，突出“尚美”教育。</w:t>
      </w:r>
    </w:p>
    <w:p>
      <w:pPr>
        <w:spacing w:line="353" w:lineRule="auto"/>
        <w:ind w:firstLine="640" w:firstLineChars="200"/>
        <w:rPr>
          <w:rFonts w:hint="eastAsia"/>
          <w:lang w:eastAsia="zh-CN"/>
        </w:rPr>
      </w:pPr>
      <w:r>
        <w:rPr>
          <w:rFonts w:hint="eastAsia" w:ascii="Times New Roman" w:hAnsi="Times New Roman" w:eastAsia="仿宋_GB2312" w:cs="Times New Roman"/>
          <w:color w:val="auto"/>
          <w:sz w:val="32"/>
          <w:szCs w:val="32"/>
        </w:rPr>
        <w:t>5.更新观念，加强师德建设。进一步加强师德建设，突出全员育人观念，充分发挥全体教师的育人作用，真正做到服务育人、教育育人、活动育人的全方位育人观。</w:t>
      </w:r>
    </w:p>
    <w:p>
      <w:pPr>
        <w:pStyle w:val="4"/>
        <w:numPr>
          <w:ilvl w:val="0"/>
          <w:numId w:val="0"/>
        </w:numPr>
        <w:ind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widowControl/>
        <w:ind w:firstLine="640" w:firstLineChars="200"/>
        <w:jc w:val="left"/>
        <w:rPr>
          <w:rFonts w:ascii="仿宋" w:hAnsi="仿宋" w:eastAsia="仿宋"/>
          <w:kern w:val="0"/>
          <w:sz w:val="32"/>
          <w:szCs w:val="32"/>
        </w:rPr>
      </w:pPr>
      <w:r>
        <w:rPr>
          <w:rFonts w:hint="eastAsia" w:ascii="Times New Roman" w:hAnsi="Times New Roman" w:eastAsia="仿宋_GB2312" w:cs="Times New Roman"/>
          <w:kern w:val="2"/>
          <w:sz w:val="32"/>
          <w:szCs w:val="32"/>
          <w:lang w:val="en-US" w:eastAsia="zh-CN" w:bidi="ar-SA"/>
        </w:rPr>
        <w:t>攀枝花市第三十六中小学校无下属二级预算单位，单位内设机构或科室0个。</w:t>
      </w:r>
      <w:r>
        <w:rPr>
          <w:rFonts w:ascii="仿宋" w:hAnsi="仿宋" w:eastAsia="仿宋"/>
          <w:sz w:val="32"/>
          <w:szCs w:val="32"/>
        </w:rPr>
        <w:br w:type="page"/>
      </w:r>
    </w:p>
    <w:p>
      <w:pPr>
        <w:pStyle w:val="3"/>
        <w:ind w:right="440"/>
        <w:jc w:val="center"/>
      </w:pPr>
      <w:bookmarkStart w:id="16" w:name="_Toc15377204"/>
      <w:bookmarkStart w:id="17"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Pr>
        <w:pStyle w:val="27"/>
        <w:numPr>
          <w:ilvl w:val="0"/>
          <w:numId w:val="0"/>
        </w:numPr>
        <w:spacing w:line="600" w:lineRule="exact"/>
        <w:ind w:left="640" w:left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lang w:eastAsia="zh-CN"/>
        </w:rPr>
        <w:t>一、</w:t>
      </w:r>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3948.79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998.65</w:t>
      </w:r>
      <w:r>
        <w:rPr>
          <w:rFonts w:hint="eastAsia" w:ascii="仿宋" w:hAnsi="仿宋" w:eastAsia="仿宋"/>
          <w:sz w:val="32"/>
          <w:szCs w:val="32"/>
        </w:rPr>
        <w:t>万元，增长</w:t>
      </w:r>
      <w:r>
        <w:rPr>
          <w:rFonts w:hint="eastAsia" w:ascii="仿宋" w:hAnsi="仿宋" w:eastAsia="仿宋"/>
          <w:sz w:val="32"/>
          <w:szCs w:val="32"/>
          <w:lang w:val="en-US" w:eastAsia="zh-CN"/>
        </w:rPr>
        <w:t>33.85</w:t>
      </w:r>
      <w:r>
        <w:rPr>
          <w:rFonts w:ascii="仿宋" w:hAnsi="仿宋" w:eastAsia="仿宋"/>
          <w:sz w:val="32"/>
          <w:szCs w:val="32"/>
        </w:rPr>
        <w:t>%</w:t>
      </w:r>
      <w:r>
        <w:rPr>
          <w:rFonts w:hint="eastAsia" w:ascii="仿宋" w:hAnsi="仿宋" w:eastAsia="仿宋"/>
          <w:sz w:val="32"/>
          <w:szCs w:val="32"/>
        </w:rPr>
        <w:t>。主要变动原因是人员经费、公用经费增加，收入</w:t>
      </w:r>
      <w:r>
        <w:rPr>
          <w:rFonts w:hint="eastAsia" w:ascii="仿宋" w:hAnsi="仿宋" w:eastAsia="仿宋"/>
          <w:sz w:val="32"/>
          <w:szCs w:val="32"/>
          <w:lang w:eastAsia="zh-CN"/>
        </w:rPr>
        <w:t>支出</w:t>
      </w:r>
      <w:r>
        <w:rPr>
          <w:rFonts w:hint="eastAsia" w:ascii="仿宋" w:hAnsi="仿宋" w:eastAsia="仿宋"/>
          <w:sz w:val="32"/>
          <w:szCs w:val="32"/>
        </w:rPr>
        <w:t>正常增加。</w:t>
      </w:r>
    </w:p>
    <w:p>
      <w:pPr>
        <w:spacing w:line="600" w:lineRule="exact"/>
        <w:ind w:firstLine="630" w:firstLineChars="300"/>
        <w:rPr>
          <w:rFonts w:hint="eastAsia" w:ascii="仿宋" w:hAnsi="仿宋" w:eastAsia="仿宋"/>
          <w:color w:val="FF0000"/>
          <w:sz w:val="32"/>
          <w:szCs w:val="32"/>
        </w:rPr>
      </w:pPr>
      <w:r>
        <w:drawing>
          <wp:anchor distT="0" distB="0" distL="114300" distR="114300" simplePos="0" relativeHeight="251659264" behindDoc="0" locked="0" layoutInCell="1" allowOverlap="1">
            <wp:simplePos x="0" y="0"/>
            <wp:positionH relativeFrom="column">
              <wp:posOffset>147955</wp:posOffset>
            </wp:positionH>
            <wp:positionV relativeFrom="paragraph">
              <wp:posOffset>52070</wp:posOffset>
            </wp:positionV>
            <wp:extent cx="5473065" cy="2267585"/>
            <wp:effectExtent l="4445" t="4445" r="8890" b="13970"/>
            <wp:wrapNone/>
            <wp:docPr id="26"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960" w:firstLineChars="300"/>
        <w:rPr>
          <w:rFonts w:hint="eastAsia" w:ascii="仿宋" w:hAnsi="仿宋" w:eastAsia="仿宋"/>
          <w:color w:val="FF0000"/>
          <w:sz w:val="32"/>
          <w:szCs w:val="32"/>
        </w:rPr>
      </w:pPr>
    </w:p>
    <w:p>
      <w:pPr>
        <w:spacing w:line="600" w:lineRule="exact"/>
        <w:ind w:firstLine="960" w:firstLineChars="300"/>
        <w:rPr>
          <w:rFonts w:hint="eastAsia" w:ascii="仿宋" w:hAnsi="仿宋" w:eastAsia="仿宋"/>
          <w:color w:val="FF0000"/>
          <w:sz w:val="32"/>
          <w:szCs w:val="32"/>
        </w:rPr>
      </w:pPr>
    </w:p>
    <w:p>
      <w:pPr>
        <w:spacing w:line="600" w:lineRule="exact"/>
        <w:ind w:firstLine="960" w:firstLineChars="300"/>
        <w:rPr>
          <w:rFonts w:hint="eastAsia" w:ascii="仿宋" w:hAnsi="仿宋" w:eastAsia="仿宋"/>
          <w:color w:val="FF0000"/>
          <w:sz w:val="32"/>
          <w:szCs w:val="32"/>
        </w:rPr>
      </w:pPr>
    </w:p>
    <w:p>
      <w:pPr>
        <w:spacing w:line="600" w:lineRule="exact"/>
        <w:ind w:firstLine="960" w:firstLineChars="300"/>
        <w:rPr>
          <w:rFonts w:hint="eastAsia" w:ascii="仿宋" w:hAnsi="仿宋" w:eastAsia="仿宋"/>
          <w:color w:val="FF0000"/>
          <w:sz w:val="32"/>
          <w:szCs w:val="32"/>
        </w:rPr>
      </w:pPr>
    </w:p>
    <w:p>
      <w:pPr>
        <w:spacing w:line="600" w:lineRule="exact"/>
        <w:rPr>
          <w:rFonts w:hint="eastAsia" w:ascii="仿宋" w:hAnsi="仿宋" w:eastAsia="仿宋"/>
          <w:color w:val="FF0000"/>
          <w:sz w:val="32"/>
          <w:szCs w:val="32"/>
        </w:rPr>
      </w:pPr>
    </w:p>
    <w:p>
      <w:pPr>
        <w:pStyle w:val="27"/>
        <w:numPr>
          <w:ilvl w:val="0"/>
          <w:numId w:val="0"/>
        </w:numPr>
        <w:spacing w:line="600" w:lineRule="exact"/>
        <w:ind w:left="640" w:left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lang w:eastAsia="zh-CN"/>
        </w:rPr>
        <w:t>二、</w:t>
      </w:r>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420" w:firstLineChars="200"/>
        <w:outlineLvl w:val="1"/>
        <w:rPr>
          <w:rFonts w:hint="eastAsia" w:ascii="仿宋" w:hAnsi="仿宋" w:eastAsia="仿宋"/>
          <w:sz w:val="32"/>
          <w:szCs w:val="32"/>
          <w:lang w:eastAsia="zh-CN"/>
        </w:rPr>
      </w:pPr>
      <w:r>
        <w:drawing>
          <wp:anchor distT="0" distB="0" distL="114300" distR="114300" simplePos="0" relativeHeight="251660288" behindDoc="0" locked="0" layoutInCell="1" allowOverlap="1">
            <wp:simplePos x="0" y="0"/>
            <wp:positionH relativeFrom="column">
              <wp:posOffset>744220</wp:posOffset>
            </wp:positionH>
            <wp:positionV relativeFrom="paragraph">
              <wp:posOffset>1129030</wp:posOffset>
            </wp:positionV>
            <wp:extent cx="4119245" cy="2582545"/>
            <wp:effectExtent l="4445" t="4445" r="10160" b="22860"/>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2023年度本年收入合计</w:t>
      </w:r>
      <w:r>
        <w:rPr>
          <w:rFonts w:ascii="仿宋" w:hAnsi="仿宋" w:eastAsia="仿宋"/>
          <w:b/>
          <w:sz w:val="32"/>
          <w:szCs w:val="32"/>
        </w:rPr>
        <w:t>3944.52</w:t>
      </w:r>
      <w:r>
        <w:rPr>
          <w:rFonts w:hint="eastAsia" w:ascii="仿宋" w:hAnsi="仿宋" w:eastAsia="仿宋"/>
          <w:sz w:val="32"/>
          <w:szCs w:val="32"/>
        </w:rPr>
        <w:t>万元，其中：一般公共预算财政拨款收入</w:t>
      </w:r>
      <w:r>
        <w:rPr>
          <w:rFonts w:ascii="仿宋" w:hAnsi="仿宋" w:eastAsia="仿宋"/>
          <w:b/>
          <w:sz w:val="32"/>
          <w:szCs w:val="32"/>
        </w:rPr>
        <w:t>3944.22</w:t>
      </w:r>
      <w:r>
        <w:rPr>
          <w:rFonts w:hint="eastAsia" w:ascii="仿宋" w:hAnsi="仿宋" w:eastAsia="仿宋"/>
          <w:sz w:val="32"/>
          <w:szCs w:val="32"/>
        </w:rPr>
        <w:t>万元，占</w:t>
      </w:r>
      <w:r>
        <w:rPr>
          <w:rFonts w:ascii="仿宋" w:hAnsi="仿宋" w:eastAsia="仿宋"/>
          <w:b/>
          <w:sz w:val="32"/>
          <w:szCs w:val="32"/>
        </w:rPr>
        <w:t>99.99%</w:t>
      </w:r>
      <w:r>
        <w:rPr>
          <w:rFonts w:hint="eastAsia" w:ascii="仿宋" w:hAnsi="仿宋" w:eastAsia="仿宋"/>
          <w:sz w:val="32"/>
          <w:szCs w:val="32"/>
        </w:rPr>
        <w:t>；政府性基金预算财政拨款收入</w:t>
      </w:r>
      <w:r>
        <w:rPr>
          <w:rFonts w:ascii="仿宋" w:hAnsi="仿宋" w:eastAsia="仿宋"/>
          <w:b/>
          <w:sz w:val="32"/>
          <w:szCs w:val="32"/>
        </w:rPr>
        <w:t>0.3</w:t>
      </w:r>
      <w:r>
        <w:rPr>
          <w:rFonts w:hint="eastAsia" w:ascii="仿宋" w:hAnsi="仿宋" w:eastAsia="仿宋"/>
          <w:sz w:val="32"/>
          <w:szCs w:val="32"/>
        </w:rPr>
        <w:t>万元，占</w:t>
      </w:r>
      <w:r>
        <w:rPr>
          <w:rFonts w:hint="eastAsia" w:ascii="仿宋" w:hAnsi="仿宋" w:eastAsia="仿宋"/>
          <w:b/>
          <w:sz w:val="32"/>
          <w:szCs w:val="32"/>
          <w:lang w:val="en-US" w:eastAsia="zh-CN"/>
        </w:rPr>
        <w:t>0.01</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3" w:firstLineChars="200"/>
        <w:outlineLvl w:val="1"/>
        <w:rPr>
          <w:rFonts w:ascii="仿宋" w:hAnsi="仿宋" w:eastAsia="仿宋"/>
          <w:b/>
          <w:sz w:val="32"/>
          <w:szCs w:val="32"/>
        </w:rPr>
      </w:pPr>
    </w:p>
    <w:p>
      <w:pPr>
        <w:spacing w:line="600" w:lineRule="exact"/>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default" w:ascii="仿宋" w:hAnsi="仿宋" w:eastAsia="仿宋"/>
          <w:sz w:val="32"/>
          <w:szCs w:val="32"/>
          <w:lang w:val="en-US" w:eastAsia="zh-CN"/>
        </w:rPr>
      </w:pPr>
    </w:p>
    <w:p>
      <w:pPr>
        <w:pStyle w:val="27"/>
        <w:numPr>
          <w:ilvl w:val="0"/>
          <w:numId w:val="0"/>
        </w:numPr>
        <w:spacing w:line="600" w:lineRule="exact"/>
        <w:ind w:left="640" w:left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3948.79</w:t>
      </w:r>
      <w:r>
        <w:rPr>
          <w:rFonts w:hint="eastAsia" w:ascii="仿宋" w:hAnsi="仿宋" w:eastAsia="仿宋"/>
          <w:sz w:val="32"/>
          <w:szCs w:val="32"/>
        </w:rPr>
        <w:t>万元，其中：基本支出</w:t>
      </w:r>
      <w:r>
        <w:rPr>
          <w:rFonts w:ascii="仿宋" w:hAnsi="仿宋" w:eastAsia="仿宋"/>
          <w:b/>
          <w:sz w:val="32"/>
          <w:szCs w:val="32"/>
        </w:rPr>
        <w:t>3551.7</w:t>
      </w:r>
      <w:r>
        <w:rPr>
          <w:rFonts w:hint="eastAsia" w:ascii="仿宋" w:hAnsi="仿宋" w:eastAsia="仿宋"/>
          <w:sz w:val="32"/>
          <w:szCs w:val="32"/>
        </w:rPr>
        <w:t>万元，占</w:t>
      </w:r>
      <w:r>
        <w:rPr>
          <w:rFonts w:ascii="仿宋" w:hAnsi="仿宋" w:eastAsia="仿宋"/>
          <w:b/>
          <w:sz w:val="32"/>
          <w:szCs w:val="32"/>
        </w:rPr>
        <w:t>89.9</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397.09</w:t>
      </w:r>
      <w:r>
        <w:rPr>
          <w:rFonts w:hint="eastAsia" w:ascii="仿宋" w:hAnsi="仿宋" w:eastAsia="仿宋"/>
          <w:sz w:val="32"/>
          <w:szCs w:val="32"/>
        </w:rPr>
        <w:t>万元，占</w:t>
      </w:r>
      <w:r>
        <w:rPr>
          <w:rFonts w:ascii="仿宋" w:hAnsi="仿宋" w:eastAsia="仿宋"/>
          <w:b/>
          <w:sz w:val="32"/>
          <w:szCs w:val="32"/>
        </w:rPr>
        <w:t>10.05</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outlineLvl w:val="1"/>
        <w:rPr>
          <w:rFonts w:ascii="仿宋" w:hAnsi="仿宋" w:eastAsia="仿宋"/>
          <w:b/>
          <w:sz w:val="32"/>
          <w:szCs w:val="32"/>
        </w:rPr>
      </w:pPr>
      <w:r>
        <w:drawing>
          <wp:anchor distT="0" distB="0" distL="114300" distR="114300" simplePos="0" relativeHeight="251661312" behindDoc="0" locked="0" layoutInCell="1" allowOverlap="1">
            <wp:simplePos x="0" y="0"/>
            <wp:positionH relativeFrom="column">
              <wp:posOffset>385445</wp:posOffset>
            </wp:positionH>
            <wp:positionV relativeFrom="paragraph">
              <wp:posOffset>98425</wp:posOffset>
            </wp:positionV>
            <wp:extent cx="4356735" cy="2505710"/>
            <wp:effectExtent l="4445" t="4445" r="20320" b="23495"/>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rPr>
          <w:rFonts w:ascii="仿宋" w:hAnsi="仿宋" w:eastAsia="仿宋"/>
          <w:sz w:val="32"/>
          <w:szCs w:val="32"/>
          <w:shd w:val="pct10" w:color="auto" w:fill="FFFFFF"/>
        </w:rPr>
      </w:pPr>
    </w:p>
    <w:p>
      <w:pPr>
        <w:spacing w:line="600" w:lineRule="exact"/>
        <w:ind w:firstLine="640" w:firstLineChars="200"/>
        <w:outlineLvl w:val="1"/>
        <w:rPr>
          <w:rStyle w:val="29"/>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30480</wp:posOffset>
            </wp:positionH>
            <wp:positionV relativeFrom="paragraph">
              <wp:posOffset>1519555</wp:posOffset>
            </wp:positionV>
            <wp:extent cx="5165725" cy="3101340"/>
            <wp:effectExtent l="4445" t="4445" r="11430" b="18415"/>
            <wp:wrapNone/>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2023年度财政拨款收、支总计均为</w:t>
      </w:r>
      <w:r>
        <w:rPr>
          <w:rFonts w:ascii="仿宋" w:hAnsi="仿宋" w:eastAsia="仿宋"/>
          <w:b/>
          <w:sz w:val="32"/>
          <w:szCs w:val="32"/>
        </w:rPr>
        <w:t>3948.79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998.65</w:t>
      </w:r>
      <w:r>
        <w:rPr>
          <w:rFonts w:hint="eastAsia" w:ascii="仿宋" w:hAnsi="仿宋" w:eastAsia="仿宋"/>
          <w:sz w:val="32"/>
          <w:szCs w:val="32"/>
        </w:rPr>
        <w:t>万元，增长</w:t>
      </w:r>
      <w:r>
        <w:rPr>
          <w:rFonts w:hint="eastAsia" w:ascii="仿宋" w:hAnsi="仿宋" w:eastAsia="仿宋"/>
          <w:sz w:val="32"/>
          <w:szCs w:val="32"/>
          <w:lang w:val="en-US" w:eastAsia="zh-CN"/>
        </w:rPr>
        <w:t>33.85</w:t>
      </w:r>
      <w:r>
        <w:rPr>
          <w:rFonts w:ascii="仿宋" w:hAnsi="仿宋" w:eastAsia="仿宋"/>
          <w:sz w:val="32"/>
          <w:szCs w:val="32"/>
        </w:rPr>
        <w:t>%</w:t>
      </w:r>
      <w:r>
        <w:rPr>
          <w:rFonts w:hint="eastAsia" w:ascii="仿宋" w:hAnsi="仿宋" w:eastAsia="仿宋"/>
          <w:sz w:val="32"/>
          <w:szCs w:val="32"/>
        </w:rPr>
        <w:t>。主要变动原因是人员经费、公用经费增加，收入</w:t>
      </w:r>
      <w:r>
        <w:rPr>
          <w:rFonts w:hint="eastAsia" w:ascii="仿宋" w:hAnsi="仿宋" w:eastAsia="仿宋"/>
          <w:sz w:val="32"/>
          <w:szCs w:val="32"/>
          <w:lang w:eastAsia="zh-CN"/>
        </w:rPr>
        <w:t>支出</w:t>
      </w:r>
      <w:r>
        <w:rPr>
          <w:rFonts w:hint="eastAsia" w:ascii="仿宋" w:hAnsi="仿宋" w:eastAsia="仿宋"/>
          <w:sz w:val="32"/>
          <w:szCs w:val="32"/>
        </w:rPr>
        <w:t>正常增加。</w:t>
      </w:r>
    </w:p>
    <w:p>
      <w:pPr>
        <w:spacing w:line="600" w:lineRule="exact"/>
        <w:ind w:firstLine="640"/>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rPr>
          <w:rFonts w:ascii="仿宋" w:hAnsi="仿宋" w:eastAsia="仿宋"/>
          <w:sz w:val="32"/>
          <w:szCs w:val="32"/>
        </w:rPr>
      </w:pPr>
    </w:p>
    <w:p>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3948.49</w:t>
      </w:r>
      <w:r>
        <w:rPr>
          <w:rFonts w:hint="eastAsia" w:ascii="仿宋" w:hAnsi="仿宋" w:eastAsia="仿宋"/>
          <w:sz w:val="32"/>
          <w:szCs w:val="32"/>
        </w:rPr>
        <w:t>万元，占本年支出合计的</w:t>
      </w:r>
      <w:r>
        <w:rPr>
          <w:rFonts w:ascii="仿宋" w:hAnsi="仿宋" w:eastAsia="仿宋"/>
          <w:b/>
          <w:sz w:val="32"/>
          <w:szCs w:val="32"/>
        </w:rPr>
        <w:t>99.99</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999.75</w:t>
      </w:r>
      <w:r>
        <w:rPr>
          <w:rFonts w:hint="eastAsia" w:ascii="仿宋" w:hAnsi="仿宋" w:eastAsia="仿宋"/>
          <w:sz w:val="32"/>
          <w:szCs w:val="32"/>
        </w:rPr>
        <w:t>万元，增长</w:t>
      </w:r>
      <w:r>
        <w:rPr>
          <w:rFonts w:hint="eastAsia" w:ascii="仿宋" w:hAnsi="仿宋" w:eastAsia="仿宋"/>
          <w:sz w:val="32"/>
          <w:szCs w:val="32"/>
          <w:lang w:val="en-US" w:eastAsia="zh-CN"/>
        </w:rPr>
        <w:t>33.9</w:t>
      </w:r>
      <w:r>
        <w:rPr>
          <w:rFonts w:ascii="仿宋" w:hAnsi="仿宋" w:eastAsia="仿宋"/>
          <w:sz w:val="32"/>
          <w:szCs w:val="32"/>
        </w:rPr>
        <w:t>%</w:t>
      </w:r>
      <w:r>
        <w:rPr>
          <w:rFonts w:hint="eastAsia" w:ascii="仿宋" w:hAnsi="仿宋" w:eastAsia="仿宋"/>
          <w:sz w:val="32"/>
          <w:szCs w:val="32"/>
        </w:rPr>
        <w:t>。主要变动原因是人员经费、公用经费增加，</w:t>
      </w:r>
      <w:r>
        <w:rPr>
          <w:rFonts w:hint="eastAsia" w:ascii="仿宋" w:hAnsi="仿宋" w:eastAsia="仿宋"/>
          <w:sz w:val="32"/>
          <w:szCs w:val="32"/>
          <w:lang w:eastAsia="zh-CN"/>
        </w:rPr>
        <w:t>支出</w:t>
      </w:r>
      <w:r>
        <w:rPr>
          <w:rFonts w:hint="eastAsia" w:ascii="仿宋" w:hAnsi="仿宋" w:eastAsia="仿宋"/>
          <w:sz w:val="32"/>
          <w:szCs w:val="32"/>
        </w:rPr>
        <w:t>正常增加。</w:t>
      </w:r>
    </w:p>
    <w:p>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90170</wp:posOffset>
            </wp:positionH>
            <wp:positionV relativeFrom="paragraph">
              <wp:posOffset>184150</wp:posOffset>
            </wp:positionV>
            <wp:extent cx="5269230" cy="3523615"/>
            <wp:effectExtent l="4445" t="4445" r="22225" b="15240"/>
            <wp:wrapNone/>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600" w:lineRule="exact"/>
        <w:ind w:firstLine="643" w:firstLineChars="200"/>
        <w:outlineLvl w:val="2"/>
        <w:rPr>
          <w:rFonts w:hint="eastAsia" w:ascii="仿宋" w:hAnsi="仿宋" w:eastAsia="仿宋"/>
          <w:b/>
          <w:sz w:val="32"/>
          <w:szCs w:val="32"/>
        </w:rPr>
      </w:pPr>
      <w:bookmarkStart w:id="29" w:name="_Toc15377211"/>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3948.49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2925.01万元，占</w:t>
      </w:r>
      <w:r>
        <w:rPr>
          <w:rFonts w:hint="eastAsia" w:ascii="仿宋" w:hAnsi="仿宋" w:eastAsia="仿宋"/>
          <w:sz w:val="32"/>
          <w:szCs w:val="32"/>
          <w:lang w:val="en-US" w:eastAsia="zh-CN"/>
        </w:rPr>
        <w:t>74.08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447.39元，占</w:t>
      </w:r>
      <w:r>
        <w:rPr>
          <w:rFonts w:hint="eastAsia" w:ascii="仿宋" w:hAnsi="仿宋" w:eastAsia="仿宋"/>
          <w:sz w:val="32"/>
          <w:szCs w:val="32"/>
          <w:lang w:val="en-US" w:eastAsia="zh-CN"/>
        </w:rPr>
        <w:t>11.33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303.39万元，占</w:t>
      </w:r>
      <w:r>
        <w:rPr>
          <w:rFonts w:hint="eastAsia" w:ascii="仿宋" w:hAnsi="仿宋" w:eastAsia="仿宋"/>
          <w:sz w:val="32"/>
          <w:szCs w:val="32"/>
          <w:lang w:val="en-US" w:eastAsia="zh-CN"/>
        </w:rPr>
        <w:t>7.68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272.7万元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lang w:val="en-US" w:eastAsia="zh-CN"/>
        </w:rPr>
        <w:t>6.91</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b/>
          <w:sz w:val="32"/>
          <w:szCs w:val="32"/>
        </w:rPr>
      </w:pPr>
    </w:p>
    <w:p>
      <w:pPr>
        <w:pStyle w:val="2"/>
        <w:rPr>
          <w:rFonts w:ascii="仿宋" w:hAnsi="仿宋" w:eastAsia="仿宋"/>
          <w:b/>
          <w:sz w:val="32"/>
          <w:szCs w:val="32"/>
        </w:rPr>
      </w:pPr>
    </w:p>
    <w:p>
      <w:pPr>
        <w:pStyle w:val="2"/>
        <w:rPr>
          <w:rFonts w:ascii="仿宋" w:hAnsi="仿宋" w:eastAsia="仿宋"/>
          <w:b/>
          <w:sz w:val="32"/>
          <w:szCs w:val="32"/>
        </w:rPr>
      </w:pPr>
      <w:r>
        <w:drawing>
          <wp:anchor distT="0" distB="0" distL="114300" distR="114300" simplePos="0" relativeHeight="251664384" behindDoc="0" locked="0" layoutInCell="1" allowOverlap="1">
            <wp:simplePos x="0" y="0"/>
            <wp:positionH relativeFrom="column">
              <wp:posOffset>99695</wp:posOffset>
            </wp:positionH>
            <wp:positionV relativeFrom="paragraph">
              <wp:posOffset>38735</wp:posOffset>
            </wp:positionV>
            <wp:extent cx="4971415" cy="3209290"/>
            <wp:effectExtent l="4445" t="4445" r="15240" b="5715"/>
            <wp:wrapNone/>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ascii="仿宋" w:hAnsi="仿宋" w:eastAsia="仿宋"/>
          <w:b/>
          <w:sz w:val="32"/>
          <w:szCs w:val="32"/>
        </w:rPr>
      </w:pPr>
    </w:p>
    <w:p>
      <w:pPr>
        <w:pStyle w:val="2"/>
        <w:rPr>
          <w:rFonts w:ascii="仿宋" w:hAnsi="仿宋" w:eastAsia="仿宋"/>
          <w:b/>
          <w:sz w:val="32"/>
          <w:szCs w:val="32"/>
        </w:rPr>
      </w:pPr>
    </w:p>
    <w:p>
      <w:pPr>
        <w:spacing w:line="600" w:lineRule="exact"/>
        <w:ind w:firstLine="640"/>
        <w:rPr>
          <w:rFonts w:ascii="仿宋" w:hAnsi="仿宋" w:eastAsia="仿宋"/>
          <w:sz w:val="32"/>
          <w:szCs w:val="32"/>
        </w:rPr>
      </w:pPr>
    </w:p>
    <w:p>
      <w:pPr>
        <w:spacing w:line="600" w:lineRule="exact"/>
        <w:ind w:firstLine="643" w:firstLineChars="200"/>
        <w:outlineLvl w:val="2"/>
        <w:rPr>
          <w:rFonts w:hint="eastAsia" w:ascii="仿宋" w:hAnsi="仿宋" w:eastAsia="仿宋"/>
          <w:b/>
          <w:sz w:val="32"/>
          <w:szCs w:val="32"/>
        </w:rPr>
      </w:pPr>
      <w:bookmarkStart w:id="30" w:name="_Toc15377212"/>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3948.49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cs="仿宋"/>
          <w:sz w:val="32"/>
          <w:szCs w:val="32"/>
        </w:rPr>
        <w:t>教育支出（类）普通教育（款）小学教育（项）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支出决算为1491.16万元，完成预算100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cs="仿宋"/>
          <w:sz w:val="32"/>
          <w:szCs w:val="32"/>
        </w:rPr>
        <w:t>教育支出（类）普通教育（款）</w:t>
      </w:r>
      <w:r>
        <w:rPr>
          <w:rStyle w:val="17"/>
          <w:rFonts w:hint="eastAsia" w:ascii="仿宋" w:hAnsi="仿宋" w:eastAsia="仿宋" w:cs="仿宋"/>
          <w:sz w:val="32"/>
          <w:szCs w:val="32"/>
          <w:lang w:val="en-US" w:eastAsia="zh-CN"/>
        </w:rPr>
        <w:t>初中</w:t>
      </w:r>
      <w:r>
        <w:rPr>
          <w:rStyle w:val="17"/>
          <w:rFonts w:hint="eastAsia" w:ascii="仿宋" w:hAnsi="仿宋" w:eastAsia="仿宋" w:cs="仿宋"/>
          <w:sz w:val="32"/>
          <w:szCs w:val="32"/>
        </w:rPr>
        <w:t>教育（项）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支出决算为1428.08万元，完成预算100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cs="仿宋"/>
          <w:sz w:val="32"/>
          <w:szCs w:val="32"/>
        </w:rPr>
        <w:t>教育支出（类）普通教育（款）</w:t>
      </w:r>
      <w:r>
        <w:rPr>
          <w:rStyle w:val="17"/>
          <w:rFonts w:hint="eastAsia" w:ascii="仿宋" w:hAnsi="仿宋" w:eastAsia="仿宋" w:cs="仿宋"/>
          <w:sz w:val="32"/>
          <w:szCs w:val="32"/>
          <w:lang w:val="en-US" w:eastAsia="zh-CN"/>
        </w:rPr>
        <w:t>其他普通教育支出</w:t>
      </w:r>
      <w:r>
        <w:rPr>
          <w:rStyle w:val="17"/>
          <w:rFonts w:hint="eastAsia" w:ascii="仿宋" w:hAnsi="仿宋" w:eastAsia="仿宋" w:cs="仿宋"/>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pStyle w:val="2"/>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cs="仿宋"/>
          <w:sz w:val="32"/>
          <w:szCs w:val="32"/>
        </w:rPr>
        <w:t>教育支出（类）教育费附加安排的支出（款）</w:t>
      </w:r>
      <w:r>
        <w:rPr>
          <w:rStyle w:val="17"/>
          <w:rFonts w:hint="eastAsia" w:ascii="仿宋" w:hAnsi="仿宋" w:eastAsia="仿宋" w:cs="仿宋"/>
          <w:sz w:val="32"/>
          <w:szCs w:val="32"/>
          <w:lang w:val="en-US" w:eastAsia="zh-CN"/>
        </w:rPr>
        <w:t>其他教育费附加安排的支出</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4.27</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cs="仿宋"/>
          <w:sz w:val="32"/>
          <w:szCs w:val="32"/>
          <w:lang w:val="en-US" w:eastAsia="zh-CN"/>
        </w:rPr>
        <w:t>5</w:t>
      </w:r>
      <w:r>
        <w:rPr>
          <w:rStyle w:val="17"/>
          <w:rFonts w:ascii="仿宋" w:hAnsi="仿宋" w:eastAsia="仿宋" w:cs="仿宋"/>
          <w:sz w:val="32"/>
          <w:szCs w:val="32"/>
        </w:rPr>
        <w:t>.</w:t>
      </w:r>
      <w:r>
        <w:rPr>
          <w:rStyle w:val="17"/>
          <w:rFonts w:hint="eastAsia" w:ascii="仿宋" w:hAnsi="仿宋" w:eastAsia="仿宋" w:cs="仿宋"/>
          <w:sz w:val="32"/>
          <w:szCs w:val="32"/>
        </w:rPr>
        <w:t>社会保障和就业（类）行政事业单位养老（款）事业单位离退休（项）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支出决算为114.52万元，完成预算100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6</w:t>
      </w:r>
      <w:r>
        <w:rPr>
          <w:rStyle w:val="17"/>
          <w:rFonts w:ascii="仿宋" w:hAnsi="仿宋" w:eastAsia="仿宋"/>
          <w:bCs/>
          <w:sz w:val="32"/>
          <w:szCs w:val="32"/>
        </w:rPr>
        <w:t>.</w:t>
      </w:r>
      <w:r>
        <w:rPr>
          <w:rStyle w:val="17"/>
          <w:rFonts w:hint="eastAsia" w:ascii="仿宋" w:hAnsi="仿宋" w:eastAsia="仿宋" w:cs="仿宋"/>
          <w:sz w:val="32"/>
          <w:szCs w:val="32"/>
        </w:rPr>
        <w:t>社会保障和就业（类）行政事业单位养老（款）机关事业单位基本养老保险缴费（项）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支出决算为297.34万元，完成预算100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lang w:val="en-US" w:eastAsia="zh-CN"/>
        </w:rPr>
        <w:t>7.</w:t>
      </w:r>
      <w:r>
        <w:rPr>
          <w:rStyle w:val="17"/>
          <w:rFonts w:hint="eastAsia" w:ascii="仿宋" w:hAnsi="仿宋" w:eastAsia="仿宋" w:cs="仿宋"/>
          <w:sz w:val="32"/>
          <w:szCs w:val="32"/>
        </w:rPr>
        <w:t>社会保障和就业（类）行政事业单位养老（款）机关事业单位职业年金缴费（项）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支出决算为15.9万元，完成预算100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8</w:t>
      </w:r>
      <w:r>
        <w:rPr>
          <w:rStyle w:val="17"/>
          <w:rFonts w:ascii="仿宋" w:hAnsi="仿宋" w:eastAsia="仿宋"/>
          <w:bCs/>
          <w:sz w:val="32"/>
          <w:szCs w:val="32"/>
        </w:rPr>
        <w:t>.</w:t>
      </w:r>
      <w:r>
        <w:rPr>
          <w:rStyle w:val="17"/>
          <w:rFonts w:hint="eastAsia" w:ascii="仿宋" w:hAnsi="仿宋" w:eastAsia="仿宋" w:cs="仿宋"/>
          <w:sz w:val="32"/>
          <w:szCs w:val="32"/>
        </w:rPr>
        <w:t>社会保障和就业（类）抚恤（款）死亡抚恤（项）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19.63</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lang w:val="en-US" w:eastAsia="zh-CN"/>
        </w:rPr>
        <w:t>9</w:t>
      </w:r>
      <w:r>
        <w:rPr>
          <w:rStyle w:val="17"/>
          <w:rFonts w:ascii="仿宋" w:hAnsi="仿宋" w:eastAsia="仿宋"/>
          <w:bCs/>
          <w:sz w:val="32"/>
          <w:szCs w:val="32"/>
        </w:rPr>
        <w:t>.</w:t>
      </w:r>
      <w:r>
        <w:rPr>
          <w:rFonts w:hint="eastAsia" w:ascii="仿宋" w:hAnsi="仿宋" w:eastAsia="仿宋" w:cs="仿宋"/>
          <w:b/>
          <w:bCs/>
          <w:sz w:val="32"/>
          <w:szCs w:val="32"/>
        </w:rPr>
        <w:t>卫生健康</w:t>
      </w:r>
      <w:r>
        <w:rPr>
          <w:rStyle w:val="17"/>
          <w:rFonts w:hint="eastAsia" w:ascii="仿宋" w:hAnsi="仿宋" w:eastAsia="仿宋" w:cs="仿宋"/>
          <w:sz w:val="32"/>
          <w:szCs w:val="32"/>
        </w:rPr>
        <w:t>（类）行政事业单位医疗（款）事业单位医疗（项）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支出决算为170.33万元，完成预算100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10</w:t>
      </w:r>
      <w:r>
        <w:rPr>
          <w:rStyle w:val="17"/>
          <w:rFonts w:ascii="仿宋" w:hAnsi="仿宋" w:eastAsia="仿宋"/>
          <w:bCs/>
          <w:sz w:val="32"/>
          <w:szCs w:val="32"/>
        </w:rPr>
        <w:t>.</w:t>
      </w:r>
      <w:r>
        <w:rPr>
          <w:rFonts w:hint="eastAsia" w:ascii="仿宋" w:hAnsi="仿宋" w:eastAsia="仿宋" w:cs="仿宋"/>
          <w:b/>
          <w:bCs/>
          <w:sz w:val="32"/>
          <w:szCs w:val="32"/>
        </w:rPr>
        <w:t>卫生健康</w:t>
      </w:r>
      <w:r>
        <w:rPr>
          <w:rStyle w:val="17"/>
          <w:rFonts w:hint="eastAsia" w:ascii="仿宋" w:hAnsi="仿宋" w:eastAsia="仿宋" w:cs="仿宋"/>
          <w:sz w:val="32"/>
          <w:szCs w:val="32"/>
        </w:rPr>
        <w:t>（类）行政事业单位医疗（款）其他行政事业单位医疗支出（项）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支出决算为133.06万元，完成预算100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11</w:t>
      </w:r>
      <w:r>
        <w:rPr>
          <w:rStyle w:val="17"/>
          <w:rFonts w:ascii="仿宋" w:hAnsi="仿宋" w:eastAsia="仿宋"/>
          <w:bCs/>
          <w:sz w:val="32"/>
          <w:szCs w:val="32"/>
        </w:rPr>
        <w:t>.</w:t>
      </w:r>
      <w:r>
        <w:rPr>
          <w:rStyle w:val="17"/>
          <w:rFonts w:hint="eastAsia" w:ascii="仿宋" w:hAnsi="仿宋" w:eastAsia="仿宋" w:cs="仿宋"/>
          <w:sz w:val="32"/>
          <w:szCs w:val="32"/>
        </w:rPr>
        <w:t>住房保障（类）住房改革（款）住房公积金（项）</w:t>
      </w:r>
      <w:r>
        <w:rPr>
          <w:rStyle w:val="17"/>
          <w:rFonts w:hint="eastAsia" w:ascii="仿宋" w:hAnsi="仿宋" w:eastAsia="仿宋"/>
          <w:bCs/>
          <w:sz w:val="32"/>
          <w:szCs w:val="32"/>
        </w:rPr>
        <w:t>：支</w:t>
      </w:r>
      <w:r>
        <w:rPr>
          <w:rStyle w:val="17"/>
          <w:rFonts w:hint="eastAsia" w:ascii="仿宋" w:hAnsi="仿宋" w:eastAsia="仿宋"/>
          <w:b w:val="0"/>
          <w:bCs/>
          <w:sz w:val="32"/>
          <w:szCs w:val="32"/>
        </w:rPr>
        <w:t>出决算272.7万元，完成预算100%。</w:t>
      </w: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3551.7</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3503.05</w:t>
      </w:r>
      <w:r>
        <w:rPr>
          <w:rFonts w:hint="eastAsia" w:ascii="仿宋" w:hAnsi="仿宋" w:eastAsia="仿宋"/>
          <w:sz w:val="32"/>
          <w:szCs w:val="32"/>
        </w:rPr>
        <w:t>万元，主要包括：基本工资、津贴补贴、绩效工资、机关事业单位基本养老保险缴费、职业年金缴费、其他社会保障缴费、其他工资福利支出、抚恤金、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48.65</w:t>
      </w:r>
      <w:r>
        <w:rPr>
          <w:rFonts w:hint="eastAsia" w:ascii="仿宋" w:hAnsi="仿宋" w:eastAsia="仿宋"/>
          <w:sz w:val="32"/>
          <w:szCs w:val="32"/>
        </w:rPr>
        <w:t>万元，主要包括：办公费、水费、电费、差旅费、维修（护）费、培训费、工会经费、福利费、其他商品和服务支出、办公设备购置、其他资本性支出等。</w:t>
      </w: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bookmarkStart w:id="39" w:name="_Toc15377218"/>
      <w:bookmarkStart w:id="40" w:name="_Toc15396610"/>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与2022年决算数持平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与2022年决算数持平</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 w:hAnsi="仿宋" w:eastAsia="仿宋"/>
          <w:color w:val="auto"/>
          <w:sz w:val="32"/>
          <w:szCs w:val="32"/>
          <w:highlight w:val="none"/>
          <w:lang w:val="en-US" w:eastAsia="zh-CN"/>
        </w:rPr>
        <w:t>与2022年决算数持平。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Fonts w:hint="eastAsia" w:ascii="仿宋" w:hAnsi="仿宋" w:eastAsia="仿宋"/>
          <w:color w:val="auto"/>
          <w:sz w:val="32"/>
          <w:szCs w:val="32"/>
          <w:highlight w:val="none"/>
          <w:lang w:val="en-US" w:eastAsia="zh-CN"/>
        </w:rPr>
        <w:t>与2022年决算数持平</w:t>
      </w:r>
      <w:r>
        <w:rPr>
          <w:rStyle w:val="17"/>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Fonts w:hint="eastAsia" w:ascii="仿宋" w:hAnsi="仿宋" w:eastAsia="仿宋"/>
          <w:color w:val="auto"/>
          <w:sz w:val="32"/>
          <w:szCs w:val="32"/>
          <w:highlight w:val="none"/>
          <w:lang w:val="en-US" w:eastAsia="zh-CN"/>
        </w:rPr>
        <w:t>与2022年决算数持平</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2"/>
        <w:rPr>
          <w:rFonts w:hint="eastAsia"/>
        </w:rPr>
      </w:pP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39"/>
      <w:bookmarkEnd w:id="40"/>
    </w:p>
    <w:p>
      <w:pPr>
        <w:spacing w:line="600" w:lineRule="exact"/>
        <w:ind w:firstLine="640"/>
        <w:rPr>
          <w:rFonts w:hint="eastAsia"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0.3</w:t>
      </w:r>
      <w:r>
        <w:rPr>
          <w:rFonts w:hint="eastAsia" w:ascii="仿宋_GB2312" w:eastAsia="仿宋_GB2312"/>
          <w:sz w:val="32"/>
          <w:szCs w:val="32"/>
        </w:rPr>
        <w:t>万元。</w:t>
      </w:r>
    </w:p>
    <w:p>
      <w:pPr>
        <w:pStyle w:val="2"/>
      </w:pPr>
    </w:p>
    <w:p>
      <w:pPr>
        <w:numPr>
          <w:ilvl w:val="0"/>
          <w:numId w:val="0"/>
        </w:numPr>
        <w:spacing w:line="600" w:lineRule="exact"/>
        <w:ind w:firstLine="640" w:firstLineChars="20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lang w:eastAsia="zh-CN"/>
        </w:rPr>
        <w:t>九、</w:t>
      </w:r>
      <w:r>
        <w:rPr>
          <w:rStyle w:val="29"/>
          <w:rFonts w:hint="eastAsia" w:ascii="黑体" w:hAnsi="黑体" w:eastAsia="黑体"/>
          <w:b w:val="0"/>
        </w:rPr>
        <w:t>国有资本经营预算支出决算情况说明</w:t>
      </w:r>
      <w:bookmarkEnd w:id="42"/>
      <w:bookmarkEnd w:id="43"/>
    </w:p>
    <w:p>
      <w:pPr>
        <w:spacing w:line="600" w:lineRule="exact"/>
        <w:ind w:firstLine="640"/>
        <w:rPr>
          <w:rFonts w:hint="eastAsia"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pStyle w:val="2"/>
      </w:pPr>
    </w:p>
    <w:p>
      <w:pPr>
        <w:numPr>
          <w:ilvl w:val="0"/>
          <w:numId w:val="0"/>
        </w:numPr>
        <w:spacing w:line="600" w:lineRule="exact"/>
        <w:ind w:firstLine="640" w:firstLineChars="20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lang w:eastAsia="zh-CN"/>
        </w:rPr>
        <w:t>十、</w:t>
      </w:r>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 w:hAnsi="仿宋" w:eastAsia="仿宋"/>
          <w:b/>
          <w:sz w:val="32"/>
          <w:szCs w:val="32"/>
        </w:rPr>
      </w:pPr>
      <w:r>
        <w:rPr>
          <w:rFonts w:hint="eastAsia" w:ascii="仿宋_GB2312" w:eastAsia="仿宋_GB2312"/>
          <w:sz w:val="32"/>
          <w:szCs w:val="32"/>
        </w:rPr>
        <w:t>2023年度，</w:t>
      </w:r>
      <w:r>
        <w:rPr>
          <w:rFonts w:ascii="仿宋_GB2312" w:eastAsia="仿宋_GB2312"/>
          <w:b/>
          <w:sz w:val="32"/>
          <w:szCs w:val="32"/>
        </w:rPr>
        <w:t>攀枝花市第三十六中小学校</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年决算数持平</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攀枝花市第三十六中小学校</w:t>
      </w:r>
      <w:r>
        <w:rPr>
          <w:rFonts w:hint="eastAsia" w:ascii="仿宋_GB2312" w:eastAsia="仿宋_GB2312"/>
          <w:sz w:val="32"/>
          <w:szCs w:val="32"/>
        </w:rPr>
        <w:t>政府采购支出总额</w:t>
      </w:r>
      <w:r>
        <w:rPr>
          <w:rFonts w:ascii="仿宋" w:hAnsi="仿宋" w:eastAsia="仿宋"/>
          <w:b/>
          <w:sz w:val="32"/>
          <w:szCs w:val="32"/>
        </w:rPr>
        <w:t>10.36</w:t>
      </w:r>
      <w:r>
        <w:rPr>
          <w:rFonts w:hint="eastAsia" w:ascii="仿宋_GB2312" w:eastAsia="仿宋_GB2312"/>
          <w:sz w:val="32"/>
          <w:szCs w:val="32"/>
        </w:rPr>
        <w:t>万元，其中：政府采购货物支出</w:t>
      </w:r>
      <w:r>
        <w:rPr>
          <w:rFonts w:ascii="仿宋" w:hAnsi="仿宋" w:eastAsia="仿宋"/>
          <w:b/>
          <w:sz w:val="32"/>
          <w:szCs w:val="32"/>
        </w:rPr>
        <w:t>10.36</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设备采买</w:t>
      </w:r>
      <w:r>
        <w:rPr>
          <w:rFonts w:hint="eastAsia" w:ascii="仿宋_GB2312" w:eastAsia="仿宋_GB2312"/>
          <w:sz w:val="32"/>
          <w:szCs w:val="32"/>
        </w:rPr>
        <w:t>。授予中小企业合同金额</w:t>
      </w:r>
      <w:r>
        <w:rPr>
          <w:rFonts w:ascii="仿宋" w:hAnsi="仿宋" w:eastAsia="仿宋"/>
          <w:b/>
          <w:sz w:val="32"/>
          <w:szCs w:val="32"/>
        </w:rPr>
        <w:t>10.36</w:t>
      </w:r>
      <w:r>
        <w:rPr>
          <w:rFonts w:hint="eastAsia" w:ascii="仿宋_GB2312" w:eastAsia="仿宋_GB2312"/>
          <w:sz w:val="32"/>
          <w:szCs w:val="32"/>
        </w:rPr>
        <w:t>万元，占政府采购支出总额的</w:t>
      </w:r>
      <w:r>
        <w:rPr>
          <w:rFonts w:ascii="仿宋_GB2312" w:eastAsia="仿宋_GB2312"/>
          <w:sz w:val="32"/>
          <w:szCs w:val="32"/>
        </w:rPr>
        <w:t>1</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sz w:val="32"/>
          <w:szCs w:val="32"/>
        </w:rPr>
        <w:t>，其中：授予小微企业合同金额</w:t>
      </w:r>
      <w:r>
        <w:rPr>
          <w:rFonts w:ascii="仿宋" w:hAnsi="仿宋" w:eastAsia="仿宋"/>
          <w:b/>
          <w:sz w:val="32"/>
          <w:szCs w:val="32"/>
        </w:rPr>
        <w:t>10.36</w:t>
      </w:r>
      <w:r>
        <w:rPr>
          <w:rFonts w:hint="eastAsia" w:ascii="仿宋_GB2312" w:eastAsia="仿宋_GB2312"/>
          <w:sz w:val="32"/>
          <w:szCs w:val="32"/>
        </w:rPr>
        <w:t>万元，占政府采购支出总额的</w:t>
      </w:r>
      <w:r>
        <w:rPr>
          <w:rFonts w:ascii="仿宋_GB2312" w:eastAsia="仿宋_GB2312"/>
          <w:b/>
          <w:sz w:val="32"/>
          <w:szCs w:val="32"/>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攀枝花市第三十六中小学校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w:t>
      </w:r>
      <w:r>
        <w:rPr>
          <w:rFonts w:hint="eastAsia" w:ascii="仿宋_GB2312" w:eastAsia="仿宋_GB2312"/>
          <w:color w:val="auto"/>
          <w:sz w:val="32"/>
          <w:szCs w:val="32"/>
          <w:highlight w:val="none"/>
        </w:rPr>
        <w:t>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600" w:lineRule="exact"/>
        <w:ind w:firstLine="640" w:firstLineChars="200"/>
        <w:rPr>
          <w:rFonts w:ascii="仿宋_GB2312" w:eastAsia="仿宋_GB2312"/>
          <w:color w:val="auto"/>
          <w:sz w:val="32"/>
          <w:szCs w:val="32"/>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预算编制阶段，组织对城乡义务教育补助经费-公用经费（中央）项目等</w:t>
      </w:r>
      <w:r>
        <w:rPr>
          <w:rFonts w:hint="eastAsia" w:ascii="仿宋_GB2312"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lang w:val="en-US" w:eastAsia="zh-CN"/>
        </w:rPr>
        <w:t>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eastAsia="仿宋_GB2312" w:cs="Times New Roman"/>
          <w:color w:val="auto"/>
          <w:sz w:val="32"/>
          <w:szCs w:val="32"/>
          <w:highlight w:val="none"/>
          <w:lang w:val="en-US" w:eastAsia="zh-CN"/>
        </w:rPr>
        <w:t>8</w:t>
      </w:r>
      <w:bookmarkStart w:id="67" w:name="_GoBack"/>
      <w:bookmarkEnd w:id="67"/>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1"/>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pStyle w:val="2"/>
        <w:ind w:firstLine="640" w:firstLineChars="200"/>
      </w:pPr>
      <w:r>
        <w:rPr>
          <w:rFonts w:hint="eastAsia"/>
          <w:color w:val="000000"/>
          <w:sz w:val="32"/>
          <w:szCs w:val="32"/>
          <w:lang w:val="en-US" w:eastAsia="zh-CN"/>
        </w:rPr>
        <w:t>5.</w:t>
      </w:r>
      <w:r>
        <w:rPr>
          <w:rFonts w:hint="eastAsia" w:ascii="仿宋_GB2312" w:eastAsia="仿宋_GB2312"/>
          <w:color w:val="000000"/>
          <w:sz w:val="32"/>
          <w:szCs w:val="32"/>
        </w:rPr>
        <w:t>教育（类）普通教育（款）</w:t>
      </w:r>
      <w:r>
        <w:rPr>
          <w:rFonts w:hint="eastAsia"/>
          <w:color w:val="000000"/>
          <w:sz w:val="32"/>
          <w:szCs w:val="32"/>
          <w:lang w:val="en-US" w:eastAsia="zh-CN"/>
        </w:rPr>
        <w:t>初中</w:t>
      </w:r>
      <w:r>
        <w:rPr>
          <w:rFonts w:hint="eastAsia" w:ascii="仿宋_GB2312" w:eastAsia="仿宋_GB2312"/>
          <w:color w:val="000000"/>
          <w:sz w:val="32"/>
          <w:szCs w:val="32"/>
        </w:rPr>
        <w:t>教育（项）：指反映各部门举办的</w:t>
      </w:r>
      <w:r>
        <w:rPr>
          <w:rFonts w:hint="eastAsia"/>
          <w:color w:val="000000"/>
          <w:sz w:val="32"/>
          <w:szCs w:val="32"/>
          <w:lang w:val="en-US" w:eastAsia="zh-CN"/>
        </w:rPr>
        <w:t>初中</w:t>
      </w:r>
      <w:r>
        <w:rPr>
          <w:rFonts w:hint="eastAsia" w:ascii="仿宋_GB2312" w:eastAsia="仿宋_GB2312"/>
          <w:color w:val="000000"/>
          <w:sz w:val="32"/>
          <w:szCs w:val="32"/>
        </w:rPr>
        <w:t>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社会保障和就业（类）行政事业单位养老（款）事业单位离退休（项）：指反映实行归口管理的事业单位离退休经费。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社会保障和就业（类）行政事业单位养老（款）机关事业单位基本养老保险缴费（项）：指反映机关事业单位实施养老保险制度由单位缴纳的基本养老保险费支出。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社会保障和就业（类）行政事业单位养老（款）机关事业单位职业年金缴费（项）：指反映机关事业单位实施养老保险制度由单位实际缴纳的职业年金支出。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社会保障和就业（类）行政事业单位养老（款）死亡抚恤（项）：指反映按规定用于烈士和牺牲、病故人员家属的一次性定期抚恤金以及丧葬补助费。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卫生健康（类）行政事业单位医疗（款）事业单位医疗（项）：指反映财政部门集中安排事业单位基本医疗保险缴费经费，未参加医疗保险的事业单位的公费医疗经费，按国家规定享受离休人员待遇的医疗经费。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卫生健康（类）行政事业单位医疗（款）公务员医疗补助（项）：指反映财政部门集中安排的公务员医疗补助经费。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b/>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pStyle w:val="7"/>
        <w:spacing w:line="560" w:lineRule="exact"/>
        <w:ind w:left="0" w:leftChars="0" w:firstLine="640"/>
        <w:rPr>
          <w:rFonts w:hAnsi="Calibri" w:eastAsia="仿宋_GB2312" w:cs="仿宋"/>
          <w:sz w:val="32"/>
          <w:lang w:val="zh-CN"/>
        </w:rPr>
      </w:pPr>
      <w:bookmarkStart w:id="53" w:name="_Toc15396618"/>
      <w:r>
        <w:rPr>
          <w:rFonts w:hint="eastAsia"/>
          <w:color w:val="auto"/>
          <w:sz w:val="32"/>
          <w:szCs w:val="32"/>
          <w:lang w:eastAsia="zh-CN"/>
        </w:rPr>
        <w:t>本单位</w:t>
      </w:r>
      <w:r>
        <w:rPr>
          <w:rFonts w:hint="eastAsia"/>
          <w:color w:val="auto"/>
          <w:sz w:val="32"/>
          <w:szCs w:val="32"/>
        </w:rPr>
        <w:t>预算项目支出绩效自评表（2023年度）</w:t>
      </w:r>
      <w:r>
        <w:rPr>
          <w:rFonts w:hint="eastAsia"/>
          <w:color w:val="auto"/>
          <w:sz w:val="32"/>
          <w:szCs w:val="32"/>
          <w:lang w:eastAsia="zh-CN"/>
        </w:rPr>
        <w:t>见附件</w:t>
      </w:r>
      <w:r>
        <w:rPr>
          <w:rFonts w:hint="eastAsia"/>
          <w:color w:val="auto"/>
          <w:sz w:val="32"/>
          <w:szCs w:val="32"/>
          <w:lang w:val="en-US" w:eastAsia="zh-CN"/>
        </w:rPr>
        <w:t>3。</w:t>
      </w: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Style w:val="28"/>
          <w:rFonts w:hint="eastAsia" w:ascii="黑体" w:hAnsi="黑体" w:eastAsia="黑体"/>
          <w:b w:val="0"/>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2"/>
      </w:pPr>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BA610E6"/>
    <w:rsid w:val="0D492B42"/>
    <w:rsid w:val="0F5FFB2F"/>
    <w:rsid w:val="0FFFCF60"/>
    <w:rsid w:val="10C055FF"/>
    <w:rsid w:val="118107EC"/>
    <w:rsid w:val="11DD6519"/>
    <w:rsid w:val="16BB723D"/>
    <w:rsid w:val="18015F3F"/>
    <w:rsid w:val="1BE8440E"/>
    <w:rsid w:val="1D155CEE"/>
    <w:rsid w:val="1FDBBF84"/>
    <w:rsid w:val="20F57F95"/>
    <w:rsid w:val="240371BF"/>
    <w:rsid w:val="250729DE"/>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8FD65B8"/>
    <w:rsid w:val="39AE70AB"/>
    <w:rsid w:val="3A4DCE41"/>
    <w:rsid w:val="3BCB56FA"/>
    <w:rsid w:val="3C0C0783"/>
    <w:rsid w:val="3EE7C2F4"/>
    <w:rsid w:val="3F371B56"/>
    <w:rsid w:val="3F792ED8"/>
    <w:rsid w:val="3F9F3A96"/>
    <w:rsid w:val="3FECA4B2"/>
    <w:rsid w:val="3FF58C48"/>
    <w:rsid w:val="42FF6694"/>
    <w:rsid w:val="43E92DAE"/>
    <w:rsid w:val="46214074"/>
    <w:rsid w:val="48BF60AB"/>
    <w:rsid w:val="493C27E9"/>
    <w:rsid w:val="496F39ED"/>
    <w:rsid w:val="49FF41D3"/>
    <w:rsid w:val="4BE068DB"/>
    <w:rsid w:val="4BF6002B"/>
    <w:rsid w:val="4BFFC6BE"/>
    <w:rsid w:val="4ECE2238"/>
    <w:rsid w:val="51DB4B86"/>
    <w:rsid w:val="51F64DB0"/>
    <w:rsid w:val="55333C3E"/>
    <w:rsid w:val="55C55092"/>
    <w:rsid w:val="5F67802D"/>
    <w:rsid w:val="5F7DC4F2"/>
    <w:rsid w:val="5FB36814"/>
    <w:rsid w:val="5FBB8E56"/>
    <w:rsid w:val="5FFB5535"/>
    <w:rsid w:val="64CA39A1"/>
    <w:rsid w:val="69052F4A"/>
    <w:rsid w:val="69630ADE"/>
    <w:rsid w:val="69BD5F13"/>
    <w:rsid w:val="69FB0B4B"/>
    <w:rsid w:val="6BC35DF6"/>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4037;&#20855;\&#20915;&#31639;&#20844;&#24320;&#30011;&#22270;&#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4037;&#20855;\&#20915;&#31639;&#20844;&#24320;&#30011;&#22270;&#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4037;&#20855;\&#20915;&#31639;&#20844;&#24320;&#30011;&#22270;&#34920;&#2668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4037;&#20855;\&#20915;&#31639;&#20844;&#24320;&#30011;&#22270;&#34920;&#2668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4037;&#20855;\&#20915;&#31639;&#20844;&#24320;&#30011;&#22270;&#34920;&#2668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Administrator\Desktop\&#24037;&#20855;\&#20915;&#31639;&#20844;&#24320;&#30011;&#2227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[决算公开画图表格.xlsx]Sheet1!$A$3</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[决算公开画图表格.xlsx]Sheet1!$B$2:$C$2</c:f>
              <c:strCache>
                <c:ptCount val="2"/>
                <c:pt idx="0">
                  <c:v>收入</c:v>
                </c:pt>
                <c:pt idx="1">
                  <c:v>支出</c:v>
                </c:pt>
              </c:strCache>
            </c:strRef>
          </c:cat>
          <c:val>
            <c:numRef>
              <c:f>[决算公开画图表格.xlsx]Sheet1!$B$3:$C$3</c:f>
              <c:numCache>
                <c:formatCode>General</c:formatCode>
                <c:ptCount val="2"/>
                <c:pt idx="0">
                  <c:v>2950.14</c:v>
                </c:pt>
                <c:pt idx="1">
                  <c:v>2950.14</c:v>
                </c:pt>
              </c:numCache>
            </c:numRef>
          </c:val>
        </c:ser>
        <c:ser>
          <c:idx val="1"/>
          <c:order val="1"/>
          <c:tx>
            <c:strRef>
              <c:f>[决算公开画图表格.xlsx]Sheet1!$A$4</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[决算公开画图表格.xlsx]Sheet1!$B$2:$C$2</c:f>
              <c:strCache>
                <c:ptCount val="2"/>
                <c:pt idx="0">
                  <c:v>收入</c:v>
                </c:pt>
                <c:pt idx="1">
                  <c:v>支出</c:v>
                </c:pt>
              </c:strCache>
            </c:strRef>
          </c:cat>
          <c:val>
            <c:numRef>
              <c:f>[决算公开画图表格.xlsx]Sheet1!$B$4:$C$4</c:f>
              <c:numCache>
                <c:formatCode>General</c:formatCode>
                <c:ptCount val="2"/>
                <c:pt idx="0">
                  <c:v>3948.79</c:v>
                </c:pt>
                <c:pt idx="1">
                  <c:v>3948.79</c:v>
                </c:pt>
              </c:numCache>
            </c:numRef>
          </c:val>
        </c:ser>
        <c:dLbls>
          <c:showLegendKey val="0"/>
          <c:showVal val="1"/>
          <c:showCatName val="0"/>
          <c:showSerName val="0"/>
          <c:showPercent val="0"/>
          <c:showBubbleSize val="0"/>
        </c:dLbls>
        <c:gapWidth val="219"/>
        <c:overlap val="-27"/>
        <c:axId val="85847102"/>
        <c:axId val="697079438"/>
      </c:barChart>
      <c:catAx>
        <c:axId val="858471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7079438"/>
        <c:crosses val="autoZero"/>
        <c:auto val="1"/>
        <c:lblAlgn val="ctr"/>
        <c:lblOffset val="100"/>
        <c:noMultiLvlLbl val="0"/>
      </c:catAx>
      <c:valAx>
        <c:axId val="6970794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47102"/>
        <c:crosses val="autoZero"/>
        <c:crossBetween val="between"/>
      </c:valAx>
      <c:spPr>
        <a:noFill/>
        <a:ln>
          <a:noFill/>
        </a:ln>
        <a:effectLst/>
      </c:spPr>
    </c:plotArea>
    <c:legend>
      <c:legendPos val="b"/>
      <c:layout>
        <c:manualLayout>
          <c:xMode val="edge"/>
          <c:yMode val="edge"/>
          <c:x val="0.370629370629371"/>
          <c:y val="0.9012586805555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[决算公开画图表格.xlsx]Sheet1!$I$28:$I$29</c:f>
              <c:strCache>
                <c:ptCount val="2"/>
                <c:pt idx="0">
                  <c:v>一般财政拨款收入3944.22万元</c:v>
                </c:pt>
                <c:pt idx="1">
                  <c:v>政府性基金预算财政拨款收入0.3万元</c:v>
                </c:pt>
              </c:strCache>
            </c:strRef>
          </c:cat>
          <c:val>
            <c:numRef>
              <c:f>[决算公开画图表格.xlsx]Sheet1!$J$28:$J$29</c:f>
              <c:numCache>
                <c:formatCode>0.00%</c:formatCode>
                <c:ptCount val="2"/>
                <c:pt idx="0">
                  <c:v>0.9999</c:v>
                </c:pt>
                <c:pt idx="1">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[决算公开画图表格.xlsx]Sheet1!$N$36:$N$37</c:f>
              <c:strCache>
                <c:ptCount val="2"/>
                <c:pt idx="0">
                  <c:v>基本支出3551.7万元</c:v>
                </c:pt>
                <c:pt idx="1">
                  <c:v>项目支出397.09万元</c:v>
                </c:pt>
              </c:strCache>
            </c:strRef>
          </c:cat>
          <c:val>
            <c:numRef>
              <c:f>[决算公开画图表格.xlsx]Sheet1!$O$36:$O$37</c:f>
              <c:numCache>
                <c:formatCode>0.00%</c:formatCode>
                <c:ptCount val="2"/>
                <c:pt idx="0">
                  <c:v>0.8995</c:v>
                </c:pt>
                <c:pt idx="1">
                  <c:v>0.1005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manualLayout>
          <c:xMode val="edge"/>
          <c:yMode val="edge"/>
          <c:x val="0.236816226183159"/>
          <c:y val="0.00720461095100865"/>
        </c:manualLayout>
      </c:layout>
      <c:overlay val="0"/>
      <c:spPr>
        <a:noFill/>
        <a:ln>
          <a:noFill/>
        </a:ln>
        <a:effectLst/>
      </c:spPr>
    </c:title>
    <c:autoTitleDeleted val="0"/>
    <c:plotArea>
      <c:layout>
        <c:manualLayout>
          <c:layoutTarget val="inner"/>
          <c:xMode val="edge"/>
          <c:yMode val="edge"/>
          <c:x val="0.0610555555555556"/>
          <c:y val="0.152083333333333"/>
          <c:w val="0.882"/>
          <c:h val="0.606574074074074"/>
        </c:manualLayout>
      </c:layout>
      <c:barChart>
        <c:barDir val="col"/>
        <c:grouping val="clustered"/>
        <c:varyColors val="0"/>
        <c:ser>
          <c:idx val="0"/>
          <c:order val="0"/>
          <c:tx>
            <c:strRef>
              <c:f>[决算公开画图表格.xlsx]Sheet1!$F$61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[决算公开画图表格.xlsx]Sheet1!$G$60:$H$60</c:f>
              <c:strCache>
                <c:ptCount val="2"/>
                <c:pt idx="0">
                  <c:v>财政拨款收入</c:v>
                </c:pt>
                <c:pt idx="1">
                  <c:v>财政拨款支出</c:v>
                </c:pt>
              </c:strCache>
            </c:strRef>
          </c:cat>
          <c:val>
            <c:numRef>
              <c:f>[决算公开画图表格.xlsx]Sheet1!$G$61:$H$61</c:f>
              <c:numCache>
                <c:formatCode>General</c:formatCode>
                <c:ptCount val="2"/>
                <c:pt idx="0">
                  <c:v>2950.14</c:v>
                </c:pt>
                <c:pt idx="1">
                  <c:v>2950.14</c:v>
                </c:pt>
              </c:numCache>
            </c:numRef>
          </c:val>
        </c:ser>
        <c:ser>
          <c:idx val="1"/>
          <c:order val="1"/>
          <c:tx>
            <c:strRef>
              <c:f>[决算公开画图表格.xlsx]Sheet1!$F$62</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[决算公开画图表格.xlsx]Sheet1!$G$60:$H$60</c:f>
              <c:strCache>
                <c:ptCount val="2"/>
                <c:pt idx="0">
                  <c:v>财政拨款收入</c:v>
                </c:pt>
                <c:pt idx="1">
                  <c:v>财政拨款支出</c:v>
                </c:pt>
              </c:strCache>
            </c:strRef>
          </c:cat>
          <c:val>
            <c:numRef>
              <c:f>[决算公开画图表格.xlsx]Sheet1!$G$62:$H$62</c:f>
              <c:numCache>
                <c:formatCode>General</c:formatCode>
                <c:ptCount val="2"/>
                <c:pt idx="0">
                  <c:v>3948.79</c:v>
                </c:pt>
                <c:pt idx="1">
                  <c:v>3948.79</c:v>
                </c:pt>
              </c:numCache>
            </c:numRef>
          </c:val>
        </c:ser>
        <c:dLbls>
          <c:showLegendKey val="0"/>
          <c:showVal val="1"/>
          <c:showCatName val="0"/>
          <c:showSerName val="0"/>
          <c:showPercent val="0"/>
          <c:showBubbleSize val="0"/>
        </c:dLbls>
        <c:gapWidth val="219"/>
        <c:overlap val="-27"/>
        <c:axId val="742607990"/>
        <c:axId val="650346676"/>
      </c:barChart>
      <c:catAx>
        <c:axId val="7426079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346676"/>
        <c:crosses val="autoZero"/>
        <c:auto val="1"/>
        <c:lblAlgn val="ctr"/>
        <c:lblOffset val="100"/>
        <c:noMultiLvlLbl val="0"/>
      </c:catAx>
      <c:valAx>
        <c:axId val="6503466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6079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90780327030327"/>
          <c:y val="0.0303819444444444"/>
        </c:manualLayout>
      </c:layout>
      <c:overlay val="0"/>
      <c:spPr>
        <a:noFill/>
        <a:ln>
          <a:noFill/>
        </a:ln>
        <a:effectLst/>
      </c:spPr>
    </c:title>
    <c:autoTitleDeleted val="0"/>
    <c:plotArea>
      <c:layout>
        <c:manualLayout>
          <c:layoutTarget val="inner"/>
          <c:xMode val="edge"/>
          <c:yMode val="edge"/>
          <c:x val="0.0997557997557998"/>
          <c:y val="0.150824652777778"/>
          <c:w val="0.87032967032967"/>
          <c:h val="0.645920138888889"/>
        </c:manualLayout>
      </c:layout>
      <c:barChart>
        <c:barDir val="col"/>
        <c:grouping val="clustered"/>
        <c:varyColors val="0"/>
        <c:ser>
          <c:idx val="0"/>
          <c:order val="0"/>
          <c:tx>
            <c:strRef>
              <c:f>[决算公开画图表格.xlsx]Sheet1!$L$64</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[决算公开画图表格.xlsx]Sheet1!$M$63:$O$63</c:f>
              <c:strCache>
                <c:ptCount val="3"/>
                <c:pt idx="0">
                  <c:v>一般公共预算财政拨款支出</c:v>
                </c:pt>
              </c:strCache>
            </c:strRef>
          </c:cat>
          <c:val>
            <c:numRef>
              <c:f>[决算公开画图表格.xlsx]Sheet1!$M$64:$O$64</c:f>
              <c:numCache>
                <c:formatCode>General</c:formatCode>
                <c:ptCount val="3"/>
                <c:pt idx="0">
                  <c:v>2948.74</c:v>
                </c:pt>
              </c:numCache>
            </c:numRef>
          </c:val>
        </c:ser>
        <c:ser>
          <c:idx val="1"/>
          <c:order val="1"/>
          <c:tx>
            <c:strRef>
              <c:f>[决算公开画图表格.xlsx]Sheet1!$L$65</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[决算公开画图表格.xlsx]Sheet1!$M$63:$O$63</c:f>
              <c:strCache>
                <c:ptCount val="3"/>
                <c:pt idx="0">
                  <c:v>一般公共预算财政拨款支出</c:v>
                </c:pt>
              </c:strCache>
            </c:strRef>
          </c:cat>
          <c:val>
            <c:numRef>
              <c:f>[决算公开画图表格.xlsx]Sheet1!$M$65:$O$65</c:f>
              <c:numCache>
                <c:formatCode>General</c:formatCode>
                <c:ptCount val="3"/>
                <c:pt idx="0">
                  <c:v>3948.49</c:v>
                </c:pt>
              </c:numCache>
            </c:numRef>
          </c:val>
        </c:ser>
        <c:dLbls>
          <c:showLegendKey val="0"/>
          <c:showVal val="1"/>
          <c:showCatName val="0"/>
          <c:showSerName val="0"/>
          <c:showPercent val="0"/>
          <c:showBubbleSize val="0"/>
        </c:dLbls>
        <c:gapWidth val="219"/>
        <c:overlap val="-27"/>
        <c:axId val="551803225"/>
        <c:axId val="12975092"/>
      </c:barChart>
      <c:catAx>
        <c:axId val="551803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75092"/>
        <c:crosses val="autoZero"/>
        <c:auto val="1"/>
        <c:lblAlgn val="ctr"/>
        <c:lblOffset val="100"/>
        <c:noMultiLvlLbl val="0"/>
      </c:catAx>
      <c:valAx>
        <c:axId val="129750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8032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[决算公开画图表格.xlsx]Sheet1!$F$86</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[决算公开画图表格.xlsx]Sheet1!$E$87:$E$90</c:f>
              <c:strCache>
                <c:ptCount val="4"/>
                <c:pt idx="0">
                  <c:v>教育支出2925.01万元</c:v>
                </c:pt>
                <c:pt idx="1">
                  <c:v>社会保障和就业447.39万元</c:v>
                </c:pt>
                <c:pt idx="2">
                  <c:v>卫生健康支出303.39万元</c:v>
                </c:pt>
                <c:pt idx="3">
                  <c:v>住房保障支出272.7万元</c:v>
                </c:pt>
              </c:strCache>
            </c:strRef>
          </c:cat>
          <c:val>
            <c:numRef>
              <c:f>[决算公开画图表格.xlsx]Sheet1!$F$87:$F$90</c:f>
              <c:numCache>
                <c:formatCode>0.00%</c:formatCode>
                <c:ptCount val="4"/>
                <c:pt idx="0">
                  <c:v>0.7408</c:v>
                </c:pt>
                <c:pt idx="1">
                  <c:v>0.1133</c:v>
                </c:pt>
                <c:pt idx="2">
                  <c:v>0.0768</c:v>
                </c:pt>
                <c:pt idx="3">
                  <c:v>0.0691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27</TotalTime>
  <ScaleCrop>false</ScaleCrop>
  <LinksUpToDate>false</LinksUpToDate>
  <CharactersWithSpaces>7641</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2024-10-12T08:52:31Z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DE3B5AF02D014F3A99E34F81EEFF9312</vt:lpwstr>
  </property>
</Properties>
</file>