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EF155">
      <w:pPr>
        <w:spacing w:line="600" w:lineRule="exact"/>
        <w:jc w:val="left"/>
        <w:outlineLvl w:val="9"/>
        <w:rPr>
          <w:rFonts w:ascii="方正小标宋简体" w:hAnsi="宋体" w:eastAsia="方正小标宋简体"/>
          <w:szCs w:val="21"/>
        </w:rPr>
      </w:pPr>
      <w:bookmarkStart w:id="0" w:name="_Toc15306267"/>
    </w:p>
    <w:p w14:paraId="3D2D14A6">
      <w:pPr>
        <w:pStyle w:val="5"/>
        <w:spacing w:before="93"/>
      </w:pPr>
    </w:p>
    <w:p w14:paraId="6C1FA6B7">
      <w:pPr>
        <w:spacing w:line="600" w:lineRule="exact"/>
        <w:jc w:val="center"/>
        <w:outlineLvl w:val="9"/>
        <w:rPr>
          <w:rFonts w:ascii="方正小标宋简体" w:hAnsi="宋体" w:eastAsia="方正小标宋简体"/>
          <w:sz w:val="72"/>
          <w:szCs w:val="72"/>
        </w:rPr>
      </w:pPr>
    </w:p>
    <w:p w14:paraId="0946EFDD">
      <w:pPr>
        <w:spacing w:line="600" w:lineRule="exact"/>
        <w:jc w:val="center"/>
        <w:outlineLvl w:val="9"/>
        <w:rPr>
          <w:rFonts w:ascii="方正小标宋简体" w:hAnsi="宋体" w:eastAsia="方正小标宋简体"/>
          <w:sz w:val="72"/>
          <w:szCs w:val="72"/>
        </w:rPr>
      </w:pPr>
    </w:p>
    <w:p w14:paraId="3746D28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425"/>
      <w:bookmarkStart w:id="3" w:name="_Toc418"/>
      <w:bookmarkStart w:id="4" w:name="_Toc15377193"/>
      <w:bookmarkStart w:id="5" w:name="_Toc15396475"/>
      <w:bookmarkStart w:id="6"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bookmarkEnd w:id="6"/>
    </w:p>
    <w:p w14:paraId="1A8C7FA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5377426"/>
      <w:bookmarkStart w:id="9" w:name="_Toc15378442"/>
      <w:bookmarkStart w:id="10" w:name="_Toc15396598"/>
      <w:bookmarkStart w:id="11" w:name="_Toc32136"/>
      <w:bookmarkStart w:id="12" w:name="_Toc15396476"/>
      <w:r>
        <w:rPr>
          <w:rFonts w:hint="eastAsia" w:ascii="方正小标宋简体" w:hAnsi="方正小标宋简体" w:eastAsia="方正小标宋简体" w:cs="方正小标宋简体"/>
          <w:sz w:val="72"/>
          <w:szCs w:val="72"/>
        </w:rPr>
        <w:t>四川省</w:t>
      </w:r>
      <w:bookmarkEnd w:id="0"/>
      <w:bookmarkStart w:id="13" w:name="_Toc15306268"/>
      <w:r>
        <w:rPr>
          <w:rFonts w:hint="eastAsia" w:ascii="方正小标宋简体" w:hAnsi="方正小标宋简体" w:eastAsia="方正小标宋简体" w:cs="方正小标宋简体"/>
          <w:sz w:val="72"/>
          <w:szCs w:val="72"/>
          <w:lang w:eastAsia="zh-CN"/>
        </w:rPr>
        <w:t>攀枝花市第十九小学校</w:t>
      </w:r>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3"/>
    </w:p>
    <w:p w14:paraId="58CF9BC4">
      <w:pPr>
        <w:adjustRightInd w:val="0"/>
        <w:snapToGrid w:val="0"/>
        <w:spacing w:line="360" w:lineRule="auto"/>
        <w:jc w:val="center"/>
        <w:outlineLvl w:val="9"/>
        <w:rPr>
          <w:rFonts w:ascii="方正小标宋简体" w:hAnsi="宋体" w:eastAsia="方正小标宋简体"/>
          <w:sz w:val="52"/>
          <w:szCs w:val="52"/>
        </w:rPr>
      </w:pPr>
    </w:p>
    <w:p w14:paraId="14AF96E0">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0CD0586">
      <w:pPr>
        <w:widowControl/>
        <w:jc w:val="center"/>
        <w:rPr>
          <w:rFonts w:ascii="黑体" w:hAnsi="黑体" w:eastAsia="黑体" w:cstheme="minorBidi"/>
          <w:sz w:val="28"/>
          <w:szCs w:val="28"/>
        </w:rPr>
      </w:pPr>
    </w:p>
    <w:p w14:paraId="03D77477">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14:paraId="6DA009F2"/>
    <w:sdt>
      <w:sdtPr>
        <w:rPr>
          <w:rFonts w:ascii="宋体" w:hAnsi="宋体" w:eastAsia="宋体" w:cs="Times New Roman"/>
          <w:kern w:val="2"/>
          <w:sz w:val="21"/>
          <w:szCs w:val="24"/>
          <w:lang w:val="en-US" w:eastAsia="zh-CN" w:bidi="ar-SA"/>
        </w:rPr>
        <w:id w:val="14746994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4AEAE29D">
          <w:pPr>
            <w:spacing w:before="0" w:beforeLines="0" w:after="0" w:afterLines="0" w:line="240" w:lineRule="auto"/>
            <w:ind w:left="0" w:leftChars="0" w:right="0" w:rightChars="0" w:firstLine="0" w:firstLineChars="0"/>
            <w:jc w:val="center"/>
          </w:pPr>
          <w:r>
            <w:fldChar w:fldCharType="begin"/>
          </w:r>
          <w:r>
            <w:instrText xml:space="preserve">TOC \o "1-2" \h \u </w:instrText>
          </w:r>
          <w:r>
            <w:fldChar w:fldCharType="separate"/>
          </w:r>
        </w:p>
        <w:p w14:paraId="67E71186">
          <w:pPr>
            <w:pStyle w:val="11"/>
            <w:tabs>
              <w:tab w:val="right" w:leader="dot" w:pos="8306"/>
              <w:tab w:val="clear" w:pos="8296"/>
            </w:tabs>
          </w:pPr>
          <w:r>
            <w:fldChar w:fldCharType="begin"/>
          </w:r>
          <w:r>
            <w:instrText xml:space="preserve"> HYPERLINK \l _Toc18870 </w:instrText>
          </w:r>
          <w:r>
            <w:fldChar w:fldCharType="separate"/>
          </w:r>
          <w:r>
            <w:rPr>
              <w:rFonts w:hint="eastAsia" w:ascii="黑体" w:hAnsi="黑体" w:eastAsia="黑体"/>
            </w:rPr>
            <w:t>第一部分 单位</w:t>
          </w:r>
          <w:r>
            <w:rPr>
              <w:rFonts w:hint="eastAsia" w:ascii="黑体" w:hAnsi="黑体" w:eastAsia="黑体"/>
              <w:bCs w:val="0"/>
            </w:rPr>
            <w:t>概况</w:t>
          </w:r>
          <w:r>
            <w:tab/>
          </w:r>
          <w:r>
            <w:fldChar w:fldCharType="begin"/>
          </w:r>
          <w:r>
            <w:instrText xml:space="preserve"> PAGEREF _Toc18870 \h </w:instrText>
          </w:r>
          <w:r>
            <w:fldChar w:fldCharType="separate"/>
          </w:r>
          <w:r>
            <w:t>1</w:t>
          </w:r>
          <w:r>
            <w:fldChar w:fldCharType="end"/>
          </w:r>
          <w:r>
            <w:fldChar w:fldCharType="end"/>
          </w:r>
        </w:p>
        <w:p w14:paraId="269281B7">
          <w:pPr>
            <w:pStyle w:val="12"/>
            <w:tabs>
              <w:tab w:val="right" w:leader="dot" w:pos="8306"/>
              <w:tab w:val="clear" w:pos="8296"/>
            </w:tabs>
          </w:pPr>
          <w:r>
            <w:fldChar w:fldCharType="begin"/>
          </w:r>
          <w:r>
            <w:instrText xml:space="preserve"> HYPERLINK \l _Toc9597 </w:instrText>
          </w:r>
          <w:r>
            <w:fldChar w:fldCharType="separate"/>
          </w:r>
          <w:r>
            <w:rPr>
              <w:rFonts w:hint="eastAsia" w:ascii="黑体" w:hAnsi="黑体" w:eastAsia="黑体"/>
              <w:bCs w:val="0"/>
              <w:lang w:eastAsia="zh-CN"/>
            </w:rPr>
            <w:t>一、</w:t>
          </w:r>
          <w:r>
            <w:rPr>
              <w:rFonts w:hint="eastAsia" w:ascii="黑体" w:hAnsi="黑体" w:eastAsia="黑体"/>
              <w:bCs w:val="0"/>
            </w:rPr>
            <w:t>主要职责</w:t>
          </w:r>
          <w:r>
            <w:tab/>
          </w:r>
          <w:r>
            <w:fldChar w:fldCharType="begin"/>
          </w:r>
          <w:r>
            <w:instrText xml:space="preserve"> PAGEREF _Toc9597 \h </w:instrText>
          </w:r>
          <w:r>
            <w:fldChar w:fldCharType="separate"/>
          </w:r>
          <w:r>
            <w:t>1</w:t>
          </w:r>
          <w:r>
            <w:fldChar w:fldCharType="end"/>
          </w:r>
          <w:r>
            <w:fldChar w:fldCharType="end"/>
          </w:r>
        </w:p>
        <w:p w14:paraId="2D2BCB90">
          <w:pPr>
            <w:pStyle w:val="12"/>
            <w:tabs>
              <w:tab w:val="right" w:leader="dot" w:pos="8306"/>
              <w:tab w:val="clear" w:pos="8296"/>
            </w:tabs>
          </w:pPr>
          <w:r>
            <w:fldChar w:fldCharType="begin"/>
          </w:r>
          <w:r>
            <w:instrText xml:space="preserve"> HYPERLINK \l _Toc20345 </w:instrText>
          </w:r>
          <w:r>
            <w:fldChar w:fldCharType="separate"/>
          </w:r>
          <w:r>
            <w:rPr>
              <w:rFonts w:hint="eastAsia" w:ascii="黑体" w:hAnsi="黑体" w:eastAsia="黑体"/>
              <w:lang w:eastAsia="zh-CN"/>
            </w:rPr>
            <w:t>二、</w:t>
          </w:r>
          <w:r>
            <w:rPr>
              <w:rFonts w:hint="eastAsia" w:ascii="黑体" w:hAnsi="黑体" w:eastAsia="黑体"/>
            </w:rPr>
            <w:t>机构设置</w:t>
          </w:r>
          <w:r>
            <w:tab/>
          </w:r>
          <w:r>
            <w:fldChar w:fldCharType="begin"/>
          </w:r>
          <w:r>
            <w:instrText xml:space="preserve"> PAGEREF _Toc20345 \h </w:instrText>
          </w:r>
          <w:r>
            <w:fldChar w:fldCharType="separate"/>
          </w:r>
          <w:r>
            <w:t>1</w:t>
          </w:r>
          <w:r>
            <w:fldChar w:fldCharType="end"/>
          </w:r>
          <w:r>
            <w:fldChar w:fldCharType="end"/>
          </w:r>
        </w:p>
        <w:p w14:paraId="41DA0479">
          <w:pPr>
            <w:pStyle w:val="11"/>
            <w:tabs>
              <w:tab w:val="right" w:leader="dot" w:pos="8306"/>
              <w:tab w:val="clear" w:pos="8296"/>
            </w:tabs>
          </w:pPr>
          <w:r>
            <w:fldChar w:fldCharType="begin"/>
          </w:r>
          <w:r>
            <w:instrText xml:space="preserve"> HYPERLINK \l _Toc20885 </w:instrText>
          </w:r>
          <w:r>
            <w:fldChar w:fldCharType="separate"/>
          </w:r>
          <w:r>
            <w:rPr>
              <w:rFonts w:hint="eastAsia" w:ascii="黑体" w:hAnsi="黑体" w:eastAsia="黑体"/>
            </w:rPr>
            <w:t>第二部分 2023年度</w:t>
          </w:r>
          <w:r>
            <w:rPr>
              <w:rFonts w:hint="eastAsia" w:ascii="黑体" w:hAnsi="黑体" w:eastAsia="黑体"/>
              <w:bCs/>
            </w:rPr>
            <w:t>单位决算情况说明</w:t>
          </w:r>
          <w:r>
            <w:tab/>
          </w:r>
          <w:r>
            <w:fldChar w:fldCharType="begin"/>
          </w:r>
          <w:r>
            <w:instrText xml:space="preserve"> PAGEREF _Toc20885 \h </w:instrText>
          </w:r>
          <w:r>
            <w:fldChar w:fldCharType="separate"/>
          </w:r>
          <w:r>
            <w:t>2</w:t>
          </w:r>
          <w:r>
            <w:fldChar w:fldCharType="end"/>
          </w:r>
          <w:r>
            <w:fldChar w:fldCharType="end"/>
          </w:r>
        </w:p>
        <w:p w14:paraId="2EF5ED4E">
          <w:pPr>
            <w:pStyle w:val="12"/>
            <w:tabs>
              <w:tab w:val="right" w:leader="dot" w:pos="8306"/>
              <w:tab w:val="clear" w:pos="8296"/>
            </w:tabs>
          </w:pPr>
          <w:r>
            <w:fldChar w:fldCharType="begin"/>
          </w:r>
          <w:r>
            <w:instrText xml:space="preserve"> HYPERLINK \l _Toc4363 </w:instrText>
          </w:r>
          <w:r>
            <w:fldChar w:fldCharType="separate"/>
          </w:r>
          <w:r>
            <w:rPr>
              <w:rFonts w:hint="eastAsia" w:ascii="黑体" w:hAnsi="黑体" w:eastAsia="黑体"/>
              <w:szCs w:val="32"/>
              <w:lang w:eastAsia="zh-CN"/>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_Toc4363 \h </w:instrText>
          </w:r>
          <w:r>
            <w:fldChar w:fldCharType="separate"/>
          </w:r>
          <w:r>
            <w:t>2</w:t>
          </w:r>
          <w:r>
            <w:fldChar w:fldCharType="end"/>
          </w:r>
          <w:r>
            <w:fldChar w:fldCharType="end"/>
          </w:r>
        </w:p>
        <w:p w14:paraId="3416C01C">
          <w:pPr>
            <w:pStyle w:val="12"/>
            <w:tabs>
              <w:tab w:val="right" w:leader="dot" w:pos="8306"/>
              <w:tab w:val="clear" w:pos="8296"/>
            </w:tabs>
          </w:pPr>
          <w:r>
            <w:fldChar w:fldCharType="begin"/>
          </w:r>
          <w:r>
            <w:instrText xml:space="preserve"> HYPERLINK \l _Toc20602 </w:instrText>
          </w:r>
          <w:r>
            <w:fldChar w:fldCharType="separate"/>
          </w:r>
          <w:r>
            <w:rPr>
              <w:rFonts w:hint="eastAsia" w:ascii="黑体" w:hAnsi="黑体" w:eastAsia="黑体"/>
              <w:szCs w:val="32"/>
              <w:lang w:eastAsia="zh-CN"/>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_Toc20602 \h </w:instrText>
          </w:r>
          <w:r>
            <w:fldChar w:fldCharType="separate"/>
          </w:r>
          <w:r>
            <w:t>2</w:t>
          </w:r>
          <w:r>
            <w:fldChar w:fldCharType="end"/>
          </w:r>
          <w:r>
            <w:fldChar w:fldCharType="end"/>
          </w:r>
        </w:p>
        <w:p w14:paraId="1F4F15EE">
          <w:pPr>
            <w:pStyle w:val="12"/>
            <w:tabs>
              <w:tab w:val="right" w:leader="dot" w:pos="8306"/>
              <w:tab w:val="clear" w:pos="8296"/>
            </w:tabs>
          </w:pPr>
          <w:r>
            <w:fldChar w:fldCharType="begin"/>
          </w:r>
          <w:r>
            <w:instrText xml:space="preserve"> HYPERLINK \l _Toc27431 </w:instrText>
          </w:r>
          <w:r>
            <w:fldChar w:fldCharType="separate"/>
          </w:r>
          <w:r>
            <w:rPr>
              <w:rFonts w:hint="eastAsia" w:ascii="黑体" w:hAnsi="黑体" w:eastAsia="黑体"/>
              <w:szCs w:val="32"/>
              <w:lang w:eastAsia="zh-CN"/>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_Toc27431 \h </w:instrText>
          </w:r>
          <w:r>
            <w:fldChar w:fldCharType="separate"/>
          </w:r>
          <w:r>
            <w:t>3</w:t>
          </w:r>
          <w:r>
            <w:fldChar w:fldCharType="end"/>
          </w:r>
          <w:r>
            <w:fldChar w:fldCharType="end"/>
          </w:r>
        </w:p>
        <w:p w14:paraId="64287112">
          <w:pPr>
            <w:pStyle w:val="12"/>
            <w:tabs>
              <w:tab w:val="right" w:leader="dot" w:pos="8306"/>
              <w:tab w:val="clear" w:pos="8296"/>
            </w:tabs>
          </w:pPr>
          <w:r>
            <w:fldChar w:fldCharType="begin"/>
          </w:r>
          <w:r>
            <w:instrText xml:space="preserve"> HYPERLINK \l _Toc22754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_Toc22754 \h </w:instrText>
          </w:r>
          <w:r>
            <w:fldChar w:fldCharType="separate"/>
          </w:r>
          <w:r>
            <w:t>3</w:t>
          </w:r>
          <w:r>
            <w:fldChar w:fldCharType="end"/>
          </w:r>
          <w:r>
            <w:fldChar w:fldCharType="end"/>
          </w:r>
        </w:p>
        <w:p w14:paraId="71007B91">
          <w:pPr>
            <w:pStyle w:val="12"/>
            <w:tabs>
              <w:tab w:val="right" w:leader="dot" w:pos="8306"/>
              <w:tab w:val="clear" w:pos="8296"/>
            </w:tabs>
          </w:pPr>
          <w:r>
            <w:fldChar w:fldCharType="begin"/>
          </w:r>
          <w:r>
            <w:instrText xml:space="preserve"> HYPERLINK \l _Toc15455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_Toc15455 \h </w:instrText>
          </w:r>
          <w:r>
            <w:fldChar w:fldCharType="separate"/>
          </w:r>
          <w:r>
            <w:t>4</w:t>
          </w:r>
          <w:r>
            <w:fldChar w:fldCharType="end"/>
          </w:r>
          <w:r>
            <w:fldChar w:fldCharType="end"/>
          </w:r>
        </w:p>
        <w:p w14:paraId="25B5B547">
          <w:pPr>
            <w:pStyle w:val="12"/>
            <w:tabs>
              <w:tab w:val="right" w:leader="dot" w:pos="8306"/>
              <w:tab w:val="clear" w:pos="8296"/>
            </w:tabs>
          </w:pPr>
          <w:r>
            <w:fldChar w:fldCharType="begin"/>
          </w:r>
          <w:r>
            <w:instrText xml:space="preserve"> HYPERLINK \l _Toc6670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_Toc6670 \h </w:instrText>
          </w:r>
          <w:r>
            <w:fldChar w:fldCharType="separate"/>
          </w:r>
          <w:r>
            <w:t>6</w:t>
          </w:r>
          <w:r>
            <w:fldChar w:fldCharType="end"/>
          </w:r>
          <w:r>
            <w:fldChar w:fldCharType="end"/>
          </w:r>
        </w:p>
        <w:p w14:paraId="00665378">
          <w:pPr>
            <w:pStyle w:val="12"/>
            <w:tabs>
              <w:tab w:val="right" w:leader="dot" w:pos="8306"/>
              <w:tab w:val="clear" w:pos="8296"/>
            </w:tabs>
          </w:pPr>
          <w:r>
            <w:fldChar w:fldCharType="begin"/>
          </w:r>
          <w:r>
            <w:instrText xml:space="preserve"> HYPERLINK \l _Toc32253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_Toc32253 \h </w:instrText>
          </w:r>
          <w:r>
            <w:fldChar w:fldCharType="separate"/>
          </w:r>
          <w:r>
            <w:t>7</w:t>
          </w:r>
          <w:r>
            <w:fldChar w:fldCharType="end"/>
          </w:r>
          <w:r>
            <w:fldChar w:fldCharType="end"/>
          </w:r>
        </w:p>
        <w:p w14:paraId="40FE8949">
          <w:pPr>
            <w:pStyle w:val="12"/>
            <w:tabs>
              <w:tab w:val="right" w:leader="dot" w:pos="8306"/>
              <w:tab w:val="clear" w:pos="8296"/>
            </w:tabs>
          </w:pPr>
          <w:r>
            <w:fldChar w:fldCharType="begin"/>
          </w:r>
          <w:r>
            <w:instrText xml:space="preserve"> HYPERLINK \l _Toc23274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_Toc23274 \h </w:instrText>
          </w:r>
          <w:r>
            <w:fldChar w:fldCharType="separate"/>
          </w:r>
          <w:r>
            <w:t>8</w:t>
          </w:r>
          <w:r>
            <w:fldChar w:fldCharType="end"/>
          </w:r>
          <w:r>
            <w:fldChar w:fldCharType="end"/>
          </w:r>
        </w:p>
        <w:p w14:paraId="449AD445">
          <w:pPr>
            <w:pStyle w:val="12"/>
            <w:tabs>
              <w:tab w:val="right" w:leader="dot" w:pos="8306"/>
              <w:tab w:val="clear" w:pos="8296"/>
            </w:tabs>
          </w:pPr>
          <w:r>
            <w:fldChar w:fldCharType="begin"/>
          </w:r>
          <w:r>
            <w:instrText xml:space="preserve"> HYPERLINK \l _Toc27362 </w:instrText>
          </w:r>
          <w:r>
            <w:fldChar w:fldCharType="separate"/>
          </w:r>
          <w:r>
            <w:rPr>
              <w:rFonts w:hint="eastAsia" w:ascii="黑体" w:hAnsi="黑体" w:eastAsia="黑体"/>
              <w:lang w:eastAsia="zh-CN"/>
            </w:rPr>
            <w:t>九、</w:t>
          </w:r>
          <w:r>
            <w:rPr>
              <w:rFonts w:hint="eastAsia" w:ascii="黑体" w:hAnsi="黑体" w:eastAsia="黑体"/>
            </w:rPr>
            <w:t>国有资本经营预算支出决算情况说明</w:t>
          </w:r>
          <w:r>
            <w:tab/>
          </w:r>
          <w:r>
            <w:fldChar w:fldCharType="begin"/>
          </w:r>
          <w:r>
            <w:instrText xml:space="preserve"> PAGEREF _Toc27362 \h </w:instrText>
          </w:r>
          <w:r>
            <w:fldChar w:fldCharType="separate"/>
          </w:r>
          <w:r>
            <w:t>8</w:t>
          </w:r>
          <w:r>
            <w:fldChar w:fldCharType="end"/>
          </w:r>
          <w:r>
            <w:fldChar w:fldCharType="end"/>
          </w:r>
        </w:p>
        <w:p w14:paraId="2AF32AF1">
          <w:pPr>
            <w:pStyle w:val="12"/>
            <w:tabs>
              <w:tab w:val="right" w:leader="dot" w:pos="8306"/>
              <w:tab w:val="clear" w:pos="8296"/>
            </w:tabs>
          </w:pPr>
          <w:r>
            <w:fldChar w:fldCharType="begin"/>
          </w:r>
          <w:r>
            <w:instrText xml:space="preserve"> HYPERLINK \l _Toc17394 </w:instrText>
          </w:r>
          <w:r>
            <w:fldChar w:fldCharType="separate"/>
          </w:r>
          <w:r>
            <w:rPr>
              <w:rFonts w:hint="eastAsia" w:ascii="黑体" w:hAnsi="黑体" w:eastAsia="黑体"/>
              <w:lang w:eastAsia="zh-CN"/>
            </w:rPr>
            <w:t>十、</w:t>
          </w:r>
          <w:r>
            <w:rPr>
              <w:rFonts w:hint="eastAsia" w:ascii="黑体" w:hAnsi="黑体" w:eastAsia="黑体"/>
            </w:rPr>
            <w:t>其他重要事项的情况说明</w:t>
          </w:r>
          <w:r>
            <w:tab/>
          </w:r>
          <w:r>
            <w:fldChar w:fldCharType="begin"/>
          </w:r>
          <w:r>
            <w:instrText xml:space="preserve"> PAGEREF _Toc17394 \h </w:instrText>
          </w:r>
          <w:r>
            <w:fldChar w:fldCharType="separate"/>
          </w:r>
          <w:r>
            <w:t>8</w:t>
          </w:r>
          <w:r>
            <w:fldChar w:fldCharType="end"/>
          </w:r>
          <w:r>
            <w:fldChar w:fldCharType="end"/>
          </w:r>
        </w:p>
        <w:p w14:paraId="5AEDE5EE">
          <w:pPr>
            <w:pStyle w:val="11"/>
            <w:tabs>
              <w:tab w:val="right" w:leader="dot" w:pos="8306"/>
              <w:tab w:val="clear" w:pos="8296"/>
            </w:tabs>
          </w:pPr>
          <w:r>
            <w:fldChar w:fldCharType="begin"/>
          </w:r>
          <w:r>
            <w:instrText xml:space="preserve"> HYPERLINK \l _Toc26187 </w:instrText>
          </w:r>
          <w:r>
            <w:fldChar w:fldCharType="separate"/>
          </w:r>
          <w:r>
            <w:rPr>
              <w:rFonts w:hint="eastAsia" w:ascii="黑体" w:hAnsi="黑体" w:eastAsia="黑体"/>
              <w:szCs w:val="44"/>
              <w:lang w:eastAsia="zh-CN"/>
            </w:rPr>
            <w:t>第三部分</w:t>
          </w:r>
          <w:r>
            <w:rPr>
              <w:rFonts w:hint="eastAsia" w:ascii="黑体" w:hAnsi="黑体" w:eastAsia="黑体"/>
              <w:szCs w:val="44"/>
              <w:lang w:val="en-US" w:eastAsia="zh-CN"/>
            </w:rPr>
            <w:t xml:space="preserve">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_Toc26187 \h </w:instrText>
          </w:r>
          <w:r>
            <w:fldChar w:fldCharType="separate"/>
          </w:r>
          <w:r>
            <w:t>10</w:t>
          </w:r>
          <w:r>
            <w:fldChar w:fldCharType="end"/>
          </w:r>
          <w:r>
            <w:fldChar w:fldCharType="end"/>
          </w:r>
        </w:p>
        <w:p w14:paraId="7B9B3BB0">
          <w:pPr>
            <w:pStyle w:val="11"/>
            <w:tabs>
              <w:tab w:val="right" w:leader="dot" w:pos="8306"/>
              <w:tab w:val="clear" w:pos="8296"/>
            </w:tabs>
          </w:pPr>
          <w:r>
            <w:fldChar w:fldCharType="begin"/>
          </w:r>
          <w:r>
            <w:instrText xml:space="preserve"> HYPERLINK \l _Toc23889 </w:instrText>
          </w:r>
          <w: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_Toc23889 \h </w:instrText>
          </w:r>
          <w:r>
            <w:fldChar w:fldCharType="separate"/>
          </w:r>
          <w:r>
            <w:t>13</w:t>
          </w:r>
          <w:r>
            <w:fldChar w:fldCharType="end"/>
          </w:r>
          <w:r>
            <w:fldChar w:fldCharType="end"/>
          </w:r>
        </w:p>
        <w:p w14:paraId="2D17F3B2">
          <w:pPr>
            <w:pStyle w:val="11"/>
            <w:tabs>
              <w:tab w:val="right" w:leader="dot" w:pos="8306"/>
              <w:tab w:val="clear" w:pos="8296"/>
            </w:tabs>
          </w:pPr>
          <w:r>
            <w:fldChar w:fldCharType="begin"/>
          </w:r>
          <w:r>
            <w:instrText xml:space="preserve"> HYPERLINK \l _Toc27129 </w:instrText>
          </w:r>
          <w: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_Toc27129 \h </w:instrText>
          </w:r>
          <w:r>
            <w:fldChar w:fldCharType="separate"/>
          </w:r>
          <w:r>
            <w:t>14</w:t>
          </w:r>
          <w:r>
            <w:fldChar w:fldCharType="end"/>
          </w:r>
          <w:r>
            <w:fldChar w:fldCharType="end"/>
          </w:r>
        </w:p>
        <w:p w14:paraId="4921B62A">
          <w:pPr>
            <w:pStyle w:val="12"/>
            <w:tabs>
              <w:tab w:val="right" w:leader="dot" w:pos="8306"/>
              <w:tab w:val="clear" w:pos="8296"/>
            </w:tabs>
          </w:pPr>
          <w:r>
            <w:fldChar w:fldCharType="begin"/>
          </w:r>
          <w:r>
            <w:instrText xml:space="preserve"> HYPERLINK \l _Toc2821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_Toc2821 \h </w:instrText>
          </w:r>
          <w:r>
            <w:fldChar w:fldCharType="separate"/>
          </w:r>
          <w:r>
            <w:t>14</w:t>
          </w:r>
          <w:r>
            <w:fldChar w:fldCharType="end"/>
          </w:r>
          <w:r>
            <w:fldChar w:fldCharType="end"/>
          </w:r>
        </w:p>
        <w:p w14:paraId="090B413E">
          <w:pPr>
            <w:pStyle w:val="12"/>
            <w:tabs>
              <w:tab w:val="right" w:leader="dot" w:pos="8306"/>
              <w:tab w:val="clear" w:pos="8296"/>
            </w:tabs>
          </w:pPr>
          <w:r>
            <w:fldChar w:fldCharType="begin"/>
          </w:r>
          <w:r>
            <w:instrText xml:space="preserve"> HYPERLINK \l _Toc15943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_Toc15943 \h </w:instrText>
          </w:r>
          <w:r>
            <w:fldChar w:fldCharType="separate"/>
          </w:r>
          <w:r>
            <w:t>14</w:t>
          </w:r>
          <w:r>
            <w:fldChar w:fldCharType="end"/>
          </w:r>
          <w:r>
            <w:fldChar w:fldCharType="end"/>
          </w:r>
        </w:p>
        <w:p w14:paraId="0A5B1677">
          <w:pPr>
            <w:pStyle w:val="12"/>
            <w:tabs>
              <w:tab w:val="right" w:leader="dot" w:pos="8306"/>
              <w:tab w:val="clear" w:pos="8296"/>
            </w:tabs>
          </w:pPr>
          <w:r>
            <w:fldChar w:fldCharType="begin"/>
          </w:r>
          <w:r>
            <w:instrText xml:space="preserve"> HYPERLINK \l _Toc24324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_Toc24324 \h </w:instrText>
          </w:r>
          <w:r>
            <w:fldChar w:fldCharType="separate"/>
          </w:r>
          <w:r>
            <w:t>14</w:t>
          </w:r>
          <w:r>
            <w:fldChar w:fldCharType="end"/>
          </w:r>
          <w:r>
            <w:fldChar w:fldCharType="end"/>
          </w:r>
        </w:p>
        <w:p w14:paraId="0A195BDE">
          <w:pPr>
            <w:pStyle w:val="12"/>
            <w:tabs>
              <w:tab w:val="right" w:leader="dot" w:pos="8306"/>
              <w:tab w:val="clear" w:pos="8296"/>
            </w:tabs>
          </w:pPr>
          <w:r>
            <w:fldChar w:fldCharType="begin"/>
          </w:r>
          <w:r>
            <w:instrText xml:space="preserve"> HYPERLINK \l _Toc5165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_Toc5165 \h </w:instrText>
          </w:r>
          <w:r>
            <w:fldChar w:fldCharType="separate"/>
          </w:r>
          <w:r>
            <w:t>14</w:t>
          </w:r>
          <w:r>
            <w:fldChar w:fldCharType="end"/>
          </w:r>
          <w:r>
            <w:fldChar w:fldCharType="end"/>
          </w:r>
        </w:p>
        <w:p w14:paraId="78FA08A2">
          <w:pPr>
            <w:pStyle w:val="12"/>
            <w:tabs>
              <w:tab w:val="right" w:leader="dot" w:pos="8306"/>
              <w:tab w:val="clear" w:pos="8296"/>
            </w:tabs>
          </w:pPr>
          <w:r>
            <w:fldChar w:fldCharType="begin"/>
          </w:r>
          <w:r>
            <w:instrText xml:space="preserve"> HYPERLINK \l _Toc6592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_Toc6592 \h </w:instrText>
          </w:r>
          <w:r>
            <w:fldChar w:fldCharType="separate"/>
          </w:r>
          <w:r>
            <w:t>14</w:t>
          </w:r>
          <w:r>
            <w:fldChar w:fldCharType="end"/>
          </w:r>
          <w:r>
            <w:fldChar w:fldCharType="end"/>
          </w:r>
        </w:p>
        <w:p w14:paraId="61CFB2F1">
          <w:pPr>
            <w:pStyle w:val="12"/>
            <w:tabs>
              <w:tab w:val="right" w:leader="dot" w:pos="8306"/>
              <w:tab w:val="clear" w:pos="8296"/>
            </w:tabs>
          </w:pPr>
          <w:r>
            <w:fldChar w:fldCharType="begin"/>
          </w:r>
          <w:r>
            <w:instrText xml:space="preserve"> HYPERLINK \l _Toc6226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_Toc6226 \h </w:instrText>
          </w:r>
          <w:r>
            <w:fldChar w:fldCharType="separate"/>
          </w:r>
          <w:r>
            <w:t>14</w:t>
          </w:r>
          <w:r>
            <w:fldChar w:fldCharType="end"/>
          </w:r>
          <w:r>
            <w:fldChar w:fldCharType="end"/>
          </w:r>
        </w:p>
        <w:p w14:paraId="484E257F">
          <w:pPr>
            <w:pStyle w:val="12"/>
            <w:tabs>
              <w:tab w:val="right" w:leader="dot" w:pos="8306"/>
              <w:tab w:val="clear" w:pos="8296"/>
            </w:tabs>
          </w:pPr>
          <w:r>
            <w:fldChar w:fldCharType="begin"/>
          </w:r>
          <w:r>
            <w:instrText xml:space="preserve"> HYPERLINK \l _Toc13168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_Toc13168 \h </w:instrText>
          </w:r>
          <w:r>
            <w:fldChar w:fldCharType="separate"/>
          </w:r>
          <w:r>
            <w:t>14</w:t>
          </w:r>
          <w:r>
            <w:fldChar w:fldCharType="end"/>
          </w:r>
          <w:r>
            <w:fldChar w:fldCharType="end"/>
          </w:r>
        </w:p>
        <w:p w14:paraId="0D4D303B">
          <w:pPr>
            <w:pStyle w:val="12"/>
            <w:tabs>
              <w:tab w:val="right" w:leader="dot" w:pos="8306"/>
              <w:tab w:val="clear" w:pos="8296"/>
            </w:tabs>
          </w:pPr>
          <w:r>
            <w:fldChar w:fldCharType="begin"/>
          </w:r>
          <w:r>
            <w:instrText xml:space="preserve"> HYPERLINK \l _Toc3978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_Toc3978 \h </w:instrText>
          </w:r>
          <w:r>
            <w:fldChar w:fldCharType="separate"/>
          </w:r>
          <w:r>
            <w:t>14</w:t>
          </w:r>
          <w:r>
            <w:fldChar w:fldCharType="end"/>
          </w:r>
          <w:r>
            <w:fldChar w:fldCharType="end"/>
          </w:r>
        </w:p>
        <w:p w14:paraId="18102810">
          <w:pPr>
            <w:pStyle w:val="12"/>
            <w:tabs>
              <w:tab w:val="right" w:leader="dot" w:pos="8306"/>
              <w:tab w:val="clear" w:pos="8296"/>
            </w:tabs>
          </w:pPr>
          <w:r>
            <w:fldChar w:fldCharType="begin"/>
          </w:r>
          <w:r>
            <w:instrText xml:space="preserve"> HYPERLINK \l _Toc23822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_Toc23822 \h </w:instrText>
          </w:r>
          <w:r>
            <w:fldChar w:fldCharType="separate"/>
          </w:r>
          <w:r>
            <w:t>14</w:t>
          </w:r>
          <w:r>
            <w:fldChar w:fldCharType="end"/>
          </w:r>
          <w:r>
            <w:fldChar w:fldCharType="end"/>
          </w:r>
        </w:p>
        <w:p w14:paraId="140516DA">
          <w:pPr>
            <w:pStyle w:val="12"/>
            <w:tabs>
              <w:tab w:val="right" w:leader="dot" w:pos="8306"/>
              <w:tab w:val="clear" w:pos="8296"/>
            </w:tabs>
          </w:pPr>
          <w:r>
            <w:fldChar w:fldCharType="begin"/>
          </w:r>
          <w:r>
            <w:instrText xml:space="preserve"> HYPERLINK \l _Toc20604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_Toc20604 \h </w:instrText>
          </w:r>
          <w:r>
            <w:fldChar w:fldCharType="separate"/>
          </w:r>
          <w:r>
            <w:t>14</w:t>
          </w:r>
          <w:r>
            <w:fldChar w:fldCharType="end"/>
          </w:r>
          <w:r>
            <w:fldChar w:fldCharType="end"/>
          </w:r>
        </w:p>
        <w:p w14:paraId="553CA1F9">
          <w:pPr>
            <w:pStyle w:val="12"/>
            <w:tabs>
              <w:tab w:val="right" w:leader="dot" w:pos="8306"/>
              <w:tab w:val="clear" w:pos="8296"/>
            </w:tabs>
          </w:pPr>
          <w:r>
            <w:fldChar w:fldCharType="begin"/>
          </w:r>
          <w:r>
            <w:instrText xml:space="preserve"> HYPERLINK \l _Toc7666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_Toc7666 \h </w:instrText>
          </w:r>
          <w:r>
            <w:fldChar w:fldCharType="separate"/>
          </w:r>
          <w:r>
            <w:t>14</w:t>
          </w:r>
          <w:r>
            <w:fldChar w:fldCharType="end"/>
          </w:r>
          <w:r>
            <w:fldChar w:fldCharType="end"/>
          </w:r>
        </w:p>
        <w:p w14:paraId="6CD8A286">
          <w:pPr>
            <w:pStyle w:val="12"/>
            <w:tabs>
              <w:tab w:val="right" w:leader="dot" w:pos="8306"/>
              <w:tab w:val="clear" w:pos="8296"/>
            </w:tabs>
          </w:pPr>
          <w:r>
            <w:fldChar w:fldCharType="begin"/>
          </w:r>
          <w:r>
            <w:instrText xml:space="preserve"> HYPERLINK \l _Toc19268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_Toc19268 \h </w:instrText>
          </w:r>
          <w:r>
            <w:fldChar w:fldCharType="separate"/>
          </w:r>
          <w:r>
            <w:t>14</w:t>
          </w:r>
          <w:r>
            <w:fldChar w:fldCharType="end"/>
          </w:r>
          <w:r>
            <w:fldChar w:fldCharType="end"/>
          </w:r>
        </w:p>
        <w:p w14:paraId="55F004E3">
          <w:pPr>
            <w:pStyle w:val="12"/>
            <w:tabs>
              <w:tab w:val="right" w:leader="dot" w:pos="8306"/>
              <w:tab w:val="clear" w:pos="8296"/>
            </w:tabs>
          </w:pPr>
          <w:r>
            <w:fldChar w:fldCharType="begin"/>
          </w:r>
          <w:r>
            <w:instrText xml:space="preserve"> HYPERLINK \l _Toc7006 </w:instrText>
          </w:r>
          <w:r>
            <w:fldChar w:fldCharType="separate"/>
          </w:r>
          <w:r>
            <w:rPr>
              <w:rFonts w:hint="eastAsia" w:ascii="仿宋" w:hAnsi="仿宋" w:eastAsia="仿宋"/>
              <w:bCs w:val="0"/>
            </w:rPr>
            <w:t>十三、财政拨款“三公”经费支出决算表</w:t>
          </w:r>
          <w:r>
            <w:tab/>
          </w:r>
          <w:r>
            <w:fldChar w:fldCharType="begin"/>
          </w:r>
          <w:r>
            <w:instrText xml:space="preserve"> PAGEREF _Toc7006 \h </w:instrText>
          </w:r>
          <w:r>
            <w:fldChar w:fldCharType="separate"/>
          </w:r>
          <w:r>
            <w:t>14</w:t>
          </w:r>
          <w:r>
            <w:fldChar w:fldCharType="end"/>
          </w:r>
          <w:r>
            <w:fldChar w:fldCharType="end"/>
          </w:r>
        </w:p>
        <w:p w14:paraId="08818C62">
          <w:pPr>
            <w:sectPr>
              <w:footerReference r:id="rId5" w:type="first"/>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234A2C43">
          <w:pPr>
            <w:rPr>
              <w:rFonts w:ascii="仿宋" w:hAnsi="仿宋" w:eastAsia="仿宋"/>
              <w:bCs/>
              <w:kern w:val="44"/>
              <w:sz w:val="24"/>
            </w:rPr>
          </w:pPr>
          <w:r>
            <w:fldChar w:fldCharType="end"/>
          </w:r>
          <w:bookmarkStart w:id="14" w:name="_Toc15396599"/>
          <w:bookmarkStart w:id="15" w:name="_Toc15377196"/>
        </w:p>
      </w:sdtContent>
    </w:sdt>
    <w:p w14:paraId="02E64800">
      <w:pPr>
        <w:pStyle w:val="2"/>
        <w:jc w:val="center"/>
        <w:rPr>
          <w:rStyle w:val="27"/>
          <w:rFonts w:ascii="黑体" w:hAnsi="黑体" w:eastAsia="黑体"/>
          <w:b/>
          <w:bCs w:val="0"/>
        </w:rPr>
      </w:pPr>
      <w:bookmarkStart w:id="16" w:name="_Toc18870"/>
      <w:r>
        <w:rPr>
          <w:rFonts w:hint="eastAsia" w:ascii="黑体" w:hAnsi="黑体" w:eastAsia="黑体"/>
          <w:b w:val="0"/>
        </w:rPr>
        <w:t>第一部分 单位</w:t>
      </w:r>
      <w:r>
        <w:rPr>
          <w:rStyle w:val="27"/>
          <w:rFonts w:hint="eastAsia" w:ascii="黑体" w:hAnsi="黑体" w:eastAsia="黑体"/>
          <w:b w:val="0"/>
          <w:bCs w:val="0"/>
        </w:rPr>
        <w:t>概况</w:t>
      </w:r>
      <w:bookmarkEnd w:id="14"/>
      <w:bookmarkEnd w:id="15"/>
      <w:bookmarkEnd w:id="16"/>
    </w:p>
    <w:p w14:paraId="5744B3CA">
      <w:pPr>
        <w:widowControl/>
        <w:jc w:val="left"/>
        <w:rPr>
          <w:rFonts w:ascii="黑体" w:eastAsia="黑体"/>
          <w:sz w:val="32"/>
          <w:szCs w:val="32"/>
        </w:rPr>
      </w:pPr>
    </w:p>
    <w:p w14:paraId="3DDCB281">
      <w:pPr>
        <w:pStyle w:val="3"/>
        <w:numPr>
          <w:ilvl w:val="0"/>
          <w:numId w:val="0"/>
        </w:numPr>
        <w:ind w:firstLine="640" w:firstLineChars="200"/>
        <w:rPr>
          <w:rStyle w:val="28"/>
          <w:rFonts w:hint="eastAsia" w:ascii="黑体" w:hAnsi="黑体" w:eastAsia="黑体"/>
          <w:b w:val="0"/>
          <w:bCs w:val="0"/>
        </w:rPr>
      </w:pPr>
      <w:bookmarkStart w:id="17" w:name="_Toc9597"/>
      <w:bookmarkStart w:id="18" w:name="_Toc15377197"/>
      <w:bookmarkStart w:id="19" w:name="_Toc15396600"/>
      <w:r>
        <w:rPr>
          <w:rStyle w:val="28"/>
          <w:rFonts w:hint="eastAsia" w:ascii="黑体" w:hAnsi="黑体" w:eastAsia="黑体"/>
          <w:b w:val="0"/>
          <w:bCs w:val="0"/>
          <w:lang w:eastAsia="zh-CN"/>
        </w:rPr>
        <w:t>一、</w:t>
      </w:r>
      <w:r>
        <w:rPr>
          <w:rStyle w:val="28"/>
          <w:rFonts w:hint="eastAsia" w:ascii="黑体" w:hAnsi="黑体" w:eastAsia="黑体"/>
          <w:b w:val="0"/>
          <w:bCs w:val="0"/>
        </w:rPr>
        <w:t>主要职责</w:t>
      </w:r>
      <w:bookmarkEnd w:id="17"/>
    </w:p>
    <w:p w14:paraId="42312256">
      <w:pPr>
        <w:pStyle w:val="3"/>
        <w:numPr>
          <w:ilvl w:val="0"/>
          <w:numId w:val="0"/>
        </w:numPr>
        <w:ind w:firstLine="640" w:firstLineChars="200"/>
        <w:rPr>
          <w:rFonts w:hint="eastAsia"/>
          <w:lang w:eastAsia="zh-CN"/>
        </w:rPr>
      </w:pPr>
      <w:bookmarkStart w:id="20" w:name="_Toc4449"/>
      <w:r>
        <w:rPr>
          <w:rFonts w:hint="eastAsia" w:ascii="仿宋_GB2312" w:hAnsi="仿宋" w:eastAsia="仿宋_GB2312"/>
          <w:b w:val="0"/>
          <w:bCs w:val="0"/>
          <w:color w:val="auto"/>
          <w:sz w:val="32"/>
          <w:szCs w:val="32"/>
        </w:rPr>
        <w:t>研究拟定全校教育发展战略法，贯彻执行党和国家的教育方针、政策、法规，贯彻区教体局的行政规章制度；研究拟定学校发展规划和年度计划，组织实施教育体制和办学体制改革，组织开展本校的教育教学科研和教育教学改革，科研兴教，科研兴校。负责对本校教育教学业务的具体管理，负责教育教学管理及教研教改工作，全力推进素质教育实施；管理学校基础教育工作，确保普及九年义务教育工作成果；管理学校教育经费，执行财务管理制度；负责和指导学校教职工的思想政治工作，规划学校品德教育、体育卫生教育、艺术教育和国防安全教育工作。</w:t>
      </w:r>
      <w:bookmarkEnd w:id="20"/>
    </w:p>
    <w:p w14:paraId="700C12A6">
      <w:pPr>
        <w:numPr>
          <w:ilvl w:val="0"/>
          <w:numId w:val="0"/>
        </w:numPr>
      </w:pPr>
    </w:p>
    <w:p w14:paraId="3560FEA7">
      <w:pPr>
        <w:pStyle w:val="3"/>
        <w:numPr>
          <w:ilvl w:val="0"/>
          <w:numId w:val="0"/>
        </w:numPr>
        <w:ind w:leftChars="0" w:firstLine="640" w:firstLineChars="200"/>
        <w:rPr>
          <w:rFonts w:hint="eastAsia" w:ascii="黑体" w:hAnsi="黑体" w:eastAsia="黑体"/>
          <w:b w:val="0"/>
        </w:rPr>
      </w:pPr>
      <w:bookmarkStart w:id="21" w:name="_Toc20345"/>
      <w:r>
        <w:rPr>
          <w:rFonts w:hint="eastAsia" w:ascii="黑体" w:hAnsi="黑体" w:eastAsia="黑体"/>
          <w:b w:val="0"/>
          <w:lang w:eastAsia="zh-CN"/>
        </w:rPr>
        <w:t>二、</w:t>
      </w:r>
      <w:r>
        <w:rPr>
          <w:rFonts w:hint="eastAsia" w:ascii="黑体" w:hAnsi="黑体" w:eastAsia="黑体"/>
          <w:b w:val="0"/>
        </w:rPr>
        <w:t>机构设置</w:t>
      </w:r>
      <w:bookmarkEnd w:id="21"/>
    </w:p>
    <w:p w14:paraId="0DB912B1">
      <w:pPr>
        <w:numPr>
          <w:ilvl w:val="0"/>
          <w:numId w:val="0"/>
        </w:numPr>
        <w:ind w:leftChars="0" w:firstLine="640" w:firstLineChars="200"/>
        <w:rPr>
          <w:rFonts w:hint="eastAsia"/>
          <w:lang w:val="en-US" w:eastAsia="zh-CN"/>
        </w:rPr>
      </w:pPr>
      <w:r>
        <w:rPr>
          <w:rFonts w:hint="eastAsia" w:ascii="仿宋_GB2312" w:hAnsi="仿宋" w:eastAsia="仿宋_GB2312"/>
          <w:color w:val="auto"/>
          <w:sz w:val="32"/>
          <w:szCs w:val="32"/>
        </w:rPr>
        <w:t>我校是一所义务教育小学校。202</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年末，单位机构数为1，机构无增减变动。</w:t>
      </w:r>
    </w:p>
    <w:p w14:paraId="0C6E4B3D">
      <w:pPr>
        <w:numPr>
          <w:ilvl w:val="0"/>
          <w:numId w:val="0"/>
        </w:numPr>
        <w:ind w:leftChars="0"/>
      </w:pPr>
    </w:p>
    <w:bookmarkEnd w:id="18"/>
    <w:bookmarkEnd w:id="19"/>
    <w:p w14:paraId="3EAFD3ED">
      <w:pPr>
        <w:widowControl/>
        <w:jc w:val="left"/>
        <w:rPr>
          <w:rFonts w:ascii="仿宋" w:hAnsi="仿宋" w:eastAsia="仿宋"/>
          <w:kern w:val="0"/>
          <w:sz w:val="32"/>
          <w:szCs w:val="32"/>
        </w:rPr>
      </w:pPr>
      <w:r>
        <w:rPr>
          <w:rFonts w:ascii="仿宋" w:hAnsi="仿宋" w:eastAsia="仿宋"/>
          <w:sz w:val="32"/>
          <w:szCs w:val="32"/>
        </w:rPr>
        <w:br w:type="page"/>
      </w:r>
    </w:p>
    <w:p w14:paraId="1327011E">
      <w:pPr>
        <w:pStyle w:val="2"/>
        <w:ind w:right="440"/>
        <w:jc w:val="center"/>
        <w:rPr>
          <w:rStyle w:val="27"/>
          <w:rFonts w:ascii="黑体" w:hAnsi="黑体" w:eastAsia="黑体"/>
          <w:b w:val="0"/>
          <w:bCs/>
        </w:rPr>
      </w:pPr>
      <w:bookmarkStart w:id="22" w:name="_Toc20885"/>
      <w:bookmarkStart w:id="23" w:name="_Toc15396602"/>
      <w:bookmarkStart w:id="24" w:name="_Toc15377204"/>
      <w:r>
        <w:rPr>
          <w:rFonts w:hint="eastAsia" w:ascii="黑体" w:hAnsi="黑体" w:eastAsia="黑体"/>
          <w:b w:val="0"/>
        </w:rPr>
        <w:t>第二部分 2023年度</w:t>
      </w:r>
      <w:r>
        <w:rPr>
          <w:rStyle w:val="27"/>
          <w:rFonts w:hint="eastAsia" w:ascii="黑体" w:hAnsi="黑体" w:eastAsia="黑体"/>
          <w:b w:val="0"/>
          <w:bCs/>
        </w:rPr>
        <w:t>单位决算情况说明</w:t>
      </w:r>
      <w:bookmarkEnd w:id="22"/>
      <w:bookmarkEnd w:id="23"/>
      <w:bookmarkEnd w:id="24"/>
    </w:p>
    <w:p w14:paraId="4C36118E"/>
    <w:p w14:paraId="070BAEFC">
      <w:pPr>
        <w:pStyle w:val="26"/>
        <w:numPr>
          <w:ilvl w:val="0"/>
          <w:numId w:val="0"/>
        </w:numPr>
        <w:spacing w:line="600" w:lineRule="exact"/>
        <w:ind w:left="640" w:leftChars="0"/>
        <w:outlineLvl w:val="1"/>
        <w:rPr>
          <w:rStyle w:val="28"/>
          <w:rFonts w:ascii="黑体" w:hAnsi="黑体" w:eastAsia="黑体"/>
          <w:b w:val="0"/>
        </w:rPr>
      </w:pPr>
      <w:bookmarkStart w:id="25" w:name="_Toc15396603"/>
      <w:bookmarkStart w:id="26" w:name="_Toc15377205"/>
      <w:bookmarkStart w:id="27" w:name="_Toc4363"/>
      <w:r>
        <w:rPr>
          <w:rFonts w:hint="eastAsia" w:ascii="黑体" w:hAnsi="黑体" w:eastAsia="黑体"/>
          <w:sz w:val="32"/>
          <w:szCs w:val="32"/>
          <w:lang w:eastAsia="zh-CN"/>
        </w:rPr>
        <w:t>一、</w:t>
      </w:r>
      <w:r>
        <w:rPr>
          <w:rFonts w:hint="eastAsia" w:ascii="黑体" w:hAnsi="黑体" w:eastAsia="黑体"/>
          <w:sz w:val="32"/>
          <w:szCs w:val="32"/>
        </w:rPr>
        <w:t>收</w:t>
      </w:r>
      <w:r>
        <w:rPr>
          <w:rStyle w:val="28"/>
          <w:rFonts w:hint="eastAsia" w:ascii="黑体" w:hAnsi="黑体" w:eastAsia="黑体"/>
          <w:b w:val="0"/>
        </w:rPr>
        <w:t>入支出决算总体情况说明</w:t>
      </w:r>
      <w:bookmarkEnd w:id="25"/>
      <w:bookmarkEnd w:id="26"/>
      <w:bookmarkEnd w:id="27"/>
    </w:p>
    <w:p w14:paraId="29CE5035">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1032.19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175.26</w:t>
      </w:r>
      <w:r>
        <w:rPr>
          <w:rFonts w:hint="eastAsia" w:ascii="仿宋" w:hAnsi="仿宋" w:eastAsia="仿宋"/>
          <w:sz w:val="32"/>
          <w:szCs w:val="32"/>
        </w:rPr>
        <w:t>万元，增长</w:t>
      </w:r>
      <w:r>
        <w:rPr>
          <w:rFonts w:hint="eastAsia" w:ascii="仿宋" w:hAnsi="仿宋" w:eastAsia="仿宋"/>
          <w:sz w:val="32"/>
          <w:szCs w:val="32"/>
          <w:lang w:val="en-US" w:eastAsia="zh-CN"/>
        </w:rPr>
        <w:t>2.5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人员工、社保上涨，所以收支增加</w:t>
      </w:r>
      <w:r>
        <w:rPr>
          <w:rFonts w:hint="eastAsia" w:ascii="仿宋" w:hAnsi="仿宋" w:eastAsia="仿宋"/>
          <w:sz w:val="32"/>
          <w:szCs w:val="32"/>
        </w:rPr>
        <w:t>。</w:t>
      </w:r>
    </w:p>
    <w:p w14:paraId="48814687">
      <w:pPr>
        <w:pStyle w:val="18"/>
        <w:outlineLvl w:val="9"/>
        <w:rPr>
          <w:rFonts w:hint="eastAsia" w:ascii="仿宋" w:hAnsi="仿宋" w:eastAsia="仿宋"/>
          <w:sz w:val="32"/>
          <w:szCs w:val="32"/>
        </w:rPr>
      </w:pPr>
      <w:r>
        <w:drawing>
          <wp:inline distT="0" distB="0" distL="114300" distR="114300">
            <wp:extent cx="3362960" cy="2152650"/>
            <wp:effectExtent l="4445" t="4445" r="23495" b="14605"/>
            <wp:docPr id="164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04AEB0">
      <w:pPr>
        <w:rPr>
          <w:rFonts w:hint="eastAsia" w:ascii="仿宋" w:hAnsi="仿宋" w:eastAsia="仿宋"/>
          <w:sz w:val="32"/>
          <w:szCs w:val="32"/>
        </w:rPr>
      </w:pPr>
    </w:p>
    <w:p w14:paraId="7FD9DB1B">
      <w:pPr>
        <w:spacing w:line="600" w:lineRule="exact"/>
        <w:jc w:val="left"/>
        <w:rPr>
          <w:rFonts w:ascii="仿宋_GB2312" w:eastAsia="仿宋_GB2312"/>
          <w:sz w:val="32"/>
          <w:szCs w:val="32"/>
        </w:rPr>
      </w:pPr>
    </w:p>
    <w:p w14:paraId="7FAFAA05">
      <w:pPr>
        <w:pStyle w:val="26"/>
        <w:numPr>
          <w:ilvl w:val="0"/>
          <w:numId w:val="0"/>
        </w:numPr>
        <w:spacing w:line="600" w:lineRule="exact"/>
        <w:ind w:left="640" w:leftChars="0"/>
        <w:outlineLvl w:val="1"/>
        <w:rPr>
          <w:rStyle w:val="28"/>
          <w:rFonts w:ascii="黑体" w:hAnsi="黑体" w:eastAsia="黑体"/>
          <w:b w:val="0"/>
        </w:rPr>
      </w:pPr>
      <w:bookmarkStart w:id="28" w:name="_Toc20602"/>
      <w:bookmarkStart w:id="29" w:name="_Toc15396604"/>
      <w:bookmarkStart w:id="30" w:name="_Toc15377206"/>
      <w:r>
        <w:rPr>
          <w:rFonts w:hint="eastAsia" w:ascii="黑体" w:hAnsi="黑体" w:eastAsia="黑体"/>
          <w:sz w:val="32"/>
          <w:szCs w:val="32"/>
          <w:lang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28"/>
      <w:bookmarkEnd w:id="29"/>
      <w:bookmarkEnd w:id="30"/>
    </w:p>
    <w:p w14:paraId="08387681">
      <w:pPr>
        <w:spacing w:line="600" w:lineRule="exact"/>
        <w:ind w:firstLine="640" w:firstLineChars="200"/>
        <w:outlineLvl w:val="9"/>
        <w:rPr>
          <w:rFonts w:hint="eastAsia" w:ascii="仿宋" w:hAnsi="仿宋" w:eastAsia="仿宋"/>
          <w:sz w:val="32"/>
          <w:szCs w:val="32"/>
          <w:lang w:eastAsia="zh-CN"/>
        </w:rPr>
      </w:pPr>
      <w:r>
        <w:rPr>
          <w:rFonts w:hint="eastAsia" w:ascii="仿宋" w:hAnsi="仿宋" w:eastAsia="仿宋"/>
          <w:sz w:val="32"/>
          <w:szCs w:val="32"/>
        </w:rPr>
        <w:t>2023年度本年收入合计</w:t>
      </w:r>
      <w:r>
        <w:rPr>
          <w:rFonts w:ascii="仿宋" w:hAnsi="仿宋" w:eastAsia="仿宋"/>
          <w:b/>
          <w:sz w:val="32"/>
          <w:szCs w:val="32"/>
        </w:rPr>
        <w:t>1030.69</w:t>
      </w:r>
      <w:r>
        <w:rPr>
          <w:rFonts w:hint="eastAsia" w:ascii="仿宋" w:hAnsi="仿宋" w:eastAsia="仿宋"/>
          <w:sz w:val="32"/>
          <w:szCs w:val="32"/>
        </w:rPr>
        <w:t>万元，其中：一般公共预算财政拨款收入</w:t>
      </w:r>
      <w:r>
        <w:rPr>
          <w:rFonts w:ascii="仿宋" w:hAnsi="仿宋" w:eastAsia="仿宋"/>
          <w:b/>
          <w:sz w:val="32"/>
          <w:szCs w:val="32"/>
        </w:rPr>
        <w:t>1030.69</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lang w:eastAsia="zh-CN"/>
        </w:rPr>
        <w:t>。</w:t>
      </w:r>
    </w:p>
    <w:p w14:paraId="2A850AE2">
      <w:pPr>
        <w:rPr>
          <w:rFonts w:ascii="仿宋" w:hAnsi="仿宋" w:eastAsia="仿宋"/>
          <w:sz w:val="32"/>
          <w:szCs w:val="32"/>
        </w:rPr>
      </w:pPr>
    </w:p>
    <w:p w14:paraId="4F46F00D">
      <w:pPr>
        <w:pStyle w:val="18"/>
        <w:outlineLvl w:val="9"/>
        <w:rPr>
          <w:rFonts w:ascii="仿宋" w:hAnsi="仿宋" w:eastAsia="仿宋"/>
          <w:sz w:val="32"/>
          <w:szCs w:val="32"/>
        </w:rPr>
      </w:pPr>
      <w:r>
        <w:drawing>
          <wp:inline distT="0" distB="0" distL="114300" distR="114300">
            <wp:extent cx="2981960" cy="1752600"/>
            <wp:effectExtent l="4445" t="4445" r="23495" b="14605"/>
            <wp:docPr id="164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BF318A">
      <w:pPr>
        <w:spacing w:line="600" w:lineRule="exact"/>
        <w:rPr>
          <w:rFonts w:ascii="仿宋_GB2312" w:eastAsia="仿宋_GB2312"/>
          <w:sz w:val="32"/>
          <w:szCs w:val="32"/>
        </w:rPr>
      </w:pPr>
    </w:p>
    <w:p w14:paraId="5E1BE915">
      <w:pPr>
        <w:pStyle w:val="26"/>
        <w:numPr>
          <w:ilvl w:val="0"/>
          <w:numId w:val="0"/>
        </w:numPr>
        <w:spacing w:line="600" w:lineRule="exact"/>
        <w:ind w:left="640" w:leftChars="0"/>
        <w:outlineLvl w:val="1"/>
        <w:rPr>
          <w:rStyle w:val="28"/>
          <w:rFonts w:ascii="黑体" w:hAnsi="黑体" w:eastAsia="黑体"/>
          <w:b w:val="0"/>
        </w:rPr>
      </w:pPr>
      <w:bookmarkStart w:id="31" w:name="_Toc15396605"/>
      <w:bookmarkStart w:id="32" w:name="_Toc15377207"/>
      <w:bookmarkStart w:id="33" w:name="_Toc27431"/>
      <w:r>
        <w:rPr>
          <w:rFonts w:hint="eastAsia" w:ascii="黑体" w:hAnsi="黑体" w:eastAsia="黑体"/>
          <w:sz w:val="32"/>
          <w:szCs w:val="32"/>
          <w:lang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31"/>
      <w:bookmarkEnd w:id="32"/>
      <w:bookmarkEnd w:id="33"/>
    </w:p>
    <w:p w14:paraId="1600AF3D">
      <w:pPr>
        <w:spacing w:line="600" w:lineRule="exact"/>
        <w:ind w:firstLine="640" w:firstLineChars="200"/>
        <w:outlineLvl w:val="9"/>
        <w:rPr>
          <w:rFonts w:ascii="仿宋" w:hAnsi="仿宋" w:eastAsia="仿宋"/>
          <w:sz w:val="32"/>
          <w:szCs w:val="32"/>
          <w:shd w:val="pct10" w:color="auto" w:fill="FFFFFF"/>
        </w:rPr>
      </w:pPr>
      <w:r>
        <w:rPr>
          <w:rFonts w:hint="eastAsia" w:ascii="仿宋" w:hAnsi="仿宋" w:eastAsia="仿宋"/>
          <w:sz w:val="32"/>
          <w:szCs w:val="32"/>
        </w:rPr>
        <w:t>2023年度本年支出合计</w:t>
      </w:r>
      <w:r>
        <w:rPr>
          <w:rFonts w:ascii="仿宋" w:hAnsi="仿宋" w:eastAsia="仿宋"/>
          <w:b/>
          <w:sz w:val="32"/>
          <w:szCs w:val="32"/>
        </w:rPr>
        <w:t>1032.19</w:t>
      </w:r>
      <w:r>
        <w:rPr>
          <w:rFonts w:hint="eastAsia" w:ascii="仿宋" w:hAnsi="仿宋" w:eastAsia="仿宋"/>
          <w:sz w:val="32"/>
          <w:szCs w:val="32"/>
        </w:rPr>
        <w:t>万元，其中：基本支出</w:t>
      </w:r>
      <w:r>
        <w:rPr>
          <w:rFonts w:ascii="仿宋" w:hAnsi="仿宋" w:eastAsia="仿宋"/>
          <w:b/>
          <w:sz w:val="32"/>
          <w:szCs w:val="32"/>
        </w:rPr>
        <w:t>983.15</w:t>
      </w:r>
      <w:r>
        <w:rPr>
          <w:rFonts w:hint="eastAsia" w:ascii="仿宋" w:hAnsi="仿宋" w:eastAsia="仿宋"/>
          <w:sz w:val="32"/>
          <w:szCs w:val="32"/>
        </w:rPr>
        <w:t>万元，占</w:t>
      </w:r>
      <w:r>
        <w:rPr>
          <w:rFonts w:ascii="仿宋" w:hAnsi="仿宋" w:eastAsia="仿宋"/>
          <w:b/>
          <w:sz w:val="32"/>
          <w:szCs w:val="32"/>
        </w:rPr>
        <w:t>95.24</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49.04</w:t>
      </w:r>
      <w:r>
        <w:rPr>
          <w:rFonts w:hint="eastAsia" w:ascii="仿宋" w:hAnsi="仿宋" w:eastAsia="仿宋"/>
          <w:sz w:val="32"/>
          <w:szCs w:val="32"/>
        </w:rPr>
        <w:t>万元，占</w:t>
      </w:r>
      <w:r>
        <w:rPr>
          <w:rFonts w:ascii="仿宋" w:hAnsi="仿宋" w:eastAsia="仿宋"/>
          <w:b/>
          <w:sz w:val="32"/>
          <w:szCs w:val="32"/>
        </w:rPr>
        <w:t>4.75</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64540D6">
      <w:r>
        <w:drawing>
          <wp:inline distT="0" distB="0" distL="114300" distR="114300">
            <wp:extent cx="3276600" cy="2294890"/>
            <wp:effectExtent l="4445" t="4445" r="14605" b="5715"/>
            <wp:docPr id="164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EC5AF0">
      <w:pPr>
        <w:spacing w:line="600" w:lineRule="exact"/>
        <w:ind w:firstLine="640" w:firstLineChars="200"/>
        <w:rPr>
          <w:rFonts w:ascii="仿宋_GB2312" w:eastAsia="仿宋_GB2312"/>
          <w:sz w:val="32"/>
          <w:szCs w:val="32"/>
        </w:rPr>
      </w:pPr>
    </w:p>
    <w:p w14:paraId="5A9EFAA7">
      <w:pPr>
        <w:spacing w:line="600" w:lineRule="exact"/>
        <w:ind w:firstLine="640" w:firstLineChars="200"/>
        <w:outlineLvl w:val="1"/>
        <w:rPr>
          <w:rStyle w:val="28"/>
          <w:rFonts w:ascii="黑体" w:hAnsi="黑体" w:eastAsia="黑体"/>
          <w:b w:val="0"/>
        </w:rPr>
      </w:pPr>
      <w:bookmarkStart w:id="34" w:name="_Toc15396606"/>
      <w:bookmarkStart w:id="35" w:name="_Toc15377208"/>
      <w:bookmarkStart w:id="36" w:name="_Toc22754"/>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4"/>
      <w:bookmarkEnd w:id="35"/>
      <w:bookmarkEnd w:id="36"/>
    </w:p>
    <w:p w14:paraId="7011E72E">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1032.19</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175.26</w:t>
      </w:r>
      <w:r>
        <w:rPr>
          <w:rFonts w:hint="eastAsia" w:ascii="仿宋" w:hAnsi="仿宋" w:eastAsia="仿宋"/>
          <w:sz w:val="32"/>
          <w:szCs w:val="32"/>
        </w:rPr>
        <w:t>万元，增长</w:t>
      </w:r>
      <w:r>
        <w:rPr>
          <w:rFonts w:hint="eastAsia" w:ascii="仿宋" w:hAnsi="仿宋" w:eastAsia="仿宋"/>
          <w:sz w:val="32"/>
          <w:szCs w:val="32"/>
          <w:lang w:val="en-US" w:eastAsia="zh-CN"/>
        </w:rPr>
        <w:t>2.5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人员工、社保上涨，所以收支增加。</w:t>
      </w:r>
    </w:p>
    <w:p w14:paraId="30645944">
      <w:pPr>
        <w:pStyle w:val="18"/>
        <w:outlineLvl w:val="9"/>
        <w:rPr>
          <w:rFonts w:ascii="仿宋" w:hAnsi="仿宋" w:eastAsia="仿宋"/>
          <w:sz w:val="32"/>
          <w:szCs w:val="32"/>
        </w:rPr>
      </w:pPr>
      <w:r>
        <w:drawing>
          <wp:inline distT="0" distB="0" distL="114300" distR="114300">
            <wp:extent cx="3248025" cy="2143125"/>
            <wp:effectExtent l="4445" t="4445" r="5080" b="5080"/>
            <wp:docPr id="164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2697F4">
      <w:pPr>
        <w:spacing w:line="600" w:lineRule="exact"/>
        <w:rPr>
          <w:rFonts w:ascii="仿宋" w:hAnsi="仿宋" w:eastAsia="仿宋"/>
          <w:b/>
          <w:sz w:val="32"/>
          <w:szCs w:val="32"/>
        </w:rPr>
      </w:pPr>
    </w:p>
    <w:p w14:paraId="2DCE81D2">
      <w:pPr>
        <w:spacing w:line="600" w:lineRule="exact"/>
        <w:ind w:firstLine="640" w:firstLineChars="200"/>
        <w:outlineLvl w:val="1"/>
        <w:rPr>
          <w:rStyle w:val="28"/>
          <w:rFonts w:ascii="黑体" w:hAnsi="黑体" w:eastAsia="黑体"/>
          <w:b w:val="0"/>
        </w:rPr>
      </w:pPr>
      <w:bookmarkStart w:id="37" w:name="_Toc15455"/>
      <w:bookmarkStart w:id="38" w:name="_Toc15377209"/>
      <w:bookmarkStart w:id="39"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7"/>
      <w:bookmarkEnd w:id="38"/>
      <w:bookmarkEnd w:id="39"/>
    </w:p>
    <w:p w14:paraId="1C348592">
      <w:pPr>
        <w:spacing w:line="600" w:lineRule="exact"/>
        <w:ind w:firstLine="643" w:firstLineChars="200"/>
        <w:outlineLvl w:val="9"/>
        <w:rPr>
          <w:rFonts w:ascii="仿宋" w:hAnsi="仿宋" w:eastAsia="仿宋"/>
          <w:b/>
          <w:sz w:val="32"/>
          <w:szCs w:val="32"/>
        </w:rPr>
      </w:pPr>
      <w:bookmarkStart w:id="40" w:name="_Toc15377210"/>
      <w:r>
        <w:rPr>
          <w:rFonts w:hint="eastAsia" w:ascii="仿宋" w:hAnsi="仿宋" w:eastAsia="仿宋"/>
          <w:b/>
          <w:sz w:val="32"/>
          <w:szCs w:val="32"/>
        </w:rPr>
        <w:t>（一）一般公共预算财政拨款支出决算总体情况</w:t>
      </w:r>
      <w:bookmarkEnd w:id="40"/>
    </w:p>
    <w:p w14:paraId="0BBA01C8">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1032.19</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。与2022年度相比，一般公共预算财政拨款支出增加增加</w:t>
      </w:r>
      <w:r>
        <w:rPr>
          <w:rFonts w:hint="eastAsia" w:ascii="仿宋" w:hAnsi="仿宋" w:eastAsia="仿宋"/>
          <w:sz w:val="32"/>
          <w:szCs w:val="32"/>
          <w:lang w:val="en-US" w:eastAsia="zh-CN"/>
        </w:rPr>
        <w:t>175.26</w:t>
      </w:r>
      <w:r>
        <w:rPr>
          <w:rFonts w:hint="eastAsia" w:ascii="仿宋" w:hAnsi="仿宋" w:eastAsia="仿宋"/>
          <w:sz w:val="32"/>
          <w:szCs w:val="32"/>
        </w:rPr>
        <w:t>万元，增长</w:t>
      </w:r>
      <w:r>
        <w:rPr>
          <w:rFonts w:hint="eastAsia" w:ascii="仿宋" w:hAnsi="仿宋" w:eastAsia="仿宋"/>
          <w:sz w:val="32"/>
          <w:szCs w:val="32"/>
          <w:lang w:val="en-US" w:eastAsia="zh-CN"/>
        </w:rPr>
        <w:t>2.5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人员工、社保上涨，所以收支增加。</w:t>
      </w:r>
    </w:p>
    <w:p w14:paraId="0457011E">
      <w:pPr>
        <w:pStyle w:val="18"/>
        <w:outlineLvl w:val="9"/>
        <w:rPr>
          <w:rFonts w:ascii="仿宋" w:hAnsi="仿宋" w:eastAsia="仿宋"/>
          <w:sz w:val="32"/>
          <w:szCs w:val="32"/>
        </w:rPr>
      </w:pPr>
      <w:r>
        <w:drawing>
          <wp:inline distT="0" distB="0" distL="114300" distR="114300">
            <wp:extent cx="3848100" cy="2248535"/>
            <wp:effectExtent l="4445" t="4445" r="14605" b="13970"/>
            <wp:docPr id="164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3A381B">
      <w:pPr>
        <w:spacing w:line="600" w:lineRule="exact"/>
        <w:rPr>
          <w:rFonts w:ascii="仿宋" w:hAnsi="仿宋" w:eastAsia="仿宋"/>
          <w:sz w:val="32"/>
          <w:szCs w:val="32"/>
        </w:rPr>
      </w:pPr>
    </w:p>
    <w:p w14:paraId="25AC4156">
      <w:pPr>
        <w:spacing w:line="600" w:lineRule="exact"/>
        <w:ind w:firstLine="643" w:firstLineChars="200"/>
        <w:outlineLvl w:val="9"/>
        <w:rPr>
          <w:rFonts w:ascii="仿宋" w:hAnsi="仿宋" w:eastAsia="仿宋"/>
          <w:b/>
          <w:sz w:val="32"/>
          <w:szCs w:val="32"/>
        </w:rPr>
      </w:pPr>
      <w:bookmarkStart w:id="41" w:name="_Toc15377211"/>
      <w:r>
        <w:rPr>
          <w:rFonts w:hint="eastAsia" w:ascii="仿宋" w:hAnsi="仿宋" w:eastAsia="仿宋"/>
          <w:b/>
          <w:sz w:val="32"/>
          <w:szCs w:val="32"/>
        </w:rPr>
        <w:t>（二）一般公共预算财政拨款支出决算结构情况</w:t>
      </w:r>
      <w:bookmarkEnd w:id="41"/>
    </w:p>
    <w:p w14:paraId="21866E43">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1032.19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b/>
          <w:sz w:val="32"/>
          <w:szCs w:val="32"/>
          <w:lang w:val="en-US" w:eastAsia="zh-CN"/>
        </w:rPr>
        <w:t>725.66</w:t>
      </w:r>
      <w:r>
        <w:rPr>
          <w:rFonts w:hint="eastAsia" w:ascii="仿宋" w:hAnsi="仿宋" w:eastAsia="仿宋"/>
          <w:sz w:val="32"/>
          <w:szCs w:val="32"/>
        </w:rPr>
        <w:t>万元，占</w:t>
      </w:r>
      <w:r>
        <w:rPr>
          <w:rFonts w:hint="eastAsia" w:ascii="仿宋" w:hAnsi="仿宋" w:eastAsia="仿宋"/>
          <w:sz w:val="32"/>
          <w:szCs w:val="32"/>
          <w:lang w:val="en-US" w:eastAsia="zh-CN"/>
        </w:rPr>
        <w:t>70.3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146.95</w:t>
      </w:r>
      <w:r>
        <w:rPr>
          <w:rFonts w:hint="eastAsia" w:ascii="仿宋" w:hAnsi="仿宋" w:eastAsia="仿宋"/>
          <w:sz w:val="32"/>
          <w:szCs w:val="32"/>
        </w:rPr>
        <w:t>万元，占</w:t>
      </w:r>
      <w:r>
        <w:rPr>
          <w:rFonts w:hint="eastAsia" w:ascii="仿宋" w:hAnsi="仿宋" w:eastAsia="仿宋"/>
          <w:sz w:val="32"/>
          <w:szCs w:val="32"/>
          <w:lang w:val="en-US" w:eastAsia="zh-CN"/>
        </w:rPr>
        <w:t>14.2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87.21</w:t>
      </w:r>
      <w:r>
        <w:rPr>
          <w:rFonts w:hint="eastAsia" w:ascii="仿宋" w:hAnsi="仿宋" w:eastAsia="仿宋"/>
          <w:sz w:val="32"/>
          <w:szCs w:val="32"/>
        </w:rPr>
        <w:t>万元，占</w:t>
      </w:r>
      <w:r>
        <w:rPr>
          <w:rFonts w:hint="eastAsia" w:ascii="仿宋" w:hAnsi="仿宋" w:eastAsia="仿宋"/>
          <w:sz w:val="32"/>
          <w:szCs w:val="32"/>
          <w:lang w:val="en-US" w:eastAsia="zh-CN"/>
        </w:rPr>
        <w:t>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72.37</w:t>
      </w:r>
      <w:r>
        <w:rPr>
          <w:rFonts w:hint="eastAsia" w:ascii="仿宋" w:hAnsi="仿宋" w:eastAsia="仿宋"/>
          <w:sz w:val="32"/>
          <w:szCs w:val="32"/>
        </w:rPr>
        <w:t>万元，占</w:t>
      </w:r>
      <w:r>
        <w:rPr>
          <w:rFonts w:hint="eastAsia" w:ascii="仿宋" w:hAnsi="仿宋" w:eastAsia="仿宋"/>
          <w:sz w:val="32"/>
          <w:szCs w:val="32"/>
          <w:lang w:val="en-US" w:eastAsia="zh-CN"/>
        </w:rPr>
        <w:t>7.1</w:t>
      </w:r>
      <w:r>
        <w:rPr>
          <w:rFonts w:ascii="仿宋" w:hAnsi="仿宋" w:eastAsia="仿宋"/>
          <w:sz w:val="32"/>
          <w:szCs w:val="32"/>
        </w:rPr>
        <w:t>%</w:t>
      </w:r>
      <w:r>
        <w:rPr>
          <w:rFonts w:hint="eastAsia" w:ascii="仿宋" w:hAnsi="仿宋" w:eastAsia="仿宋"/>
          <w:sz w:val="32"/>
          <w:szCs w:val="32"/>
        </w:rPr>
        <w:t>。</w:t>
      </w:r>
    </w:p>
    <w:p w14:paraId="65274FC0">
      <w:pPr>
        <w:pStyle w:val="18"/>
        <w:outlineLvl w:val="9"/>
        <w:rPr>
          <w:rFonts w:ascii="仿宋" w:hAnsi="仿宋" w:eastAsia="仿宋"/>
          <w:sz w:val="32"/>
          <w:szCs w:val="32"/>
        </w:rPr>
      </w:pPr>
      <w:r>
        <w:drawing>
          <wp:inline distT="0" distB="0" distL="114300" distR="114300">
            <wp:extent cx="3286125" cy="2115185"/>
            <wp:effectExtent l="5080" t="4445" r="4445" b="13970"/>
            <wp:docPr id="164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065E56">
      <w:pPr>
        <w:spacing w:line="600" w:lineRule="exact"/>
        <w:rPr>
          <w:rFonts w:ascii="仿宋" w:hAnsi="仿宋" w:eastAsia="仿宋"/>
          <w:sz w:val="32"/>
          <w:szCs w:val="32"/>
        </w:rPr>
      </w:pPr>
    </w:p>
    <w:p w14:paraId="789EE5DA">
      <w:pPr>
        <w:spacing w:line="600" w:lineRule="exact"/>
        <w:ind w:firstLine="643" w:firstLineChars="200"/>
        <w:outlineLvl w:val="9"/>
        <w:rPr>
          <w:rFonts w:ascii="仿宋" w:hAnsi="仿宋" w:eastAsia="仿宋"/>
          <w:b/>
          <w:sz w:val="32"/>
          <w:szCs w:val="32"/>
        </w:rPr>
      </w:pPr>
      <w:bookmarkStart w:id="42" w:name="_Toc15377212"/>
      <w:r>
        <w:rPr>
          <w:rFonts w:hint="eastAsia" w:ascii="仿宋" w:hAnsi="仿宋" w:eastAsia="仿宋"/>
          <w:b/>
          <w:sz w:val="32"/>
          <w:szCs w:val="32"/>
        </w:rPr>
        <w:t>（三）一般公共预算财政拨款支出决算具体情况</w:t>
      </w:r>
      <w:bookmarkEnd w:id="42"/>
    </w:p>
    <w:p w14:paraId="73EE8896">
      <w:pPr>
        <w:spacing w:line="600" w:lineRule="exact"/>
        <w:ind w:firstLine="643" w:firstLineChars="200"/>
        <w:outlineLvl w:val="9"/>
        <w:rPr>
          <w:rFonts w:ascii="仿宋" w:hAnsi="仿宋" w:eastAsia="仿宋"/>
          <w:sz w:val="32"/>
          <w:szCs w:val="32"/>
        </w:rPr>
      </w:pPr>
      <w:bookmarkStart w:id="43" w:name="_Toc15377213"/>
      <w:bookmarkStart w:id="44" w:name="_Toc15377444"/>
      <w:bookmarkStart w:id="45" w:name="_Toc15378460"/>
      <w:r>
        <w:rPr>
          <w:rFonts w:hint="eastAsia" w:ascii="仿宋" w:hAnsi="仿宋" w:eastAsia="仿宋"/>
          <w:b/>
          <w:sz w:val="32"/>
          <w:szCs w:val="32"/>
        </w:rPr>
        <w:t>2023年度一般公共预算支出决算数为</w:t>
      </w:r>
      <w:r>
        <w:rPr>
          <w:rFonts w:ascii="仿宋" w:hAnsi="仿宋" w:eastAsia="仿宋"/>
          <w:b/>
          <w:sz w:val="32"/>
          <w:szCs w:val="32"/>
        </w:rPr>
        <w:t>1032.19</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3"/>
      <w:bookmarkEnd w:id="44"/>
      <w:bookmarkEnd w:id="45"/>
    </w:p>
    <w:p w14:paraId="7905FC4D">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1</w:t>
      </w:r>
      <w:r>
        <w:rPr>
          <w:rStyle w:val="16"/>
          <w:rFonts w:ascii="仿宋" w:hAnsi="仿宋" w:eastAsia="仿宋"/>
          <w:bCs/>
          <w:sz w:val="32"/>
          <w:szCs w:val="32"/>
        </w:rPr>
        <w:t>.</w:t>
      </w:r>
      <w:r>
        <w:rPr>
          <w:rStyle w:val="16"/>
          <w:rFonts w:hint="eastAsia" w:ascii="仿宋" w:hAnsi="仿宋" w:eastAsia="仿宋"/>
          <w:bCs/>
          <w:sz w:val="32"/>
          <w:szCs w:val="32"/>
        </w:rPr>
        <w:t>教育205（类）02（款）02（项）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724.41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B33A233">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lang w:val="en-US" w:eastAsia="zh-CN"/>
        </w:rPr>
        <w:t>2</w:t>
      </w:r>
      <w:r>
        <w:rPr>
          <w:rStyle w:val="16"/>
          <w:rFonts w:ascii="仿宋" w:hAnsi="仿宋" w:eastAsia="仿宋"/>
          <w:bCs/>
          <w:sz w:val="32"/>
          <w:szCs w:val="32"/>
        </w:rPr>
        <w:t>.</w:t>
      </w:r>
      <w:r>
        <w:rPr>
          <w:rStyle w:val="16"/>
          <w:rFonts w:hint="eastAsia" w:ascii="仿宋" w:hAnsi="仿宋" w:eastAsia="仿宋"/>
          <w:bCs/>
          <w:sz w:val="32"/>
          <w:szCs w:val="32"/>
        </w:rPr>
        <w:t>教育205（类）02（款）03（项）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1.25</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354D4CB">
      <w:pPr>
        <w:spacing w:line="600" w:lineRule="exact"/>
        <w:ind w:firstLine="643" w:firstLineChars="200"/>
        <w:rPr>
          <w:rStyle w:val="16"/>
          <w:rFonts w:hint="eastAsia" w:ascii="仿宋" w:hAnsi="仿宋" w:eastAsia="仿宋"/>
          <w:b w:val="0"/>
          <w:bCs/>
          <w:sz w:val="32"/>
          <w:szCs w:val="32"/>
        </w:rPr>
      </w:pPr>
      <w:r>
        <w:rPr>
          <w:rStyle w:val="16"/>
          <w:rFonts w:hint="eastAsia" w:ascii="仿宋" w:hAnsi="仿宋" w:eastAsia="仿宋" w:cstheme="minorBidi"/>
          <w:bCs/>
          <w:sz w:val="32"/>
          <w:szCs w:val="32"/>
          <w:lang w:val="en-US" w:eastAsia="zh-CN"/>
        </w:rPr>
        <w:t>3.</w:t>
      </w:r>
      <w:r>
        <w:rPr>
          <w:rStyle w:val="16"/>
          <w:rFonts w:hint="eastAsia" w:ascii="仿宋" w:hAnsi="仿宋" w:eastAsia="仿宋"/>
          <w:bCs/>
          <w:sz w:val="32"/>
          <w:szCs w:val="32"/>
        </w:rPr>
        <w:t>教育205（类）</w:t>
      </w:r>
      <w:r>
        <w:rPr>
          <w:rStyle w:val="16"/>
          <w:rFonts w:hint="eastAsia" w:ascii="仿宋" w:hAnsi="仿宋" w:eastAsia="仿宋"/>
          <w:bCs/>
          <w:sz w:val="32"/>
          <w:szCs w:val="32"/>
          <w:lang w:val="en-US" w:eastAsia="zh-CN"/>
        </w:rPr>
        <w:t>09</w:t>
      </w:r>
      <w:r>
        <w:rPr>
          <w:rStyle w:val="16"/>
          <w:rFonts w:hint="eastAsia" w:ascii="仿宋" w:hAnsi="仿宋" w:eastAsia="仿宋"/>
          <w:bCs/>
          <w:sz w:val="32"/>
          <w:szCs w:val="32"/>
        </w:rPr>
        <w:t>（款）</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51.11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EDFCB66">
      <w:p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lang w:val="en-US" w:eastAsia="zh-CN"/>
        </w:rPr>
        <w:t>4</w:t>
      </w:r>
      <w:r>
        <w:rPr>
          <w:rStyle w:val="16"/>
          <w:rFonts w:ascii="仿宋" w:hAnsi="仿宋" w:eastAsia="仿宋"/>
          <w:bCs/>
          <w:sz w:val="32"/>
          <w:szCs w:val="32"/>
        </w:rPr>
        <w:t>.</w:t>
      </w:r>
      <w:r>
        <w:rPr>
          <w:rStyle w:val="16"/>
          <w:rFonts w:hint="eastAsia" w:ascii="仿宋" w:hAnsi="仿宋" w:eastAsia="仿宋"/>
          <w:bCs/>
          <w:sz w:val="32"/>
          <w:szCs w:val="32"/>
        </w:rPr>
        <w:t>社会保障和就业（类）208（款）05（项）02</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39.98</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5654B56F">
      <w:p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Style w:val="16"/>
          <w:rFonts w:hint="eastAsia" w:ascii="仿宋" w:hAnsi="仿宋" w:eastAsia="仿宋"/>
          <w:bCs/>
          <w:sz w:val="32"/>
          <w:szCs w:val="32"/>
        </w:rPr>
        <w:t>社会保障和就业（类）208（款）05（项）05</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85.13</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024D807">
      <w:p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lang w:val="en-US" w:eastAsia="zh-CN"/>
        </w:rPr>
        <w:t>6</w:t>
      </w:r>
      <w:r>
        <w:rPr>
          <w:rStyle w:val="16"/>
          <w:rFonts w:ascii="仿宋" w:hAnsi="仿宋" w:eastAsia="仿宋"/>
          <w:bCs/>
          <w:sz w:val="32"/>
          <w:szCs w:val="32"/>
        </w:rPr>
        <w:t>.</w:t>
      </w:r>
      <w:r>
        <w:rPr>
          <w:rStyle w:val="16"/>
          <w:rFonts w:hint="eastAsia" w:ascii="仿宋" w:hAnsi="仿宋" w:eastAsia="仿宋"/>
          <w:bCs/>
          <w:sz w:val="32"/>
          <w:szCs w:val="32"/>
        </w:rPr>
        <w:t>社会保障和就业（类）208（款）05（项）06</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0.01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E564E9C">
      <w:pPr>
        <w:spacing w:line="600" w:lineRule="exact"/>
        <w:ind w:firstLine="643" w:firstLineChars="200"/>
        <w:rPr>
          <w:rFonts w:ascii="仿宋" w:hAnsi="仿宋" w:eastAsia="仿宋"/>
          <w:b/>
          <w:bCs/>
          <w:sz w:val="32"/>
          <w:szCs w:val="32"/>
        </w:rPr>
      </w:pPr>
      <w:r>
        <w:rPr>
          <w:rStyle w:val="16"/>
          <w:rFonts w:hint="eastAsia" w:ascii="仿宋" w:hAnsi="仿宋" w:eastAsia="仿宋"/>
          <w:bCs/>
          <w:sz w:val="32"/>
          <w:szCs w:val="32"/>
          <w:lang w:val="en-US" w:eastAsia="zh-CN"/>
        </w:rPr>
        <w:t>7</w:t>
      </w:r>
      <w:r>
        <w:rPr>
          <w:rStyle w:val="16"/>
          <w:rFonts w:ascii="仿宋" w:hAnsi="仿宋" w:eastAsia="仿宋"/>
          <w:bCs/>
          <w:sz w:val="32"/>
          <w:szCs w:val="32"/>
        </w:rPr>
        <w:t>.</w:t>
      </w:r>
      <w:r>
        <w:rPr>
          <w:rStyle w:val="16"/>
          <w:rFonts w:hint="eastAsia" w:ascii="仿宋" w:hAnsi="仿宋" w:eastAsia="仿宋"/>
          <w:bCs/>
          <w:sz w:val="32"/>
          <w:szCs w:val="32"/>
        </w:rPr>
        <w:t>社会保障和就业（类）208（款）08（项）01</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21.83</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100E073">
      <w:p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lang w:val="en-US" w:eastAsia="zh-CN"/>
        </w:rPr>
        <w:t>8</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（类）210（款）11（项）02</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45.91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4C1533D">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9</w:t>
      </w:r>
      <w:r>
        <w:rPr>
          <w:rStyle w:val="16"/>
          <w:rFonts w:ascii="仿宋" w:hAnsi="仿宋" w:eastAsia="仿宋"/>
          <w:bCs/>
          <w:sz w:val="32"/>
          <w:szCs w:val="32"/>
        </w:rPr>
        <w:t>.</w:t>
      </w:r>
      <w:r>
        <w:rPr>
          <w:rFonts w:hint="eastAsia" w:ascii="仿宋" w:hAnsi="仿宋" w:eastAsia="仿宋"/>
          <w:b/>
          <w:bCs/>
          <w:sz w:val="32"/>
          <w:szCs w:val="32"/>
        </w:rPr>
        <w:t>卫生健康</w:t>
      </w:r>
      <w:r>
        <w:rPr>
          <w:rStyle w:val="16"/>
          <w:rFonts w:hint="eastAsia" w:ascii="仿宋" w:hAnsi="仿宋" w:eastAsia="仿宋"/>
          <w:bCs/>
          <w:sz w:val="32"/>
          <w:szCs w:val="32"/>
        </w:rPr>
        <w:t>（类）210（款）11（项）</w:t>
      </w:r>
      <w:r>
        <w:rPr>
          <w:rStyle w:val="16"/>
          <w:rFonts w:hint="eastAsia" w:ascii="仿宋" w:hAnsi="仿宋" w:eastAsia="仿宋"/>
          <w:bCs/>
          <w:sz w:val="32"/>
          <w:szCs w:val="32"/>
          <w:lang w:val="en-US" w:eastAsia="zh-CN"/>
        </w:rPr>
        <w:t>99</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41.3</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FE7CC96">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rPr>
        <w:t>1</w:t>
      </w:r>
      <w:r>
        <w:rPr>
          <w:rStyle w:val="16"/>
          <w:rFonts w:hint="eastAsia" w:ascii="仿宋" w:hAnsi="仿宋" w:eastAsia="仿宋"/>
          <w:bCs/>
          <w:sz w:val="32"/>
          <w:szCs w:val="32"/>
          <w:lang w:val="en-US" w:eastAsia="zh-CN"/>
        </w:rPr>
        <w:t>1</w:t>
      </w:r>
      <w:r>
        <w:rPr>
          <w:rStyle w:val="16"/>
          <w:rFonts w:ascii="仿宋" w:hAnsi="仿宋" w:eastAsia="仿宋"/>
          <w:bCs/>
          <w:sz w:val="32"/>
          <w:szCs w:val="32"/>
        </w:rPr>
        <w:t>. 住房保障</w:t>
      </w:r>
      <w:r>
        <w:rPr>
          <w:rStyle w:val="16"/>
          <w:rFonts w:hint="eastAsia" w:ascii="仿宋" w:hAnsi="仿宋" w:eastAsia="仿宋"/>
          <w:bCs/>
          <w:sz w:val="32"/>
          <w:szCs w:val="32"/>
        </w:rPr>
        <w:t>（类）221（款）02（项）01</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72.37</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3E8C6F71">
      <w:pPr>
        <w:spacing w:line="600" w:lineRule="exact"/>
        <w:ind w:firstLine="640"/>
        <w:rPr>
          <w:rFonts w:ascii="仿宋" w:hAnsi="仿宋" w:eastAsia="仿宋"/>
          <w:b/>
          <w:sz w:val="32"/>
          <w:szCs w:val="32"/>
        </w:rPr>
      </w:pPr>
    </w:p>
    <w:p w14:paraId="01E76120">
      <w:pPr>
        <w:tabs>
          <w:tab w:val="right" w:pos="8306"/>
        </w:tabs>
        <w:spacing w:line="600" w:lineRule="exact"/>
        <w:ind w:firstLine="640"/>
        <w:outlineLvl w:val="1"/>
        <w:rPr>
          <w:rStyle w:val="28"/>
        </w:rPr>
      </w:pPr>
      <w:bookmarkStart w:id="46" w:name="_Toc6670"/>
      <w:bookmarkStart w:id="47" w:name="_Toc15396608"/>
      <w:bookmarkStart w:id="48"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6"/>
      <w:bookmarkEnd w:id="47"/>
      <w:bookmarkEnd w:id="48"/>
      <w:r>
        <w:rPr>
          <w:rStyle w:val="28"/>
          <w:rFonts w:ascii="黑体" w:hAnsi="黑体" w:eastAsia="黑体"/>
          <w:b w:val="0"/>
        </w:rPr>
        <w:tab/>
      </w:r>
    </w:p>
    <w:p w14:paraId="6317DACE">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983.15</w:t>
      </w:r>
      <w:r>
        <w:rPr>
          <w:rFonts w:hint="eastAsia" w:ascii="仿宋" w:hAnsi="仿宋" w:eastAsia="仿宋"/>
          <w:sz w:val="32"/>
          <w:szCs w:val="32"/>
        </w:rPr>
        <w:t>万元，其中：</w:t>
      </w:r>
    </w:p>
    <w:p w14:paraId="4DF9A4A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963.02</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20.13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25B50EF8">
      <w:pPr>
        <w:spacing w:line="600" w:lineRule="exact"/>
        <w:ind w:firstLine="640"/>
        <w:rPr>
          <w:rFonts w:ascii="仿宋" w:hAnsi="仿宋" w:eastAsia="仿宋"/>
          <w:b/>
          <w:sz w:val="32"/>
          <w:szCs w:val="32"/>
        </w:rPr>
      </w:pPr>
    </w:p>
    <w:p w14:paraId="23C38DB2">
      <w:pPr>
        <w:spacing w:line="600" w:lineRule="exact"/>
        <w:ind w:firstLine="640"/>
        <w:outlineLvl w:val="1"/>
        <w:rPr>
          <w:rStyle w:val="28"/>
          <w:rFonts w:ascii="黑体" w:hAnsi="黑体" w:eastAsia="黑体"/>
          <w:b w:val="0"/>
        </w:rPr>
      </w:pPr>
      <w:bookmarkStart w:id="49" w:name="_Toc15396609"/>
      <w:bookmarkStart w:id="50" w:name="_Toc32253"/>
      <w:bookmarkStart w:id="51"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49"/>
      <w:bookmarkEnd w:id="50"/>
      <w:bookmarkEnd w:id="51"/>
    </w:p>
    <w:p w14:paraId="45350026">
      <w:pPr>
        <w:spacing w:line="600" w:lineRule="exact"/>
        <w:ind w:firstLine="640"/>
        <w:outlineLvl w:val="9"/>
        <w:rPr>
          <w:rFonts w:ascii="仿宋" w:hAnsi="仿宋" w:eastAsia="仿宋"/>
          <w:b/>
          <w:sz w:val="32"/>
          <w:szCs w:val="32"/>
        </w:rPr>
      </w:pPr>
      <w:bookmarkStart w:id="52" w:name="_Toc15377216"/>
      <w:bookmarkStart w:id="53" w:name="_Toc15377218"/>
      <w:bookmarkStart w:id="54" w:name="_Toc15396610"/>
      <w:r>
        <w:rPr>
          <w:rFonts w:hint="eastAsia" w:ascii="仿宋" w:hAnsi="仿宋" w:eastAsia="仿宋"/>
          <w:b/>
          <w:sz w:val="32"/>
          <w:szCs w:val="32"/>
        </w:rPr>
        <w:t>（一）“三公”经费财政拨款支出决算总体情况说明</w:t>
      </w:r>
      <w:bookmarkEnd w:id="52"/>
    </w:p>
    <w:p w14:paraId="31606441">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，决算数与预算数持平。</w:t>
      </w:r>
    </w:p>
    <w:p w14:paraId="10B9C414">
      <w:pPr>
        <w:spacing w:line="600" w:lineRule="exact"/>
        <w:ind w:firstLine="640"/>
        <w:outlineLvl w:val="9"/>
        <w:rPr>
          <w:rFonts w:ascii="仿宋" w:hAnsi="仿宋" w:eastAsia="仿宋"/>
          <w:b/>
          <w:sz w:val="32"/>
          <w:szCs w:val="32"/>
        </w:rPr>
      </w:pPr>
      <w:bookmarkStart w:id="55" w:name="_Toc15377217"/>
      <w:r>
        <w:rPr>
          <w:rFonts w:hint="eastAsia" w:ascii="仿宋" w:hAnsi="仿宋" w:eastAsia="仿宋"/>
          <w:b/>
          <w:sz w:val="32"/>
          <w:szCs w:val="32"/>
        </w:rPr>
        <w:t>（二）“三公”经费财政拨款支出决算具体情况说明</w:t>
      </w:r>
      <w:bookmarkEnd w:id="55"/>
    </w:p>
    <w:p w14:paraId="7FF8AF45">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227D614E">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w:t>
      </w:r>
      <w:r>
        <w:rPr>
          <w:rFonts w:hint="eastAsia" w:ascii="仿宋" w:hAnsi="仿宋" w:eastAsia="仿宋"/>
          <w:sz w:val="32"/>
          <w:szCs w:val="32"/>
        </w:rPr>
        <w:t>决算数与预算数持平。</w:t>
      </w:r>
    </w:p>
    <w:p w14:paraId="10ACF380">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 w:hAnsi="仿宋" w:eastAsia="仿宋"/>
          <w:sz w:val="32"/>
          <w:szCs w:val="32"/>
        </w:rPr>
        <w:t>决算数与预算数持平。</w:t>
      </w:r>
    </w:p>
    <w:p w14:paraId="3824E72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3BD039E1">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14:paraId="6CF1C3BD">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 w:hAnsi="仿宋" w:eastAsia="仿宋"/>
          <w:sz w:val="32"/>
          <w:szCs w:val="32"/>
        </w:rPr>
        <w:t>决算数与预算数持平。</w:t>
      </w:r>
      <w:r>
        <w:rPr>
          <w:rFonts w:hint="eastAsia" w:ascii="仿宋_GB2312" w:eastAsia="仿宋_GB2312"/>
          <w:sz w:val="32"/>
          <w:szCs w:val="32"/>
        </w:rPr>
        <w:t>其中：</w:t>
      </w:r>
    </w:p>
    <w:p w14:paraId="7AAE0BAC">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主要用于(执行公务、开展业务活动开支的交通费、住宿费、用餐费等)。国内公务接待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 w:hAnsi="仿宋" w:eastAsia="仿宋"/>
          <w:sz w:val="32"/>
          <w:szCs w:val="32"/>
        </w:rPr>
        <w:t>决算数与预算数持平。</w:t>
      </w:r>
    </w:p>
    <w:p w14:paraId="4C260AA6">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 w:hAnsi="仿宋" w:eastAsia="仿宋"/>
          <w:sz w:val="32"/>
          <w:szCs w:val="32"/>
        </w:rPr>
        <w:t>决算数与预算数持平。</w:t>
      </w:r>
    </w:p>
    <w:p w14:paraId="1E613832">
      <w:pPr>
        <w:spacing w:line="600" w:lineRule="exact"/>
        <w:ind w:firstLine="640"/>
        <w:outlineLvl w:val="9"/>
        <w:rPr>
          <w:rFonts w:ascii="黑体" w:eastAsia="黑体"/>
          <w:sz w:val="32"/>
          <w:szCs w:val="32"/>
        </w:rPr>
      </w:pPr>
    </w:p>
    <w:p w14:paraId="5D0575FE">
      <w:pPr>
        <w:spacing w:line="600" w:lineRule="exact"/>
        <w:ind w:firstLine="640"/>
        <w:outlineLvl w:val="1"/>
        <w:rPr>
          <w:rStyle w:val="28"/>
          <w:rFonts w:ascii="黑体" w:hAnsi="黑体" w:eastAsia="黑体"/>
        </w:rPr>
      </w:pPr>
      <w:bookmarkStart w:id="56" w:name="_Toc23274"/>
      <w:r>
        <w:rPr>
          <w:rFonts w:hint="eastAsia" w:ascii="黑体" w:eastAsia="黑体"/>
          <w:sz w:val="32"/>
          <w:szCs w:val="32"/>
        </w:rPr>
        <w:t>八、</w:t>
      </w:r>
      <w:r>
        <w:rPr>
          <w:rStyle w:val="28"/>
          <w:rFonts w:hint="eastAsia" w:ascii="黑体" w:hAnsi="黑体" w:eastAsia="黑体"/>
          <w:b w:val="0"/>
        </w:rPr>
        <w:t>政府性基金预算支出决算情况说明</w:t>
      </w:r>
      <w:bookmarkEnd w:id="53"/>
      <w:bookmarkEnd w:id="54"/>
      <w:bookmarkEnd w:id="56"/>
    </w:p>
    <w:p w14:paraId="0C5F2989">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12F7F719">
      <w:pPr>
        <w:spacing w:line="600" w:lineRule="exact"/>
        <w:ind w:firstLine="640"/>
        <w:rPr>
          <w:rFonts w:ascii="仿宋_GB2312" w:eastAsia="仿宋_GB2312"/>
          <w:sz w:val="32"/>
          <w:szCs w:val="32"/>
        </w:rPr>
      </w:pPr>
    </w:p>
    <w:p w14:paraId="7189327F">
      <w:pPr>
        <w:numPr>
          <w:ilvl w:val="0"/>
          <w:numId w:val="0"/>
        </w:numPr>
        <w:spacing w:line="600" w:lineRule="exact"/>
        <w:ind w:firstLine="640" w:firstLineChars="200"/>
        <w:outlineLvl w:val="1"/>
        <w:rPr>
          <w:rStyle w:val="28"/>
          <w:rFonts w:ascii="黑体" w:hAnsi="黑体" w:eastAsia="黑体"/>
          <w:b w:val="0"/>
        </w:rPr>
      </w:pPr>
      <w:bookmarkStart w:id="57" w:name="_Toc15396611"/>
      <w:bookmarkStart w:id="58" w:name="_Toc15377219"/>
      <w:bookmarkStart w:id="59" w:name="_Toc27362"/>
      <w:r>
        <w:rPr>
          <w:rStyle w:val="28"/>
          <w:rFonts w:hint="eastAsia" w:ascii="黑体" w:hAnsi="黑体" w:eastAsia="黑体"/>
          <w:b w:val="0"/>
          <w:lang w:eastAsia="zh-CN"/>
        </w:rPr>
        <w:t>九、</w:t>
      </w:r>
      <w:r>
        <w:rPr>
          <w:rStyle w:val="28"/>
          <w:rFonts w:hint="eastAsia" w:ascii="黑体" w:hAnsi="黑体" w:eastAsia="黑体"/>
          <w:b w:val="0"/>
        </w:rPr>
        <w:t>国有资本经营预算支出决算情况说明</w:t>
      </w:r>
      <w:bookmarkEnd w:id="57"/>
      <w:bookmarkEnd w:id="58"/>
      <w:bookmarkEnd w:id="59"/>
    </w:p>
    <w:p w14:paraId="3BA485C3">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53E950CD">
      <w:pPr>
        <w:spacing w:line="580" w:lineRule="exact"/>
        <w:jc w:val="center"/>
        <w:rPr>
          <w:rFonts w:ascii="方正小标宋简体" w:hAnsi="方正小标宋简体" w:eastAsia="方正小标宋简体" w:cs="方正小标宋简体"/>
          <w:sz w:val="44"/>
          <w:szCs w:val="44"/>
        </w:rPr>
      </w:pPr>
    </w:p>
    <w:p w14:paraId="1E92A2C6">
      <w:pPr>
        <w:numPr>
          <w:ilvl w:val="0"/>
          <w:numId w:val="0"/>
        </w:numPr>
        <w:spacing w:line="600" w:lineRule="exact"/>
        <w:ind w:firstLine="640" w:firstLineChars="200"/>
        <w:outlineLvl w:val="1"/>
        <w:rPr>
          <w:rStyle w:val="28"/>
          <w:rFonts w:ascii="黑体" w:hAnsi="黑体" w:eastAsia="黑体"/>
          <w:b w:val="0"/>
        </w:rPr>
      </w:pPr>
      <w:bookmarkStart w:id="60" w:name="_Toc15396612"/>
      <w:bookmarkStart w:id="61" w:name="_Toc15377221"/>
      <w:bookmarkStart w:id="62" w:name="_Toc17394"/>
      <w:r>
        <w:rPr>
          <w:rStyle w:val="28"/>
          <w:rFonts w:hint="eastAsia" w:ascii="黑体" w:hAnsi="黑体" w:eastAsia="黑体"/>
          <w:b w:val="0"/>
          <w:lang w:eastAsia="zh-CN"/>
        </w:rPr>
        <w:t>十、</w:t>
      </w:r>
      <w:r>
        <w:rPr>
          <w:rStyle w:val="28"/>
          <w:rFonts w:hint="eastAsia" w:ascii="黑体" w:hAnsi="黑体" w:eastAsia="黑体"/>
          <w:b w:val="0"/>
        </w:rPr>
        <w:t>其他重要事项的情况说明</w:t>
      </w:r>
      <w:bookmarkEnd w:id="60"/>
      <w:bookmarkEnd w:id="61"/>
      <w:bookmarkEnd w:id="62"/>
    </w:p>
    <w:p w14:paraId="7D38A44D">
      <w:pPr>
        <w:spacing w:line="600" w:lineRule="exact"/>
        <w:ind w:firstLine="643" w:firstLineChars="200"/>
        <w:outlineLvl w:val="9"/>
        <w:rPr>
          <w:rFonts w:ascii="仿宋" w:hAnsi="仿宋" w:eastAsia="仿宋"/>
          <w:sz w:val="32"/>
          <w:szCs w:val="32"/>
        </w:rPr>
      </w:pPr>
      <w:bookmarkStart w:id="63" w:name="_Toc15377222"/>
      <w:r>
        <w:rPr>
          <w:rFonts w:hint="eastAsia" w:ascii="仿宋" w:hAnsi="仿宋" w:eastAsia="仿宋"/>
          <w:b/>
          <w:sz w:val="32"/>
          <w:szCs w:val="32"/>
        </w:rPr>
        <w:t>（一）机关运行经费支出情况</w:t>
      </w:r>
      <w:bookmarkEnd w:id="63"/>
    </w:p>
    <w:p w14:paraId="1CEF5343">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攀枝花市第十九小学校</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w:t>
      </w:r>
      <w:r>
        <w:rPr>
          <w:rFonts w:hint="eastAsia" w:ascii="仿宋" w:hAnsi="仿宋" w:eastAsia="仿宋"/>
          <w:sz w:val="32"/>
          <w:szCs w:val="32"/>
        </w:rPr>
        <w:t>决算数与预算数持平。</w:t>
      </w:r>
    </w:p>
    <w:p w14:paraId="02CD1203">
      <w:pPr>
        <w:autoSpaceDE w:val="0"/>
        <w:autoSpaceDN w:val="0"/>
        <w:adjustRightInd w:val="0"/>
        <w:spacing w:line="600" w:lineRule="exact"/>
        <w:ind w:firstLine="643" w:firstLineChars="200"/>
        <w:jc w:val="left"/>
        <w:outlineLvl w:val="9"/>
        <w:rPr>
          <w:rFonts w:ascii="仿宋" w:hAnsi="仿宋" w:eastAsia="仿宋"/>
          <w:b/>
          <w:sz w:val="32"/>
          <w:szCs w:val="32"/>
        </w:rPr>
      </w:pPr>
      <w:bookmarkStart w:id="64" w:name="_Toc15377223"/>
      <w:r>
        <w:rPr>
          <w:rFonts w:hint="eastAsia" w:ascii="仿宋" w:hAnsi="仿宋" w:eastAsia="仿宋"/>
          <w:b/>
          <w:sz w:val="32"/>
          <w:szCs w:val="32"/>
        </w:rPr>
        <w:t>（二）政府采购支出情况</w:t>
      </w:r>
      <w:bookmarkEnd w:id="64"/>
    </w:p>
    <w:p w14:paraId="2BB2FDA0">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攀枝花市第十九小学校</w:t>
      </w:r>
      <w:r>
        <w:rPr>
          <w:rFonts w:hint="eastAsia" w:ascii="仿宋_GB2312" w:eastAsia="仿宋_GB2312"/>
          <w:sz w:val="32"/>
          <w:szCs w:val="32"/>
        </w:rPr>
        <w:t>政府采购支出总额</w:t>
      </w:r>
      <w:r>
        <w:rPr>
          <w:rFonts w:ascii="仿宋" w:hAnsi="仿宋" w:eastAsia="仿宋"/>
          <w:b/>
          <w:sz w:val="32"/>
          <w:szCs w:val="32"/>
        </w:rPr>
        <w:t>15.89</w:t>
      </w:r>
      <w:r>
        <w:rPr>
          <w:rFonts w:hint="eastAsia" w:ascii="仿宋_GB2312" w:eastAsia="仿宋_GB2312"/>
          <w:sz w:val="32"/>
          <w:szCs w:val="32"/>
        </w:rPr>
        <w:t>万元，其中：政府采购货物支出</w:t>
      </w:r>
      <w:r>
        <w:rPr>
          <w:rFonts w:ascii="仿宋" w:hAnsi="仿宋" w:eastAsia="仿宋"/>
          <w:b/>
          <w:sz w:val="32"/>
          <w:szCs w:val="32"/>
        </w:rPr>
        <w:t>15.89</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hint="eastAsia" w:ascii="仿宋_GB2312" w:eastAsia="仿宋_GB2312"/>
          <w:sz w:val="32"/>
          <w:szCs w:val="32"/>
          <w:lang w:eastAsia="zh-CN"/>
        </w:rPr>
        <w:t>学校基本设施设备采购</w:t>
      </w:r>
      <w:r>
        <w:rPr>
          <w:rFonts w:hint="eastAsia" w:ascii="仿宋_GB2312" w:eastAsia="仿宋_GB2312"/>
          <w:sz w:val="32"/>
          <w:szCs w:val="32"/>
        </w:rPr>
        <w:t>。授予中小企业合同金额</w:t>
      </w:r>
      <w:r>
        <w:rPr>
          <w:rFonts w:ascii="仿宋" w:hAnsi="仿宋" w:eastAsia="仿宋"/>
          <w:b/>
          <w:sz w:val="32"/>
          <w:szCs w:val="32"/>
        </w:rPr>
        <w:t>15.89</w:t>
      </w:r>
      <w:r>
        <w:rPr>
          <w:rFonts w:hint="eastAsia" w:ascii="仿宋_GB2312" w:eastAsia="仿宋_GB2312"/>
          <w:sz w:val="32"/>
          <w:szCs w:val="32"/>
        </w:rPr>
        <w:t>万元，占政府采购支出总额的</w:t>
      </w:r>
      <w:r>
        <w:rPr>
          <w:rFonts w:ascii="仿宋_GB2312" w:eastAsia="仿宋_GB2312"/>
          <w:sz w:val="32"/>
          <w:szCs w:val="32"/>
        </w:rPr>
        <w:t>1</w:t>
      </w:r>
      <w:r>
        <w:rPr>
          <w:rFonts w:hint="eastAsia" w:ascii="仿宋_GB2312" w:eastAsia="仿宋_GB2312"/>
          <w:sz w:val="32"/>
          <w:szCs w:val="32"/>
          <w:lang w:val="en-US" w:eastAsia="zh-CN"/>
        </w:rPr>
        <w:t>00</w:t>
      </w:r>
      <w:r>
        <w:rPr>
          <w:rFonts w:ascii="仿宋_GB2312" w:eastAsia="仿宋_GB2312"/>
          <w:sz w:val="32"/>
          <w:szCs w:val="32"/>
        </w:rPr>
        <w:t>%</w:t>
      </w:r>
      <w:r>
        <w:rPr>
          <w:rFonts w:hint="eastAsia" w:ascii="仿宋_GB2312" w:eastAsia="仿宋_GB2312"/>
          <w:sz w:val="32"/>
          <w:szCs w:val="32"/>
        </w:rPr>
        <w:t>，其中：授予小微企业合同金额</w:t>
      </w:r>
      <w:r>
        <w:rPr>
          <w:rFonts w:ascii="仿宋" w:hAnsi="仿宋" w:eastAsia="仿宋"/>
          <w:b/>
          <w:sz w:val="32"/>
          <w:szCs w:val="32"/>
        </w:rPr>
        <w:t>15.89</w:t>
      </w:r>
      <w:r>
        <w:rPr>
          <w:rFonts w:hint="eastAsia" w:ascii="仿宋_GB2312" w:eastAsia="仿宋_GB2312"/>
          <w:sz w:val="32"/>
          <w:szCs w:val="32"/>
        </w:rPr>
        <w:t>万元，占政府采购支出总额的</w:t>
      </w:r>
      <w:r>
        <w:rPr>
          <w:rFonts w:ascii="仿宋_GB2312" w:eastAsia="仿宋_GB2312"/>
          <w:b/>
          <w:sz w:val="32"/>
          <w:szCs w:val="32"/>
        </w:rPr>
        <w:t>100</w:t>
      </w:r>
      <w:r>
        <w:rPr>
          <w:rFonts w:ascii="仿宋_GB2312" w:eastAsia="仿宋_GB2312"/>
          <w:sz w:val="32"/>
          <w:szCs w:val="32"/>
        </w:rPr>
        <w:t>%</w:t>
      </w:r>
      <w:r>
        <w:rPr>
          <w:rFonts w:hint="eastAsia" w:ascii="仿宋_GB2312" w:eastAsia="仿宋_GB2312"/>
          <w:sz w:val="32"/>
          <w:szCs w:val="32"/>
        </w:rPr>
        <w:t>。</w:t>
      </w:r>
    </w:p>
    <w:p w14:paraId="606D51DB">
      <w:pPr>
        <w:autoSpaceDE w:val="0"/>
        <w:autoSpaceDN w:val="0"/>
        <w:adjustRightInd w:val="0"/>
        <w:spacing w:line="600" w:lineRule="exact"/>
        <w:ind w:firstLine="643" w:firstLineChars="200"/>
        <w:jc w:val="left"/>
        <w:outlineLvl w:val="9"/>
        <w:rPr>
          <w:rFonts w:ascii="仿宋" w:hAnsi="仿宋" w:eastAsia="仿宋"/>
          <w:b/>
          <w:sz w:val="32"/>
          <w:szCs w:val="32"/>
        </w:rPr>
      </w:pPr>
      <w:bookmarkStart w:id="65" w:name="_Toc15377224"/>
      <w:r>
        <w:rPr>
          <w:rFonts w:hint="eastAsia" w:ascii="仿宋" w:hAnsi="仿宋" w:eastAsia="仿宋"/>
          <w:b/>
          <w:sz w:val="32"/>
          <w:szCs w:val="32"/>
        </w:rPr>
        <w:t>（三）国有资产占有使用情况</w:t>
      </w:r>
      <w:bookmarkEnd w:id="65"/>
    </w:p>
    <w:p w14:paraId="24D1C3D4">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攀枝花市第十九小学校</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12245F7B">
      <w:pPr>
        <w:autoSpaceDE w:val="0"/>
        <w:autoSpaceDN w:val="0"/>
        <w:adjustRightInd w:val="0"/>
        <w:spacing w:line="600" w:lineRule="exact"/>
        <w:ind w:firstLine="640" w:firstLineChars="200"/>
        <w:jc w:val="left"/>
        <w:rPr>
          <w:rFonts w:ascii="仿宋_GB2312" w:eastAsia="仿宋_GB2312"/>
          <w:sz w:val="32"/>
          <w:szCs w:val="32"/>
        </w:rPr>
      </w:pPr>
    </w:p>
    <w:p w14:paraId="7902F17D">
      <w:pPr>
        <w:autoSpaceDE w:val="0"/>
        <w:autoSpaceDN w:val="0"/>
        <w:adjustRightInd w:val="0"/>
        <w:spacing w:line="600" w:lineRule="exact"/>
        <w:ind w:firstLine="643" w:firstLineChars="200"/>
        <w:jc w:val="left"/>
        <w:outlineLvl w:val="9"/>
        <w:rPr>
          <w:rFonts w:ascii="仿宋" w:hAnsi="仿宋" w:eastAsia="仿宋"/>
          <w:b/>
          <w:sz w:val="32"/>
          <w:szCs w:val="32"/>
        </w:rPr>
      </w:pPr>
      <w:r>
        <w:rPr>
          <w:rFonts w:hint="eastAsia" w:ascii="仿宋" w:hAnsi="仿宋" w:eastAsia="仿宋"/>
          <w:b/>
          <w:sz w:val="32"/>
          <w:szCs w:val="32"/>
        </w:rPr>
        <w:t>（四）预算绩效管理情况</w:t>
      </w:r>
    </w:p>
    <w:p w14:paraId="38D71D09">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“城乡义务教育补助经费-公用经费（中央）”、“义务教育薄弱环节改善与能力提升中央补助资金市十九小”、“国有企业退休人员人事档案管理工作”</w:t>
      </w:r>
      <w:r>
        <w:rPr>
          <w:rFonts w:hint="eastAsia" w:ascii="仿宋_GB2312" w:eastAsia="仿宋_GB2312"/>
          <w:sz w:val="32"/>
          <w:szCs w:val="32"/>
        </w:rPr>
        <w:t>项目等</w:t>
      </w:r>
      <w:r>
        <w:rPr>
          <w:rFonts w:hint="eastAsia" w:ascii="仿宋_GB2312" w:eastAsia="仿宋_GB2312"/>
          <w:sz w:val="32"/>
          <w:szCs w:val="32"/>
          <w:lang w:val="en-US" w:eastAsia="zh-CN"/>
        </w:rPr>
        <w:t>5</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w:t>
      </w:r>
      <w:bookmarkStart w:id="100" w:name="_GoBack"/>
      <w:bookmarkEnd w:id="100"/>
      <w:r>
        <w:rPr>
          <w:rFonts w:hint="eastAsia" w:ascii="仿宋_GB2312" w:eastAsia="仿宋_GB2312"/>
          <w:sz w:val="32"/>
          <w:szCs w:val="32"/>
        </w:rPr>
        <w:t>个项目开展绩效自评，绩效自评表详见第四部分附件。</w:t>
      </w:r>
    </w:p>
    <w:p w14:paraId="684BF0EA">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733DC07">
      <w:pPr>
        <w:numPr>
          <w:ilvl w:val="0"/>
          <w:numId w:val="0"/>
        </w:numPr>
        <w:spacing w:line="600" w:lineRule="exact"/>
        <w:jc w:val="center"/>
        <w:outlineLvl w:val="0"/>
        <w:rPr>
          <w:rStyle w:val="27"/>
          <w:rFonts w:ascii="黑体" w:hAnsi="黑体" w:eastAsia="黑体"/>
          <w:b w:val="0"/>
        </w:rPr>
      </w:pPr>
      <w:bookmarkStart w:id="66" w:name="_Toc15377225"/>
      <w:bookmarkStart w:id="67" w:name="_Toc15396613"/>
      <w:bookmarkStart w:id="68" w:name="_Toc26187"/>
      <w:r>
        <w:rPr>
          <w:rFonts w:hint="eastAsia" w:ascii="黑体" w:hAnsi="黑体" w:eastAsia="黑体"/>
          <w:sz w:val="44"/>
          <w:szCs w:val="44"/>
          <w:lang w:eastAsia="zh-CN"/>
        </w:rPr>
        <w:t>第三部分</w:t>
      </w:r>
      <w:r>
        <w:rPr>
          <w:rFonts w:hint="eastAsia" w:ascii="黑体" w:hAnsi="黑体" w:eastAsia="黑体"/>
          <w:sz w:val="44"/>
          <w:szCs w:val="44"/>
          <w:lang w:val="en-US" w:eastAsia="zh-CN"/>
        </w:rPr>
        <w:t xml:space="preserve"> </w:t>
      </w:r>
      <w:r>
        <w:rPr>
          <w:rFonts w:hint="eastAsia" w:ascii="黑体" w:hAnsi="黑体" w:eastAsia="黑体"/>
          <w:sz w:val="44"/>
          <w:szCs w:val="44"/>
        </w:rPr>
        <w:t>名</w:t>
      </w:r>
      <w:r>
        <w:rPr>
          <w:rStyle w:val="27"/>
          <w:rFonts w:hint="eastAsia" w:ascii="黑体" w:hAnsi="黑体" w:eastAsia="黑体"/>
          <w:b w:val="0"/>
        </w:rPr>
        <w:t>词解释</w:t>
      </w:r>
      <w:bookmarkEnd w:id="66"/>
      <w:bookmarkEnd w:id="67"/>
      <w:bookmarkEnd w:id="68"/>
    </w:p>
    <w:p w14:paraId="1B426981">
      <w:pPr>
        <w:spacing w:line="600" w:lineRule="exact"/>
        <w:jc w:val="left"/>
        <w:rPr>
          <w:rFonts w:ascii="宋体"/>
          <w:b/>
          <w:sz w:val="44"/>
          <w:szCs w:val="44"/>
        </w:rPr>
      </w:pPr>
    </w:p>
    <w:p w14:paraId="595824F1">
      <w:pPr>
        <w:pStyle w:val="25"/>
        <w:spacing w:line="560" w:lineRule="exact"/>
        <w:ind w:firstLine="640" w:firstLineChars="200"/>
        <w:outlineLvl w:val="9"/>
        <w:rPr>
          <w:rFonts w:ascii="仿宋_GB2312" w:eastAsia="仿宋_GB2312"/>
          <w:sz w:val="32"/>
          <w:szCs w:val="32"/>
        </w:rPr>
      </w:pPr>
      <w:bookmarkStart w:id="69"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9E768BC">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14:paraId="1A01564B">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14:paraId="05600CC8">
      <w:pPr>
        <w:pStyle w:val="25"/>
        <w:spacing w:line="560" w:lineRule="exact"/>
        <w:ind w:firstLine="640" w:firstLineChars="200"/>
        <w:outlineLvl w:val="9"/>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14:paraId="04CB9F77">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sz w:val="32"/>
          <w:szCs w:val="32"/>
        </w:rPr>
        <w:t>：指事业单位使用以前年度积累的非财政拨款结余弥补当年收支差额的金额。</w:t>
      </w:r>
      <w:r>
        <w:rPr>
          <w:rFonts w:ascii="仿宋_GB2312" w:eastAsia="仿宋_GB2312"/>
          <w:sz w:val="32"/>
          <w:szCs w:val="32"/>
        </w:rPr>
        <w:t xml:space="preserve"> </w:t>
      </w:r>
    </w:p>
    <w:p w14:paraId="709D628B">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14:paraId="703452EB">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14:paraId="518337F8">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02F5497A">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9</w:t>
      </w:r>
      <w:r>
        <w:rPr>
          <w:rFonts w:ascii="仿宋_GB2312" w:eastAsia="仿宋_GB2312"/>
          <w:color w:val="000000"/>
          <w:sz w:val="32"/>
          <w:szCs w:val="32"/>
        </w:rPr>
        <w:t>.</w:t>
      </w:r>
      <w:r>
        <w:rPr>
          <w:rFonts w:hint="eastAsia" w:ascii="仿宋_GB2312" w:eastAsia="仿宋_GB2312"/>
          <w:color w:val="000000"/>
          <w:sz w:val="32"/>
          <w:szCs w:val="32"/>
        </w:rPr>
        <w:t>教育（类）205（款）02（项）02：指反映各部门举办的小学教育支出。政府各部门对社会中介组织等举办的小学的资助，如各类捐赠、补贴等，也在本科目中反映。</w:t>
      </w:r>
    </w:p>
    <w:p w14:paraId="0A1E2552">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.教育（类）205（款）02（项）03：指反映各部门举办的初中教育支出。政府各部门对社会中介组织等举办的初中教育的资助，如各类捐赠、补贴等，也在本科目中反映。</w:t>
      </w:r>
    </w:p>
    <w:p w14:paraId="3EBECF7F">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社会保障和就业（类）208（款）05（项）02：指反映实行归口管理的事业单位离退休经费。</w:t>
      </w:r>
    </w:p>
    <w:p w14:paraId="11954008">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社会保障和就业（类）208（款）05（项）05：指反映机关事业单位实施养老保险制度由单位缴纳的基本养老保险费支出。</w:t>
      </w:r>
    </w:p>
    <w:p w14:paraId="1D76EFA6">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_GB2312" w:eastAsia="仿宋_GB2312"/>
          <w:color w:val="000000"/>
          <w:sz w:val="32"/>
          <w:szCs w:val="32"/>
        </w:rPr>
        <w:t>社会保障和就业（类）208（款）05（项）06：指反映机关事业单位实施养老保险制度由单位实际缴纳的职业年金支出。</w:t>
      </w:r>
    </w:p>
    <w:p w14:paraId="6647F9ED">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社会保障和就业（类）208（款）08（项）01：指反映按规定用于烈士和牺牲、病故人员家属的一次性定期抚恤金以及丧葬补助费。</w:t>
      </w:r>
    </w:p>
    <w:p w14:paraId="7C38B82A">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医疗卫生与计划生育（类）210（款）11（项）02：指反映财政部门集中安排事业单位基本医疗保险缴费经费，未参加医疗保险的事业单位的公费医疗经费，按国家规定享受离休人员待遇的医疗经费。</w:t>
      </w:r>
    </w:p>
    <w:p w14:paraId="6B2B7E8A">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医疗卫生与计划生育（类）210（款）11（项）</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：指反映财政部门集中安排的公务员医疗补助经费。</w:t>
      </w:r>
    </w:p>
    <w:p w14:paraId="4D128E46">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住房保障（类）221（款）02（项）01：指反映行政事业单位按人力资源和社会保障部、财政部规定的基本工资和津贴补贴以及规定比例为职工缴纳的住房公积金。</w:t>
      </w:r>
    </w:p>
    <w:p w14:paraId="51EF0B66">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389E397F">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193699F5">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2D37135D">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21</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9C994C2">
      <w:pPr>
        <w:pStyle w:val="25"/>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F35B8F">
      <w:pPr>
        <w:spacing w:line="600" w:lineRule="exact"/>
        <w:jc w:val="center"/>
        <w:outlineLvl w:val="0"/>
        <w:rPr>
          <w:rStyle w:val="27"/>
          <w:rFonts w:ascii="黑体" w:hAnsi="黑体" w:eastAsia="黑体"/>
          <w:b w:val="0"/>
        </w:rPr>
      </w:pPr>
      <w:r>
        <w:rPr>
          <w:rFonts w:ascii="宋体"/>
          <w:b/>
          <w:sz w:val="44"/>
          <w:szCs w:val="44"/>
        </w:rPr>
        <w:br w:type="page"/>
      </w:r>
      <w:bookmarkStart w:id="70" w:name="_Toc15396614"/>
      <w:bookmarkStart w:id="71" w:name="_Toc23889"/>
      <w:r>
        <w:rPr>
          <w:rFonts w:hint="eastAsia" w:ascii="黑体" w:hAnsi="黑体" w:eastAsia="黑体"/>
          <w:sz w:val="44"/>
          <w:szCs w:val="44"/>
        </w:rPr>
        <w:t>第</w:t>
      </w:r>
      <w:r>
        <w:rPr>
          <w:rStyle w:val="27"/>
          <w:rFonts w:hint="eastAsia" w:ascii="黑体" w:hAnsi="黑体" w:eastAsia="黑体"/>
          <w:b w:val="0"/>
        </w:rPr>
        <w:t>四部分 附件</w:t>
      </w:r>
      <w:bookmarkEnd w:id="70"/>
      <w:bookmarkEnd w:id="71"/>
    </w:p>
    <w:p w14:paraId="2EA6A42D">
      <w:pPr>
        <w:spacing w:line="572" w:lineRule="exact"/>
        <w:jc w:val="left"/>
        <w:outlineLvl w:val="9"/>
        <w:rPr>
          <w:rFonts w:ascii="仿宋_GB2312" w:hAnsi="仿宋_GB2312" w:eastAsia="仿宋_GB2312" w:cs="仿宋_GB2312"/>
          <w:sz w:val="32"/>
          <w:szCs w:val="32"/>
        </w:rPr>
      </w:pPr>
    </w:p>
    <w:p w14:paraId="69D598C7">
      <w:pPr>
        <w:spacing w:line="600" w:lineRule="exact"/>
        <w:jc w:val="center"/>
        <w:outlineLvl w:val="9"/>
        <w:rPr>
          <w:rFonts w:hint="default" w:ascii="黑体" w:hAnsi="黑体" w:eastAsia="宋体"/>
          <w:color w:val="FF0000"/>
          <w:sz w:val="44"/>
          <w:szCs w:val="44"/>
          <w:lang w:val="en-US" w:eastAsia="zh-CN"/>
        </w:rPr>
      </w:pPr>
      <w:bookmarkStart w:id="72" w:name="_Toc15396618"/>
      <w:r>
        <w:rPr>
          <w:rFonts w:hint="eastAsia"/>
          <w:sz w:val="32"/>
          <w:szCs w:val="32"/>
          <w:lang w:eastAsia="zh-CN"/>
        </w:rPr>
        <w:t>本单位</w:t>
      </w:r>
      <w:r>
        <w:rPr>
          <w:rFonts w:hint="eastAsia"/>
          <w:sz w:val="32"/>
          <w:szCs w:val="32"/>
        </w:rPr>
        <w:t>预算项目支出绩效自评表（2023年度）</w:t>
      </w:r>
      <w:r>
        <w:rPr>
          <w:rFonts w:hint="eastAsia"/>
          <w:sz w:val="32"/>
          <w:szCs w:val="32"/>
          <w:lang w:eastAsia="zh-CN"/>
        </w:rPr>
        <w:t>见附件</w:t>
      </w:r>
      <w:r>
        <w:rPr>
          <w:rFonts w:hint="eastAsia"/>
          <w:sz w:val="32"/>
          <w:szCs w:val="32"/>
          <w:lang w:val="en-US" w:eastAsia="zh-CN"/>
        </w:rPr>
        <w:t>3。</w:t>
      </w:r>
    </w:p>
    <w:p w14:paraId="7D9705A7">
      <w:pPr>
        <w:pStyle w:val="5"/>
        <w:spacing w:before="93"/>
        <w:rPr>
          <w:rFonts w:hAnsi="Calibri" w:cs="仿宋"/>
          <w:sz w:val="32"/>
          <w:szCs w:val="32"/>
        </w:rPr>
      </w:pPr>
    </w:p>
    <w:p w14:paraId="26570821">
      <w:pPr>
        <w:pStyle w:val="5"/>
        <w:spacing w:before="93"/>
        <w:rPr>
          <w:rFonts w:hAnsi="Calibri" w:cs="仿宋"/>
          <w:sz w:val="32"/>
          <w:szCs w:val="32"/>
        </w:rPr>
      </w:pPr>
    </w:p>
    <w:p w14:paraId="14343A81">
      <w:pPr>
        <w:pStyle w:val="5"/>
        <w:spacing w:before="93"/>
        <w:rPr>
          <w:rFonts w:hAnsi="Calibri" w:cs="仿宋"/>
          <w:sz w:val="32"/>
          <w:szCs w:val="32"/>
        </w:rPr>
      </w:pPr>
    </w:p>
    <w:p w14:paraId="01CB8866">
      <w:pPr>
        <w:pStyle w:val="5"/>
        <w:spacing w:before="93"/>
        <w:rPr>
          <w:rFonts w:hAnsi="Calibri" w:cs="仿宋"/>
          <w:sz w:val="32"/>
          <w:szCs w:val="32"/>
        </w:rPr>
      </w:pPr>
    </w:p>
    <w:p w14:paraId="6C912D3F">
      <w:pPr>
        <w:pStyle w:val="5"/>
        <w:spacing w:before="93"/>
        <w:rPr>
          <w:rFonts w:hAnsi="Calibri" w:cs="仿宋"/>
          <w:sz w:val="32"/>
          <w:szCs w:val="32"/>
        </w:rPr>
      </w:pPr>
    </w:p>
    <w:p w14:paraId="46193B41">
      <w:pPr>
        <w:pStyle w:val="5"/>
        <w:spacing w:before="93"/>
        <w:rPr>
          <w:rFonts w:hAnsi="Calibri" w:cs="仿宋"/>
          <w:sz w:val="32"/>
          <w:szCs w:val="32"/>
        </w:rPr>
      </w:pPr>
    </w:p>
    <w:p w14:paraId="7155B046">
      <w:pPr>
        <w:pStyle w:val="5"/>
        <w:spacing w:before="93"/>
        <w:rPr>
          <w:rFonts w:hAnsi="Calibri" w:cs="仿宋"/>
          <w:sz w:val="32"/>
          <w:szCs w:val="32"/>
        </w:rPr>
      </w:pPr>
    </w:p>
    <w:p w14:paraId="2D94A12A">
      <w:pPr>
        <w:pStyle w:val="5"/>
        <w:spacing w:before="93"/>
        <w:rPr>
          <w:rFonts w:hAnsi="Calibri" w:cs="仿宋"/>
          <w:sz w:val="32"/>
          <w:szCs w:val="32"/>
        </w:rPr>
      </w:pPr>
    </w:p>
    <w:p w14:paraId="4B3C9115">
      <w:pPr>
        <w:pStyle w:val="5"/>
        <w:spacing w:before="93"/>
        <w:rPr>
          <w:rFonts w:hAnsi="Calibri" w:cs="仿宋"/>
          <w:sz w:val="32"/>
          <w:szCs w:val="32"/>
        </w:rPr>
      </w:pPr>
    </w:p>
    <w:p w14:paraId="5C88E69E">
      <w:pPr>
        <w:pStyle w:val="5"/>
        <w:spacing w:before="93"/>
        <w:rPr>
          <w:rFonts w:hAnsi="Calibri" w:cs="仿宋"/>
          <w:sz w:val="32"/>
          <w:szCs w:val="32"/>
        </w:rPr>
      </w:pPr>
    </w:p>
    <w:p w14:paraId="2D7730D2">
      <w:pPr>
        <w:pStyle w:val="5"/>
        <w:spacing w:before="93"/>
        <w:rPr>
          <w:rFonts w:hAnsi="Calibri" w:cs="仿宋"/>
          <w:sz w:val="32"/>
          <w:szCs w:val="32"/>
        </w:rPr>
      </w:pPr>
    </w:p>
    <w:p w14:paraId="57FF57DE">
      <w:pPr>
        <w:pStyle w:val="5"/>
        <w:spacing w:before="93"/>
        <w:rPr>
          <w:rFonts w:hAnsi="Calibri" w:cs="仿宋"/>
          <w:sz w:val="32"/>
          <w:szCs w:val="32"/>
        </w:rPr>
      </w:pPr>
    </w:p>
    <w:p w14:paraId="64BED5FA">
      <w:pPr>
        <w:pStyle w:val="5"/>
        <w:spacing w:before="93"/>
        <w:rPr>
          <w:rFonts w:hAnsi="Calibri" w:cs="仿宋"/>
          <w:sz w:val="32"/>
          <w:szCs w:val="32"/>
        </w:rPr>
      </w:pPr>
    </w:p>
    <w:p w14:paraId="212506DB">
      <w:pPr>
        <w:pStyle w:val="5"/>
        <w:spacing w:before="93"/>
        <w:rPr>
          <w:rFonts w:hAnsi="Calibri" w:cs="仿宋"/>
          <w:sz w:val="32"/>
          <w:szCs w:val="32"/>
        </w:rPr>
      </w:pPr>
    </w:p>
    <w:p w14:paraId="52072465">
      <w:pPr>
        <w:pStyle w:val="5"/>
        <w:spacing w:before="93"/>
        <w:rPr>
          <w:rFonts w:hAnsi="Calibri" w:cs="仿宋"/>
          <w:sz w:val="32"/>
          <w:szCs w:val="32"/>
        </w:rPr>
      </w:pPr>
    </w:p>
    <w:p w14:paraId="3600B19A">
      <w:pPr>
        <w:pStyle w:val="5"/>
        <w:spacing w:before="93"/>
        <w:rPr>
          <w:rFonts w:hAnsi="Calibri" w:cs="仿宋"/>
          <w:sz w:val="32"/>
          <w:szCs w:val="32"/>
        </w:rPr>
      </w:pPr>
    </w:p>
    <w:p w14:paraId="5BCE6170">
      <w:pPr>
        <w:pStyle w:val="5"/>
        <w:spacing w:before="93"/>
        <w:rPr>
          <w:rFonts w:hAnsi="Calibri" w:cs="仿宋"/>
          <w:sz w:val="32"/>
          <w:szCs w:val="32"/>
        </w:rPr>
      </w:pPr>
    </w:p>
    <w:p w14:paraId="73E2886E">
      <w:pPr>
        <w:spacing w:line="600" w:lineRule="exact"/>
        <w:jc w:val="center"/>
        <w:outlineLvl w:val="0"/>
        <w:rPr>
          <w:rFonts w:ascii="仿宋" w:hAnsi="仿宋" w:eastAsia="仿宋"/>
        </w:rPr>
      </w:pPr>
      <w:bookmarkStart w:id="73" w:name="_Toc27129"/>
      <w:r>
        <w:rPr>
          <w:rFonts w:hint="eastAsia" w:ascii="黑体" w:hAnsi="黑体" w:eastAsia="黑体"/>
          <w:sz w:val="44"/>
          <w:szCs w:val="44"/>
        </w:rPr>
        <w:t>第</w:t>
      </w:r>
      <w:r>
        <w:rPr>
          <w:rStyle w:val="27"/>
          <w:rFonts w:hint="eastAsia" w:ascii="黑体" w:hAnsi="黑体" w:eastAsia="黑体"/>
          <w:b w:val="0"/>
        </w:rPr>
        <w:t>五部分 附表</w:t>
      </w:r>
      <w:bookmarkEnd w:id="69"/>
      <w:bookmarkEnd w:id="72"/>
      <w:bookmarkEnd w:id="73"/>
      <w:bookmarkStart w:id="74" w:name="_Toc15396619"/>
    </w:p>
    <w:p w14:paraId="512D2490">
      <w:pPr>
        <w:pStyle w:val="3"/>
        <w:rPr>
          <w:rFonts w:ascii="仿宋" w:hAnsi="仿宋" w:eastAsia="仿宋"/>
        </w:rPr>
      </w:pPr>
      <w:bookmarkStart w:id="75" w:name="_Toc2821"/>
      <w:r>
        <w:rPr>
          <w:rFonts w:hint="eastAsia" w:ascii="仿宋" w:hAnsi="仿宋" w:eastAsia="仿宋"/>
          <w:b w:val="0"/>
        </w:rPr>
        <w:t>一、收</w:t>
      </w:r>
      <w:r>
        <w:rPr>
          <w:rStyle w:val="28"/>
          <w:rFonts w:hint="eastAsia" w:ascii="仿宋" w:hAnsi="仿宋" w:eastAsia="仿宋"/>
          <w:b w:val="0"/>
          <w:bCs w:val="0"/>
        </w:rPr>
        <w:t>入支出决算总表</w:t>
      </w:r>
      <w:bookmarkEnd w:id="74"/>
      <w:bookmarkEnd w:id="75"/>
    </w:p>
    <w:p w14:paraId="5B1A27C4">
      <w:pPr>
        <w:pStyle w:val="3"/>
        <w:rPr>
          <w:rFonts w:ascii="仿宋" w:hAnsi="仿宋" w:eastAsia="仿宋"/>
        </w:rPr>
      </w:pPr>
      <w:bookmarkStart w:id="76" w:name="_Toc15396620"/>
      <w:bookmarkStart w:id="77" w:name="_Toc15943"/>
      <w:r>
        <w:rPr>
          <w:rFonts w:hint="eastAsia" w:ascii="仿宋" w:hAnsi="仿宋" w:eastAsia="仿宋"/>
          <w:b w:val="0"/>
        </w:rPr>
        <w:t>二、收</w:t>
      </w:r>
      <w:r>
        <w:rPr>
          <w:rStyle w:val="28"/>
          <w:rFonts w:hint="eastAsia" w:ascii="仿宋" w:hAnsi="仿宋" w:eastAsia="仿宋"/>
          <w:b w:val="0"/>
          <w:bCs w:val="0"/>
        </w:rPr>
        <w:t>入决算表</w:t>
      </w:r>
      <w:bookmarkEnd w:id="76"/>
      <w:bookmarkEnd w:id="77"/>
    </w:p>
    <w:p w14:paraId="00BB1476">
      <w:pPr>
        <w:pStyle w:val="3"/>
        <w:rPr>
          <w:rFonts w:ascii="仿宋" w:hAnsi="仿宋" w:eastAsia="仿宋"/>
        </w:rPr>
      </w:pPr>
      <w:bookmarkStart w:id="78" w:name="_Toc15396621"/>
      <w:bookmarkStart w:id="79" w:name="_Toc24324"/>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78"/>
      <w:bookmarkEnd w:id="79"/>
    </w:p>
    <w:p w14:paraId="7369008E">
      <w:pPr>
        <w:pStyle w:val="3"/>
        <w:rPr>
          <w:rFonts w:ascii="仿宋" w:hAnsi="仿宋" w:eastAsia="仿宋"/>
          <w:b w:val="0"/>
        </w:rPr>
      </w:pPr>
      <w:bookmarkStart w:id="80" w:name="_Toc15396622"/>
      <w:bookmarkStart w:id="81" w:name="_Toc5165"/>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0"/>
      <w:bookmarkEnd w:id="81"/>
    </w:p>
    <w:p w14:paraId="71E8A355">
      <w:pPr>
        <w:pStyle w:val="3"/>
        <w:rPr>
          <w:rStyle w:val="28"/>
          <w:rFonts w:ascii="仿宋" w:hAnsi="仿宋" w:eastAsia="仿宋"/>
          <w:b w:val="0"/>
          <w:bCs w:val="0"/>
        </w:rPr>
      </w:pPr>
      <w:bookmarkStart w:id="82" w:name="_Toc15396623"/>
      <w:bookmarkStart w:id="83" w:name="_Toc6592"/>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2"/>
      <w:bookmarkEnd w:id="83"/>
      <w:bookmarkStart w:id="84" w:name="_Toc15396624"/>
    </w:p>
    <w:p w14:paraId="43FC0299">
      <w:pPr>
        <w:pStyle w:val="3"/>
        <w:rPr>
          <w:rFonts w:ascii="仿宋" w:hAnsi="仿宋" w:eastAsia="仿宋"/>
        </w:rPr>
      </w:pPr>
      <w:bookmarkStart w:id="85" w:name="_Toc6226"/>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4"/>
      <w:bookmarkEnd w:id="85"/>
    </w:p>
    <w:p w14:paraId="2D969D4E">
      <w:pPr>
        <w:pStyle w:val="3"/>
        <w:rPr>
          <w:rFonts w:ascii="仿宋" w:hAnsi="仿宋" w:eastAsia="仿宋"/>
        </w:rPr>
      </w:pPr>
      <w:bookmarkStart w:id="86" w:name="_Toc15396625"/>
      <w:bookmarkStart w:id="87" w:name="_Toc13168"/>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86"/>
      <w:bookmarkEnd w:id="87"/>
    </w:p>
    <w:p w14:paraId="23180718">
      <w:pPr>
        <w:pStyle w:val="3"/>
        <w:rPr>
          <w:rFonts w:ascii="仿宋" w:hAnsi="仿宋" w:eastAsia="仿宋"/>
        </w:rPr>
      </w:pPr>
      <w:bookmarkStart w:id="88" w:name="_Toc15396626"/>
      <w:bookmarkStart w:id="89" w:name="_Toc3978"/>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88"/>
      <w:bookmarkEnd w:id="89"/>
    </w:p>
    <w:p w14:paraId="2FCFC6F2">
      <w:pPr>
        <w:pStyle w:val="3"/>
        <w:rPr>
          <w:rFonts w:ascii="仿宋" w:hAnsi="仿宋" w:eastAsia="仿宋"/>
        </w:rPr>
      </w:pPr>
      <w:bookmarkStart w:id="90" w:name="_Toc15396627"/>
      <w:bookmarkStart w:id="91" w:name="_Toc23822"/>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0"/>
      <w:bookmarkEnd w:id="91"/>
    </w:p>
    <w:p w14:paraId="5A9CBB67">
      <w:pPr>
        <w:pStyle w:val="3"/>
        <w:rPr>
          <w:rFonts w:ascii="仿宋" w:hAnsi="仿宋" w:eastAsia="仿宋"/>
        </w:rPr>
      </w:pPr>
      <w:bookmarkStart w:id="92" w:name="_Toc15396628"/>
      <w:bookmarkStart w:id="93" w:name="_Toc20604"/>
      <w:r>
        <w:rPr>
          <w:rStyle w:val="28"/>
          <w:rFonts w:hint="eastAsia" w:ascii="仿宋" w:hAnsi="仿宋" w:eastAsia="仿宋"/>
          <w:b w:val="0"/>
          <w:bCs w:val="0"/>
        </w:rPr>
        <w:t>十、</w:t>
      </w:r>
      <w:bookmarkEnd w:id="92"/>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3"/>
    </w:p>
    <w:p w14:paraId="2201336D">
      <w:pPr>
        <w:pStyle w:val="3"/>
        <w:rPr>
          <w:rFonts w:ascii="仿宋" w:hAnsi="仿宋" w:eastAsia="仿宋"/>
        </w:rPr>
      </w:pPr>
      <w:bookmarkStart w:id="94" w:name="_Toc15396629"/>
      <w:bookmarkStart w:id="95" w:name="_Toc7666"/>
      <w:r>
        <w:rPr>
          <w:rStyle w:val="28"/>
          <w:rFonts w:hint="eastAsia" w:ascii="仿宋" w:hAnsi="仿宋" w:eastAsia="仿宋"/>
          <w:b w:val="0"/>
          <w:bCs w:val="0"/>
        </w:rPr>
        <w:t>十一、</w:t>
      </w:r>
      <w:bookmarkEnd w:id="94"/>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5"/>
    </w:p>
    <w:p w14:paraId="4F9D7E86">
      <w:pPr>
        <w:pStyle w:val="3"/>
        <w:rPr>
          <w:rFonts w:ascii="仿宋" w:hAnsi="仿宋" w:eastAsia="仿宋"/>
        </w:rPr>
      </w:pPr>
      <w:bookmarkStart w:id="96" w:name="_Toc15396630"/>
      <w:bookmarkStart w:id="97" w:name="_Toc19268"/>
      <w:r>
        <w:rPr>
          <w:rStyle w:val="28"/>
          <w:rFonts w:hint="eastAsia" w:ascii="仿宋" w:hAnsi="仿宋" w:eastAsia="仿宋"/>
          <w:b w:val="0"/>
          <w:bCs w:val="0"/>
        </w:rPr>
        <w:t>十二、</w:t>
      </w:r>
      <w:bookmarkEnd w:id="96"/>
      <w:r>
        <w:rPr>
          <w:rStyle w:val="28"/>
          <w:rFonts w:hint="eastAsia" w:ascii="仿宋" w:hAnsi="仿宋" w:eastAsia="仿宋"/>
          <w:b w:val="0"/>
          <w:bCs w:val="0"/>
        </w:rPr>
        <w:t>国有资本经营预算财政拨款支出决算表</w:t>
      </w:r>
      <w:bookmarkEnd w:id="97"/>
    </w:p>
    <w:p w14:paraId="1C7805C9">
      <w:pPr>
        <w:pStyle w:val="3"/>
        <w:rPr>
          <w:rFonts w:eastAsia="仿宋"/>
        </w:rPr>
      </w:pPr>
      <w:bookmarkStart w:id="98" w:name="_Toc15396631"/>
      <w:bookmarkStart w:id="99" w:name="_Toc7006"/>
      <w:r>
        <w:rPr>
          <w:rStyle w:val="28"/>
          <w:rFonts w:hint="eastAsia" w:ascii="仿宋" w:hAnsi="仿宋" w:eastAsia="仿宋"/>
          <w:b w:val="0"/>
          <w:bCs w:val="0"/>
        </w:rPr>
        <w:t>十三、</w:t>
      </w:r>
      <w:bookmarkEnd w:id="98"/>
      <w:r>
        <w:rPr>
          <w:rStyle w:val="28"/>
          <w:rFonts w:hint="eastAsia" w:ascii="仿宋" w:hAnsi="仿宋" w:eastAsia="仿宋"/>
          <w:b w:val="0"/>
          <w:bCs w:val="0"/>
        </w:rPr>
        <w:t>财政拨款“三公”经费支出决算表</w:t>
      </w:r>
      <w:bookmarkEnd w:id="99"/>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1367F432">
        <w:pPr>
          <w:pStyle w:val="9"/>
          <w:jc w:val="center"/>
        </w:pPr>
      </w:p>
    </w:sdtContent>
  </w:sdt>
  <w:p w14:paraId="2FEC1E9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98A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F2E57">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9DB3A">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E9DB3A">
                    <w:pPr>
                      <w:pStyle w:val="9"/>
                    </w:pPr>
                    <w:r>
                      <w:fldChar w:fldCharType="begin"/>
                    </w:r>
                    <w:r>
                      <w:instrText xml:space="preserve"> PAGE  \* MERGEFORMAT </w:instrText>
                    </w:r>
                    <w:r>
                      <w:fldChar w:fldCharType="separate"/>
                    </w:r>
                    <w:r>
                      <w:t>2</w:t>
                    </w:r>
                    <w:r>
                      <w:fldChar w:fldCharType="end"/>
                    </w:r>
                  </w:p>
                </w:txbxContent>
              </v:textbox>
            </v:shape>
          </w:pict>
        </mc:Fallback>
      </mc:AlternateContent>
    </w:r>
    <w:sdt>
      <w:sdtPr>
        <w:id w:val="147475260"/>
      </w:sdtPr>
      <w:sdtContent/>
    </w:sdt>
  </w:p>
  <w:p w14:paraId="6997E1C5">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55142">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B38E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4B38E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2A903">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MDE4YzdjMTdhMzc2OTA0ZWRjNDNjZWIzZTJiN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CFB58CF"/>
    <w:rsid w:val="0F5FFB2F"/>
    <w:rsid w:val="0FFFCF60"/>
    <w:rsid w:val="10C055FF"/>
    <w:rsid w:val="118107EC"/>
    <w:rsid w:val="11DD6519"/>
    <w:rsid w:val="12847AFA"/>
    <w:rsid w:val="16BB723D"/>
    <w:rsid w:val="18015F3F"/>
    <w:rsid w:val="1BE8440E"/>
    <w:rsid w:val="1D155CEE"/>
    <w:rsid w:val="1D2611DF"/>
    <w:rsid w:val="1F81769A"/>
    <w:rsid w:val="1FDBBF84"/>
    <w:rsid w:val="20F57F95"/>
    <w:rsid w:val="21211F6B"/>
    <w:rsid w:val="240371BF"/>
    <w:rsid w:val="243035A3"/>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3C01A1"/>
    <w:rsid w:val="366022B9"/>
    <w:rsid w:val="368E000D"/>
    <w:rsid w:val="383D272C"/>
    <w:rsid w:val="39AE70AB"/>
    <w:rsid w:val="3A4DCE41"/>
    <w:rsid w:val="3B7B5721"/>
    <w:rsid w:val="3BCB56FA"/>
    <w:rsid w:val="3C0C0783"/>
    <w:rsid w:val="3D2F1D10"/>
    <w:rsid w:val="3EE7C2F4"/>
    <w:rsid w:val="3F371B56"/>
    <w:rsid w:val="3F792ED8"/>
    <w:rsid w:val="3F9F3A96"/>
    <w:rsid w:val="3FECA4B2"/>
    <w:rsid w:val="3FF58C48"/>
    <w:rsid w:val="42FF6694"/>
    <w:rsid w:val="47BF6498"/>
    <w:rsid w:val="48BF60AB"/>
    <w:rsid w:val="493C27E9"/>
    <w:rsid w:val="496F39ED"/>
    <w:rsid w:val="49FF41D3"/>
    <w:rsid w:val="4B113599"/>
    <w:rsid w:val="4BE068DB"/>
    <w:rsid w:val="4BF6002B"/>
    <w:rsid w:val="4BFFC6BE"/>
    <w:rsid w:val="4ECE2238"/>
    <w:rsid w:val="51DB4B86"/>
    <w:rsid w:val="51F64DB0"/>
    <w:rsid w:val="55333C3E"/>
    <w:rsid w:val="5D8E2419"/>
    <w:rsid w:val="5E5200EA"/>
    <w:rsid w:val="5F67802D"/>
    <w:rsid w:val="5F7DC4F2"/>
    <w:rsid w:val="5FB36814"/>
    <w:rsid w:val="5FBB8E56"/>
    <w:rsid w:val="5FFB5535"/>
    <w:rsid w:val="64504930"/>
    <w:rsid w:val="64CA39A1"/>
    <w:rsid w:val="673D3298"/>
    <w:rsid w:val="68D15B4B"/>
    <w:rsid w:val="68F81F7C"/>
    <w:rsid w:val="69630ADE"/>
    <w:rsid w:val="69BD5F13"/>
    <w:rsid w:val="69FB0B4B"/>
    <w:rsid w:val="6BF43F27"/>
    <w:rsid w:val="6BFFE1FB"/>
    <w:rsid w:val="6C4A05C8"/>
    <w:rsid w:val="6D3B1A89"/>
    <w:rsid w:val="6DB7D8A3"/>
    <w:rsid w:val="6EB64F14"/>
    <w:rsid w:val="6EC78701"/>
    <w:rsid w:val="6F7A5481"/>
    <w:rsid w:val="6FFE07A9"/>
    <w:rsid w:val="71BF4EC2"/>
    <w:rsid w:val="72734D90"/>
    <w:rsid w:val="73E75B71"/>
    <w:rsid w:val="7412278C"/>
    <w:rsid w:val="75DDCDA9"/>
    <w:rsid w:val="75FF44B1"/>
    <w:rsid w:val="76D0696E"/>
    <w:rsid w:val="77670518"/>
    <w:rsid w:val="777FA627"/>
    <w:rsid w:val="77DF1B5F"/>
    <w:rsid w:val="77EF2D9D"/>
    <w:rsid w:val="79E7B28D"/>
    <w:rsid w:val="7A9019C9"/>
    <w:rsid w:val="7ACFF0C2"/>
    <w:rsid w:val="7AFB9108"/>
    <w:rsid w:val="7BD5340C"/>
    <w:rsid w:val="7BFB19D2"/>
    <w:rsid w:val="7BFD1750"/>
    <w:rsid w:val="7BFDAA1B"/>
    <w:rsid w:val="7CDF9A82"/>
    <w:rsid w:val="7CFFA1BD"/>
    <w:rsid w:val="7D2E3F7A"/>
    <w:rsid w:val="7DED9490"/>
    <w:rsid w:val="7DFF4872"/>
    <w:rsid w:val="7E694ED9"/>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Users\Administrator\Desktop\&#30011;&#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收、支决算总计变动情况图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manualLayout>
          <c:layoutTarget val="inner"/>
          <c:xMode val="edge"/>
          <c:yMode val="edge"/>
          <c:x val="0.197917069329975"/>
          <c:y val="0.215278507753187"/>
          <c:w val="0.789584939748006"/>
          <c:h val="0.465279355466565"/>
        </c:manualLayout>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[画图.xls]Sheet1!$B$16:$B$17</c:f>
              <c:strCache>
                <c:ptCount val="2"/>
                <c:pt idx="0">
                  <c:v>本年收、支总计</c:v>
                </c:pt>
                <c:pt idx="1">
                  <c:v>上年收、支总计</c:v>
                </c:pt>
              </c:strCache>
            </c:strRef>
          </c:cat>
          <c:val>
            <c:numRef>
              <c:f>[画图.xls]Sheet1!$C$16:$C$17</c:f>
              <c:numCache>
                <c:formatCode>General</c:formatCode>
                <c:ptCount val="2"/>
                <c:pt idx="0">
                  <c:v>1032.19</c:v>
                </c:pt>
                <c:pt idx="1">
                  <c:v>856.93</c:v>
                </c:pt>
              </c:numCache>
            </c:numRef>
          </c:val>
        </c:ser>
        <c:dLbls>
          <c:showLegendKey val="0"/>
          <c:showVal val="0"/>
          <c:showCatName val="0"/>
          <c:showSerName val="0"/>
          <c:showPercent val="0"/>
          <c:showBubbleSize val="0"/>
        </c:dLbls>
        <c:gapWidth val="219"/>
        <c:overlap val="-27"/>
        <c:axId val="791205080"/>
        <c:axId val="352087091"/>
      </c:barChart>
      <c:catAx>
        <c:axId val="7912050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352087091"/>
        <c:crosses val="autoZero"/>
        <c:auto val="1"/>
        <c:lblAlgn val="ctr"/>
        <c:lblOffset val="100"/>
        <c:noMultiLvlLbl val="0"/>
      </c:catAx>
      <c:valAx>
        <c:axId val="352087091"/>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791205080"/>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收入决算结构图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dPt>
          <c:dLbls>
            <c:dLbl>
              <c:idx val="1"/>
              <c:layout>
                <c:manualLayout>
                  <c:x val="-0.0525374212727962"/>
                  <c:y val="0.06050072317667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7769101906745"/>
                  <c:y val="0.04839151419840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[画图.xls]Sheet1!$P$18:$P$20</c:f>
              <c:strCache>
                <c:ptCount val="3"/>
                <c:pt idx="0">
                  <c:v>一般财政拨款收入</c:v>
                </c:pt>
              </c:strCache>
            </c:strRef>
          </c:cat>
          <c:val>
            <c:numRef>
              <c:f>[画图.xls]Sheet1!$Q$18:$Q$20</c:f>
              <c:numCache>
                <c:formatCode>General</c:formatCode>
                <c:ptCount val="3"/>
                <c:pt idx="0">
                  <c:v>1030.69</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支出决算结构图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[画图.xls]Sheet1!$P$13:$P$14</c:f>
              <c:strCache>
                <c:ptCount val="2"/>
                <c:pt idx="0">
                  <c:v>基本支出</c:v>
                </c:pt>
                <c:pt idx="1">
                  <c:v>项目支出</c:v>
                </c:pt>
              </c:strCache>
            </c:strRef>
          </c:cat>
          <c:val>
            <c:numRef>
              <c:f>[画图.xls]Sheet1!$Q$13:$Q$14</c:f>
              <c:numCache>
                <c:formatCode>General</c:formatCode>
                <c:ptCount val="2"/>
                <c:pt idx="0">
                  <c:v>1032.19</c:v>
                </c:pt>
                <c:pt idx="1">
                  <c:v>49.04</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0416664818306162"/>
          <c:y val="0.00694612343581534"/>
        </c:manualLayout>
      </c:layout>
      <c:overlay val="0"/>
    </c:title>
    <c:autoTitleDeleted val="0"/>
    <c:plotArea>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[画图.xls]Sheet1!$P$6:$P$7</c:f>
              <c:strCache>
                <c:ptCount val="2"/>
                <c:pt idx="0">
                  <c:v>2023财政拨款收、支总计</c:v>
                </c:pt>
                <c:pt idx="1">
                  <c:v>2022财政拨款收、支总计</c:v>
                </c:pt>
              </c:strCache>
            </c:strRef>
          </c:cat>
          <c:val>
            <c:numRef>
              <c:f>[画图.xls]Sheet1!$Q$6:$Q$7</c:f>
              <c:numCache>
                <c:formatCode>General</c:formatCode>
                <c:ptCount val="2"/>
                <c:pt idx="0">
                  <c:v>1032.19</c:v>
                </c:pt>
                <c:pt idx="1">
                  <c:v>856.93</c:v>
                </c:pt>
              </c:numCache>
            </c:numRef>
          </c:val>
        </c:ser>
        <c:dLbls>
          <c:showLegendKey val="0"/>
          <c:showVal val="0"/>
          <c:showCatName val="0"/>
          <c:showSerName val="0"/>
          <c:showPercent val="0"/>
          <c:showBubbleSize val="0"/>
        </c:dLbls>
        <c:gapWidth val="219"/>
        <c:overlap val="-27"/>
        <c:axId val="52560370"/>
        <c:axId val="871231297"/>
      </c:barChart>
      <c:catAx>
        <c:axId val="5256037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871231297"/>
        <c:crosses val="autoZero"/>
        <c:auto val="1"/>
        <c:lblAlgn val="ctr"/>
        <c:lblOffset val="100"/>
        <c:noMultiLvlLbl val="0"/>
      </c:catAx>
      <c:valAx>
        <c:axId val="87123129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52560370"/>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一般公共预算财政拨款支出决算变动情况</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0856103648808605"/>
          <c:y val="0.0296395666591059"/>
        </c:manualLayout>
      </c:layout>
      <c:overlay val="0"/>
      <c:spPr>
        <a:noFill/>
        <a:ln w="3175">
          <a:noFill/>
        </a:ln>
      </c:spPr>
    </c:title>
    <c:autoTitleDeleted val="0"/>
    <c:plotArea>
      <c:layout/>
      <c:barChart>
        <c:barDir val="col"/>
        <c:grouping val="clustered"/>
        <c:varyColors val="0"/>
        <c:ser>
          <c:idx val="0"/>
          <c:order val="0"/>
          <c:spPr>
            <a:solidFill>
              <a:srgbClr val="5B9BD5">
                <a:alpha val="100000"/>
              </a:srgbClr>
            </a:solidFill>
            <a:ln w="3175">
              <a:noFill/>
            </a:ln>
          </c:spPr>
          <c:invertIfNegative val="0"/>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[画图.xls]Sheet1!$B$12:$B$13</c:f>
              <c:strCache>
                <c:ptCount val="2"/>
                <c:pt idx="0">
                  <c:v>2023一般公共预算财政拨款支出</c:v>
                </c:pt>
                <c:pt idx="1">
                  <c:v>2022一般公共预算财政拨款支出</c:v>
                </c:pt>
              </c:strCache>
            </c:strRef>
          </c:cat>
          <c:val>
            <c:numRef>
              <c:f>[画图.xls]Sheet1!$C$12:$C$13</c:f>
              <c:numCache>
                <c:formatCode>General</c:formatCode>
                <c:ptCount val="2"/>
                <c:pt idx="0">
                  <c:v>1032.19</c:v>
                </c:pt>
                <c:pt idx="1">
                  <c:v>856.93</c:v>
                </c:pt>
              </c:numCache>
            </c:numRef>
          </c:val>
        </c:ser>
        <c:dLbls>
          <c:showLegendKey val="0"/>
          <c:showVal val="0"/>
          <c:showCatName val="0"/>
          <c:showSerName val="0"/>
          <c:showPercent val="0"/>
          <c:showBubbleSize val="0"/>
        </c:dLbls>
        <c:gapWidth val="219"/>
        <c:overlap val="-27"/>
        <c:axId val="736390875"/>
        <c:axId val="474841197"/>
      </c:barChart>
      <c:catAx>
        <c:axId val="73639087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474841197"/>
        <c:crosses val="autoZero"/>
        <c:auto val="1"/>
        <c:lblAlgn val="ctr"/>
        <c:lblOffset val="100"/>
        <c:noMultiLvlLbl val="0"/>
      </c:catAx>
      <c:valAx>
        <c:axId val="474841197"/>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3175" cap="flat" cmpd="sng" algn="ctr">
            <a:noFill/>
            <a:prstDash val="solid"/>
            <a:round/>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736390875"/>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t>一般公共预算财政拨款支出决算结构</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overlay val="0"/>
      <c:spPr>
        <a:noFill/>
        <a:ln w="3175">
          <a:noFill/>
        </a:ln>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[画图.xls]Sheet1!$B$24:$B$27</c:f>
              <c:strCache>
                <c:ptCount val="4"/>
                <c:pt idx="0">
                  <c:v>教育支出</c:v>
                </c:pt>
                <c:pt idx="1">
                  <c:v>社会保障和就业</c:v>
                </c:pt>
                <c:pt idx="2">
                  <c:v>卫生健康支出</c:v>
                </c:pt>
                <c:pt idx="3">
                  <c:v>住房保障支出</c:v>
                </c:pt>
              </c:strCache>
            </c:strRef>
          </c:cat>
          <c:val>
            <c:numRef>
              <c:f>[画图.xls]Sheet1!$C$24:$C$27</c:f>
              <c:numCache>
                <c:formatCode>General</c:formatCode>
                <c:ptCount val="4"/>
                <c:pt idx="0">
                  <c:v>725.66</c:v>
                </c:pt>
                <c:pt idx="1">
                  <c:v>146.95</c:v>
                </c:pt>
                <c:pt idx="2">
                  <c:v>87.21</c:v>
                </c:pt>
                <c:pt idx="3">
                  <c:v>82.37</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0" vertOverflow="ellipsis" vert="horz" wrap="square" anchor="ctr" anchorCtr="1"/>
        <a:lstStyle/>
        <a:p>
          <a:pPr>
            <a:defRPr lang="zh-CN" sz="825"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4882</Words>
  <Characters>5374</Characters>
  <Lines>54</Lines>
  <Paragraphs>15</Paragraphs>
  <TotalTime>0</TotalTime>
  <ScaleCrop>false</ScaleCrop>
  <LinksUpToDate>false</LinksUpToDate>
  <CharactersWithSpaces>5488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邱朝琴</cp:lastModifiedBy>
  <cp:lastPrinted>2023-08-03T02:35:00Z</cp:lastPrinted>
  <dcterms:modified xsi:type="dcterms:W3CDTF">2024-10-14T01:11:49Z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6588B8B578234B89BCAD410D0E4A4796</vt:lpwstr>
  </property>
</Properties>
</file>