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eastAsia="方正小标宋简体"/>
          <w:sz w:val="72"/>
          <w:szCs w:val="72"/>
        </w:rPr>
      </w:pPr>
      <w:bookmarkStart w:id="0" w:name="_Toc15378441"/>
      <w:bookmarkStart w:id="1" w:name="_Toc15377425"/>
      <w:bookmarkStart w:id="2" w:name="_Toc15396475"/>
      <w:bookmarkStart w:id="3" w:name="_Toc15377193"/>
      <w:bookmarkStart w:id="4" w:name="_Toc15396597"/>
      <w:bookmarkStart w:id="5" w:name="_Toc15306267"/>
    </w:p>
    <w:p>
      <w:pPr>
        <w:pStyle w:val="2"/>
        <w:spacing w:before="93"/>
        <w:rPr>
          <w:rFonts w:ascii="Times New Roman"/>
        </w:rPr>
      </w:pPr>
    </w:p>
    <w:p>
      <w:pPr>
        <w:pStyle w:val="2"/>
        <w:spacing w:before="93"/>
        <w:rPr>
          <w:rFonts w:ascii="Times New Roman"/>
        </w:rPr>
      </w:pPr>
    </w:p>
    <w:p>
      <w:pPr>
        <w:adjustRightInd w:val="0"/>
        <w:snapToGrid w:val="0"/>
        <w:spacing w:line="300" w:lineRule="auto"/>
        <w:jc w:val="center"/>
        <w:outlineLvl w:val="0"/>
        <w:rPr>
          <w:rFonts w:eastAsia="方正小标宋简体"/>
          <w:sz w:val="72"/>
          <w:szCs w:val="72"/>
        </w:rPr>
      </w:pPr>
      <w:r>
        <w:rPr>
          <w:rFonts w:eastAsia="方正小标宋简体"/>
          <w:sz w:val="72"/>
          <w:szCs w:val="72"/>
        </w:rPr>
        <w:t>2022年度</w:t>
      </w:r>
      <w:bookmarkEnd w:id="0"/>
      <w:bookmarkEnd w:id="1"/>
      <w:bookmarkEnd w:id="2"/>
      <w:bookmarkEnd w:id="3"/>
      <w:bookmarkEnd w:id="4"/>
    </w:p>
    <w:bookmarkEnd w:id="5"/>
    <w:p>
      <w:pPr>
        <w:adjustRightInd w:val="0"/>
        <w:snapToGrid w:val="0"/>
        <w:spacing w:line="300" w:lineRule="auto"/>
        <w:jc w:val="center"/>
        <w:outlineLvl w:val="0"/>
        <w:rPr>
          <w:rFonts w:eastAsia="方正小标宋简体"/>
          <w:sz w:val="72"/>
          <w:szCs w:val="72"/>
        </w:rPr>
      </w:pPr>
      <w:bookmarkStart w:id="6" w:name="_Toc15377194"/>
      <w:bookmarkStart w:id="7" w:name="_Toc15377426"/>
      <w:bookmarkStart w:id="8" w:name="_Toc15396598"/>
      <w:bookmarkStart w:id="9" w:name="_Toc15306268"/>
      <w:bookmarkStart w:id="10" w:name="_Toc15396476"/>
      <w:bookmarkStart w:id="11" w:name="_Toc15378442"/>
      <w:r>
        <w:rPr>
          <w:rFonts w:eastAsia="方正小标宋简体"/>
          <w:sz w:val="72"/>
          <w:szCs w:val="72"/>
        </w:rPr>
        <w:t>攀枝花市西区</w:t>
      </w:r>
      <w:r>
        <w:rPr>
          <w:rFonts w:eastAsia="方正小标宋简体"/>
          <w:spacing w:val="-20"/>
          <w:sz w:val="72"/>
          <w:szCs w:val="72"/>
        </w:rPr>
        <w:t>河门口街道办事处部门决算</w:t>
      </w:r>
      <w:bookmarkEnd w:id="6"/>
      <w:bookmarkEnd w:id="7"/>
      <w:bookmarkEnd w:id="8"/>
      <w:bookmarkEnd w:id="9"/>
      <w:bookmarkEnd w:id="10"/>
      <w:bookmarkEnd w:id="11"/>
    </w:p>
    <w:p>
      <w:pPr>
        <w:widowControl/>
        <w:spacing w:line="560" w:lineRule="exact"/>
        <w:jc w:val="center"/>
        <w:rPr>
          <w:rFonts w:eastAsia="方正小标宋_GBK"/>
          <w:sz w:val="48"/>
          <w:szCs w:val="48"/>
        </w:rPr>
      </w:pPr>
      <w:r>
        <w:rPr>
          <w:rFonts w:eastAsia="方正小标宋简体"/>
          <w:sz w:val="36"/>
          <w:szCs w:val="36"/>
        </w:rPr>
        <w:br w:type="page"/>
      </w:r>
      <w:bookmarkStart w:id="12" w:name="_Toc15396599"/>
      <w:bookmarkStart w:id="13" w:name="_Toc15377196"/>
      <w:r>
        <w:rPr>
          <w:rFonts w:eastAsia="方正小标宋_GBK"/>
          <w:sz w:val="48"/>
          <w:szCs w:val="48"/>
        </w:rPr>
        <w:t>目录</w:t>
      </w:r>
    </w:p>
    <w:p>
      <w:pPr>
        <w:pStyle w:val="11"/>
        <w:spacing w:line="560" w:lineRule="exact"/>
        <w:ind w:firstLine="560" w:firstLineChars="200"/>
        <w:rPr>
          <w:rFonts w:ascii="Times New Roman" w:hAnsi="Times New Roman"/>
        </w:rPr>
      </w:pPr>
      <w:r>
        <w:rPr>
          <w:rFonts w:ascii="Times New Roman" w:hAnsi="Times New Roman"/>
        </w:rPr>
        <w:t>公开时间：2023年10月31日</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第一部分部门概况</w:t>
      </w:r>
      <w:r>
        <w:rPr>
          <w:rFonts w:ascii="Times New Roman" w:hAnsi="Times New Roman"/>
        </w:rPr>
        <w:tab/>
      </w:r>
      <w:r>
        <w:rPr>
          <w:rFonts w:ascii="Times New Roman" w:hAnsi="Times New Roman" w:eastAsia="宋体"/>
          <w:sz w:val="21"/>
          <w:szCs w:val="24"/>
        </w:rPr>
        <w:t>4</w:t>
      </w:r>
    </w:p>
    <w:p>
      <w:pPr>
        <w:pStyle w:val="12"/>
        <w:adjustRightInd w:val="0"/>
        <w:snapToGrid w:val="0"/>
        <w:spacing w:line="440" w:lineRule="exact"/>
        <w:jc w:val="left"/>
        <w:rPr>
          <w:rFonts w:eastAsia="仿宋"/>
          <w:sz w:val="24"/>
        </w:rPr>
      </w:pPr>
      <w:r>
        <w:rPr>
          <w:sz w:val="24"/>
        </w:rPr>
        <w:t>一、部门职责</w:t>
      </w:r>
      <w:r>
        <w:tab/>
      </w:r>
      <w:r>
        <w:rPr>
          <w:rFonts w:hint="eastAsia"/>
        </w:rPr>
        <w:t>4</w:t>
      </w:r>
    </w:p>
    <w:p>
      <w:pPr>
        <w:pStyle w:val="12"/>
        <w:adjustRightInd w:val="0"/>
        <w:snapToGrid w:val="0"/>
        <w:spacing w:line="440" w:lineRule="exact"/>
        <w:jc w:val="left"/>
        <w:rPr>
          <w:rFonts w:eastAsia="仿宋"/>
          <w:sz w:val="24"/>
        </w:rPr>
      </w:pPr>
      <w:r>
        <w:rPr>
          <w:sz w:val="24"/>
        </w:rPr>
        <w:t>二、机构设置</w:t>
      </w:r>
      <w:r>
        <w:tab/>
      </w:r>
      <w:r>
        <w:rPr>
          <w:rFonts w:hint="eastAsia"/>
        </w:rPr>
        <w:t>5</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第二部分 2022年度部门决算情况说明</w:t>
      </w:r>
      <w:r>
        <w:rPr>
          <w:rFonts w:ascii="Times New Roman" w:hAnsi="Times New Roman"/>
        </w:rPr>
        <w:tab/>
      </w:r>
      <w:r>
        <w:rPr>
          <w:rFonts w:hint="eastAsia" w:ascii="Times New Roman" w:hAnsi="Times New Roman" w:eastAsia="宋体"/>
          <w:sz w:val="21"/>
          <w:szCs w:val="24"/>
        </w:rPr>
        <w:t>6</w:t>
      </w:r>
    </w:p>
    <w:p>
      <w:pPr>
        <w:pStyle w:val="12"/>
        <w:adjustRightInd w:val="0"/>
        <w:snapToGrid w:val="0"/>
        <w:spacing w:line="440" w:lineRule="exact"/>
        <w:jc w:val="left"/>
        <w:rPr>
          <w:rFonts w:eastAsia="仿宋"/>
          <w:sz w:val="24"/>
        </w:rPr>
      </w:pPr>
      <w:r>
        <w:rPr>
          <w:sz w:val="24"/>
        </w:rPr>
        <w:t>一、收入支出决算总体情况说明</w:t>
      </w:r>
      <w:r>
        <w:tab/>
      </w:r>
      <w:r>
        <w:rPr>
          <w:rFonts w:hint="eastAsia"/>
        </w:rPr>
        <w:t>6</w:t>
      </w:r>
    </w:p>
    <w:p>
      <w:pPr>
        <w:pStyle w:val="12"/>
        <w:adjustRightInd w:val="0"/>
        <w:snapToGrid w:val="0"/>
        <w:spacing w:line="440" w:lineRule="exact"/>
        <w:jc w:val="left"/>
        <w:rPr>
          <w:rFonts w:eastAsia="仿宋"/>
          <w:sz w:val="24"/>
        </w:rPr>
      </w:pPr>
      <w:r>
        <w:rPr>
          <w:sz w:val="24"/>
        </w:rPr>
        <w:t>二、收入决算情况说明</w:t>
      </w:r>
      <w:r>
        <w:tab/>
      </w:r>
      <w:r>
        <w:rPr>
          <w:rFonts w:hint="eastAsia"/>
        </w:rPr>
        <w:t>7</w:t>
      </w:r>
    </w:p>
    <w:p>
      <w:pPr>
        <w:pStyle w:val="12"/>
        <w:adjustRightInd w:val="0"/>
        <w:snapToGrid w:val="0"/>
        <w:spacing w:line="440" w:lineRule="exact"/>
        <w:jc w:val="left"/>
        <w:rPr>
          <w:rFonts w:eastAsia="仿宋"/>
          <w:sz w:val="24"/>
        </w:rPr>
      </w:pPr>
      <w:r>
        <w:rPr>
          <w:sz w:val="24"/>
        </w:rPr>
        <w:t>三、支出决算情况说明</w:t>
      </w:r>
      <w:r>
        <w:tab/>
      </w:r>
      <w:r>
        <w:rPr>
          <w:rFonts w:hint="eastAsia"/>
        </w:rPr>
        <w:t>7</w:t>
      </w:r>
    </w:p>
    <w:p>
      <w:pPr>
        <w:pStyle w:val="12"/>
        <w:adjustRightInd w:val="0"/>
        <w:snapToGrid w:val="0"/>
        <w:spacing w:line="440" w:lineRule="exact"/>
        <w:jc w:val="left"/>
        <w:rPr>
          <w:rFonts w:eastAsia="仿宋"/>
          <w:sz w:val="24"/>
        </w:rPr>
      </w:pPr>
      <w:r>
        <w:rPr>
          <w:sz w:val="24"/>
        </w:rPr>
        <w:t>四、财政拨款收入支出决算总体情况说明</w:t>
      </w:r>
      <w:r>
        <w:tab/>
      </w:r>
      <w:r>
        <w:rPr>
          <w:rFonts w:hint="eastAsia"/>
        </w:rPr>
        <w:t>8</w:t>
      </w:r>
    </w:p>
    <w:p>
      <w:pPr>
        <w:pStyle w:val="12"/>
        <w:adjustRightInd w:val="0"/>
        <w:snapToGrid w:val="0"/>
        <w:spacing w:line="440" w:lineRule="exact"/>
        <w:jc w:val="left"/>
        <w:rPr>
          <w:rFonts w:eastAsia="仿宋"/>
          <w:sz w:val="24"/>
        </w:rPr>
      </w:pPr>
      <w:r>
        <w:rPr>
          <w:sz w:val="24"/>
        </w:rPr>
        <w:t>五、一般公共预算财政拨款支出决算情况说明</w:t>
      </w:r>
      <w:r>
        <w:tab/>
      </w:r>
      <w:r>
        <w:rPr>
          <w:rFonts w:hint="eastAsia"/>
        </w:rPr>
        <w:t>9</w:t>
      </w:r>
    </w:p>
    <w:p>
      <w:pPr>
        <w:pStyle w:val="12"/>
        <w:adjustRightInd w:val="0"/>
        <w:snapToGrid w:val="0"/>
        <w:spacing w:line="440" w:lineRule="exact"/>
        <w:jc w:val="left"/>
        <w:rPr>
          <w:rFonts w:eastAsia="仿宋"/>
          <w:sz w:val="24"/>
        </w:rPr>
      </w:pPr>
      <w:r>
        <w:rPr>
          <w:sz w:val="24"/>
        </w:rPr>
        <w:t>六、一般公共预算财政拨款基本支出决算情况说明</w:t>
      </w:r>
      <w:r>
        <w:tab/>
      </w:r>
      <w:r>
        <w:t>1</w:t>
      </w:r>
      <w:r>
        <w:rPr>
          <w:rFonts w:hint="eastAsia"/>
        </w:rPr>
        <w:t>4</w:t>
      </w:r>
    </w:p>
    <w:p>
      <w:pPr>
        <w:pStyle w:val="12"/>
        <w:adjustRightInd w:val="0"/>
        <w:snapToGrid w:val="0"/>
        <w:spacing w:line="440" w:lineRule="exact"/>
        <w:jc w:val="left"/>
        <w:rPr>
          <w:rFonts w:eastAsia="仿宋"/>
          <w:sz w:val="24"/>
        </w:rPr>
      </w:pPr>
      <w:r>
        <w:rPr>
          <w:sz w:val="24"/>
        </w:rPr>
        <w:t>七、“三公”经费财政拨款支出决算情况说明</w:t>
      </w:r>
      <w:r>
        <w:tab/>
      </w:r>
      <w:r>
        <w:t>1</w:t>
      </w:r>
      <w:r>
        <w:rPr>
          <w:rFonts w:hint="eastAsia"/>
        </w:rPr>
        <w:t>4</w:t>
      </w:r>
    </w:p>
    <w:p>
      <w:pPr>
        <w:pStyle w:val="12"/>
        <w:adjustRightInd w:val="0"/>
        <w:snapToGrid w:val="0"/>
        <w:spacing w:line="440" w:lineRule="exact"/>
        <w:jc w:val="left"/>
        <w:rPr>
          <w:rFonts w:eastAsia="仿宋"/>
          <w:sz w:val="24"/>
        </w:rPr>
      </w:pPr>
      <w:r>
        <w:rPr>
          <w:sz w:val="24"/>
        </w:rPr>
        <w:t>八、政府性基金预算支出决算情况说明</w:t>
      </w:r>
      <w:r>
        <w:tab/>
      </w:r>
      <w:r>
        <w:rPr>
          <w:rFonts w:hint="eastAsia"/>
        </w:rPr>
        <w:t>16</w:t>
      </w:r>
    </w:p>
    <w:p>
      <w:pPr>
        <w:pStyle w:val="12"/>
        <w:adjustRightInd w:val="0"/>
        <w:snapToGrid w:val="0"/>
        <w:spacing w:line="440" w:lineRule="exact"/>
        <w:ind w:leftChars="0"/>
        <w:jc w:val="left"/>
        <w:rPr>
          <w:rFonts w:eastAsiaTheme="minorEastAsia"/>
          <w:sz w:val="24"/>
        </w:rPr>
      </w:pPr>
      <w:r>
        <w:rPr>
          <w:rFonts w:eastAsiaTheme="minorEastAsia"/>
          <w:sz w:val="24"/>
        </w:rPr>
        <w:t>九、国有资本经营预算支出决算情况说明</w:t>
      </w:r>
      <w:r>
        <w:tab/>
      </w:r>
      <w:r>
        <w:rPr>
          <w:rFonts w:hint="eastAsia"/>
        </w:rPr>
        <w:t>16</w:t>
      </w:r>
    </w:p>
    <w:p>
      <w:pPr>
        <w:adjustRightInd w:val="0"/>
        <w:snapToGrid w:val="0"/>
        <w:spacing w:line="440" w:lineRule="exact"/>
        <w:ind w:firstLine="420" w:firstLineChars="200"/>
        <w:jc w:val="left"/>
        <w:rPr>
          <w:sz w:val="24"/>
        </w:rPr>
      </w:pPr>
      <w:r>
        <w:rPr>
          <w:rFonts w:eastAsiaTheme="minorEastAsia"/>
        </w:rPr>
        <w:t>十、</w:t>
      </w:r>
      <w:r>
        <w:rPr>
          <w:rFonts w:eastAsiaTheme="minorEastAsia"/>
          <w:sz w:val="24"/>
        </w:rPr>
        <w:t>其他重要事项的情况说明</w:t>
      </w:r>
      <w:r>
        <w:rPr>
          <w:sz w:val="24"/>
        </w:rPr>
        <w:t>........................................................................... .</w:t>
      </w:r>
      <w:r>
        <w:rPr>
          <w:rFonts w:hint="eastAsia"/>
        </w:rPr>
        <w:t>16</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第三部分名词解释</w:t>
      </w:r>
      <w:r>
        <w:rPr>
          <w:rFonts w:ascii="Times New Roman" w:hAnsi="Times New Roman"/>
        </w:rPr>
        <w:tab/>
      </w:r>
      <w:r>
        <w:rPr>
          <w:rFonts w:hint="eastAsia" w:ascii="Times New Roman" w:hAnsi="Times New Roman" w:eastAsia="宋体"/>
          <w:sz w:val="21"/>
          <w:szCs w:val="24"/>
        </w:rPr>
        <w:t>17</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第四部分附件</w:t>
      </w:r>
      <w:r>
        <w:rPr>
          <w:rFonts w:ascii="Times New Roman" w:hAnsi="Times New Roman"/>
        </w:rPr>
        <w:tab/>
      </w:r>
      <w:r>
        <w:rPr>
          <w:rFonts w:hint="eastAsia" w:ascii="Times New Roman" w:hAnsi="Times New Roman" w:eastAsia="宋体"/>
          <w:sz w:val="21"/>
          <w:szCs w:val="24"/>
        </w:rPr>
        <w:t>21</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第五部分附表</w:t>
      </w:r>
      <w:r>
        <w:rPr>
          <w:rFonts w:ascii="Times New Roman" w:hAnsi="Times New Roman"/>
        </w:rPr>
        <w:tab/>
      </w:r>
      <w:r>
        <w:rPr>
          <w:rFonts w:hint="eastAsia" w:ascii="Times New Roman" w:hAnsi="Times New Roman" w:eastAsia="宋体"/>
          <w:sz w:val="21"/>
          <w:szCs w:val="24"/>
        </w:rPr>
        <w:t>48</w:t>
      </w:r>
    </w:p>
    <w:p>
      <w:pPr>
        <w:pStyle w:val="12"/>
        <w:adjustRightInd w:val="0"/>
        <w:snapToGrid w:val="0"/>
        <w:spacing w:line="440" w:lineRule="exact"/>
        <w:jc w:val="left"/>
        <w:rPr>
          <w:rFonts w:eastAsia="仿宋"/>
          <w:sz w:val="24"/>
        </w:rPr>
      </w:pPr>
      <w:r>
        <w:rPr>
          <w:rFonts w:eastAsia="仿宋"/>
          <w:sz w:val="24"/>
        </w:rPr>
        <w:t>一、</w:t>
      </w:r>
      <w:r>
        <w:rPr>
          <w:sz w:val="24"/>
        </w:rPr>
        <w:t>收入支出决算总表</w:t>
      </w:r>
      <w:r>
        <w:tab/>
      </w:r>
      <w:r>
        <w:rPr>
          <w:rFonts w:hint="eastAsia"/>
        </w:rPr>
        <w:t>48</w:t>
      </w:r>
    </w:p>
    <w:p>
      <w:pPr>
        <w:pStyle w:val="12"/>
        <w:adjustRightInd w:val="0"/>
        <w:snapToGrid w:val="0"/>
        <w:spacing w:line="440" w:lineRule="exact"/>
        <w:jc w:val="left"/>
        <w:rPr>
          <w:rFonts w:eastAsiaTheme="minorEastAsia"/>
          <w:sz w:val="24"/>
        </w:rPr>
      </w:pPr>
      <w:r>
        <w:rPr>
          <w:rFonts w:eastAsiaTheme="minorEastAsia"/>
          <w:sz w:val="24"/>
        </w:rPr>
        <w:t>二、收入决算表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三、支出决算表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四、财政拨款收入支出决算总表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五、财政拨款支出决算明细表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六、一般公共预算财政拨款支出决算表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七、一般公共预算财政拨款支出决算明细表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八、一般公共预算财政拨款基本支出决算明细表</w:t>
      </w:r>
      <w:r>
        <w:tab/>
      </w:r>
      <w:r>
        <w:t>4</w:t>
      </w:r>
      <w:r>
        <w:rPr>
          <w:rFonts w:hint="eastAsia"/>
        </w:rPr>
        <w:t>8</w:t>
      </w:r>
    </w:p>
    <w:p>
      <w:pPr>
        <w:pStyle w:val="12"/>
        <w:adjustRightInd w:val="0"/>
        <w:snapToGrid w:val="0"/>
        <w:spacing w:line="440" w:lineRule="exact"/>
        <w:jc w:val="left"/>
      </w:pPr>
      <w:r>
        <w:rPr>
          <w:rFonts w:eastAsiaTheme="minorEastAsia"/>
          <w:sz w:val="24"/>
        </w:rPr>
        <w:t>九、一般公共预算财政拨款项目支出决算表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十、政府性基金预算财政拨款收入支出决算表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十一、国有资本经营预算财政拨款收入支出决算表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十二、国有资本经营预算财政拨款支出决算表</w:t>
      </w:r>
      <w:r>
        <w:tab/>
      </w:r>
      <w:r>
        <w:t>4</w:t>
      </w:r>
      <w:r>
        <w:rPr>
          <w:rFonts w:hint="eastAsia"/>
        </w:rPr>
        <w:t>8</w:t>
      </w:r>
    </w:p>
    <w:p>
      <w:pPr>
        <w:pStyle w:val="12"/>
        <w:adjustRightInd w:val="0"/>
        <w:snapToGrid w:val="0"/>
        <w:spacing w:line="440" w:lineRule="exact"/>
        <w:jc w:val="left"/>
        <w:rPr>
          <w:rFonts w:eastAsiaTheme="minorEastAsia"/>
          <w:sz w:val="24"/>
        </w:rPr>
      </w:pPr>
      <w:r>
        <w:rPr>
          <w:rFonts w:eastAsiaTheme="minorEastAsia"/>
          <w:sz w:val="24"/>
        </w:rPr>
        <w:t>十三、财政拨款“三公”经费支出决算表</w:t>
      </w:r>
      <w:r>
        <w:tab/>
      </w:r>
      <w:r>
        <w:t>4</w:t>
      </w:r>
      <w:r>
        <w:rPr>
          <w:rFonts w:hint="eastAsia"/>
        </w:rPr>
        <w:t>8</w:t>
      </w:r>
    </w:p>
    <w:p>
      <w:pPr>
        <w:widowControl/>
        <w:spacing w:line="440" w:lineRule="exact"/>
        <w:jc w:val="left"/>
        <w:rPr>
          <w:rFonts w:eastAsia="仿宋"/>
          <w:bCs/>
          <w:kern w:val="44"/>
          <w:sz w:val="24"/>
        </w:rPr>
      </w:pPr>
      <w:r>
        <w:rPr>
          <w:rFonts w:eastAsia="仿宋"/>
          <w:b/>
          <w:sz w:val="24"/>
        </w:rPr>
        <w:br w:type="page"/>
      </w:r>
    </w:p>
    <w:p>
      <w:pPr>
        <w:widowControl/>
        <w:spacing w:line="560" w:lineRule="exact"/>
        <w:jc w:val="center"/>
        <w:rPr>
          <w:rStyle w:val="27"/>
          <w:rFonts w:eastAsia="方正小标宋_GBK"/>
          <w:b w:val="0"/>
        </w:rPr>
      </w:pPr>
      <w:r>
        <w:rPr>
          <w:rStyle w:val="27"/>
          <w:rFonts w:eastAsia="方正小标宋_GBK"/>
          <w:b w:val="0"/>
        </w:rPr>
        <w:t>第一部分部门概况</w:t>
      </w:r>
      <w:bookmarkEnd w:id="12"/>
      <w:bookmarkEnd w:id="13"/>
    </w:p>
    <w:p>
      <w:pPr>
        <w:pStyle w:val="2"/>
        <w:spacing w:before="93"/>
        <w:rPr>
          <w:rFonts w:ascii="Times New Roman"/>
        </w:rPr>
      </w:pPr>
    </w:p>
    <w:p>
      <w:pPr>
        <w:pStyle w:val="4"/>
        <w:spacing w:before="0" w:after="0" w:line="353" w:lineRule="auto"/>
        <w:ind w:firstLine="640" w:firstLineChars="200"/>
        <w:rPr>
          <w:rStyle w:val="28"/>
          <w:rFonts w:ascii="Times New Roman" w:hAnsi="Times New Roman" w:eastAsia="仿宋" w:cs="Times New Roman"/>
          <w:b w:val="0"/>
          <w:bCs w:val="0"/>
        </w:rPr>
      </w:pPr>
      <w:bookmarkStart w:id="14" w:name="_Toc15396600"/>
      <w:bookmarkStart w:id="15" w:name="_Toc15377197"/>
      <w:r>
        <w:rPr>
          <w:rFonts w:ascii="Times New Roman" w:hAnsi="Times New Roman" w:eastAsia="黑体" w:cs="Times New Roman"/>
          <w:b w:val="0"/>
        </w:rPr>
        <w:t>一、</w:t>
      </w:r>
      <w:bookmarkEnd w:id="14"/>
      <w:bookmarkEnd w:id="15"/>
      <w:r>
        <w:rPr>
          <w:rFonts w:ascii="Times New Roman" w:hAnsi="Times New Roman" w:eastAsia="黑体" w:cs="Times New Roman"/>
          <w:b w:val="0"/>
        </w:rPr>
        <w:t>部门职责</w:t>
      </w:r>
    </w:p>
    <w:p>
      <w:pPr>
        <w:spacing w:line="353" w:lineRule="auto"/>
        <w:ind w:firstLine="640" w:firstLineChars="200"/>
        <w:rPr>
          <w:rFonts w:eastAsia="仿宋_GB2312"/>
          <w:sz w:val="32"/>
          <w:szCs w:val="32"/>
        </w:rPr>
      </w:pPr>
      <w:bookmarkStart w:id="16" w:name="_Toc15377199"/>
      <w:bookmarkStart w:id="17" w:name="_Toc15378446"/>
      <w:r>
        <w:rPr>
          <w:rFonts w:eastAsia="仿宋_GB2312"/>
          <w:sz w:val="32"/>
          <w:szCs w:val="32"/>
        </w:rPr>
        <w:t>1.贯彻执行党和国家的各项法律、法规、规章以及上级政府的决议、决定，依法管理基层公共事务。</w:t>
      </w:r>
    </w:p>
    <w:p>
      <w:pPr>
        <w:spacing w:line="353" w:lineRule="auto"/>
        <w:ind w:firstLine="640" w:firstLineChars="200"/>
        <w:rPr>
          <w:rFonts w:eastAsia="仿宋_GB2312"/>
          <w:sz w:val="32"/>
          <w:szCs w:val="32"/>
        </w:rPr>
      </w:pPr>
      <w:r>
        <w:rPr>
          <w:rFonts w:eastAsia="仿宋_GB2312"/>
          <w:sz w:val="32"/>
          <w:szCs w:val="32"/>
        </w:rPr>
        <w:t>2.负责辖区经济、文化、教育体育、科技、卫生健康、民政、社会保障、民族宗教、住房保障、司法、退役军人、统计等公共管理和公共服务工作，积极构建公共服务均等化体系，促进社会事业发展。推进“最多跑一次”改革，建立健全群众办事一次办结机制，优化便民服务质量。</w:t>
      </w:r>
    </w:p>
    <w:p>
      <w:pPr>
        <w:spacing w:line="353" w:lineRule="auto"/>
        <w:ind w:firstLine="640" w:firstLineChars="200"/>
        <w:rPr>
          <w:rFonts w:eastAsia="仿宋_GB2312"/>
          <w:sz w:val="32"/>
          <w:szCs w:val="32"/>
        </w:rPr>
      </w:pPr>
      <w:r>
        <w:rPr>
          <w:rFonts w:eastAsia="仿宋_GB2312"/>
          <w:sz w:val="32"/>
          <w:szCs w:val="32"/>
        </w:rPr>
        <w:t>3.负责辖区环境保护、秩序治理、物业管理、城乡环境综合治理等城市管理工作，开展爱国卫生、环境卫生监督检查，营造良好发展环境。整合基层一线执法力量，充分发挥属地管理优势，强化对辖区范围内执法力量的统一指挥和统筹协调。</w:t>
      </w:r>
    </w:p>
    <w:p>
      <w:pPr>
        <w:spacing w:line="353" w:lineRule="auto"/>
        <w:ind w:firstLine="640" w:firstLineChars="200"/>
        <w:rPr>
          <w:rFonts w:eastAsia="仿宋_GB2312"/>
          <w:sz w:val="32"/>
          <w:szCs w:val="32"/>
        </w:rPr>
      </w:pPr>
      <w:r>
        <w:rPr>
          <w:rFonts w:eastAsia="仿宋_GB2312"/>
          <w:sz w:val="32"/>
          <w:szCs w:val="32"/>
        </w:rPr>
        <w:t>4.负责辖区平安建设、社会治安综合治理工作，处理群众来信来访，反映社情民意，建立社会矛盾纠纷排查调处机制，维护社会和谐稳定。</w:t>
      </w:r>
    </w:p>
    <w:p>
      <w:pPr>
        <w:spacing w:line="353" w:lineRule="auto"/>
        <w:ind w:firstLine="640" w:firstLineChars="200"/>
        <w:rPr>
          <w:rFonts w:eastAsia="仿宋_GB2312"/>
          <w:sz w:val="32"/>
          <w:szCs w:val="32"/>
        </w:rPr>
      </w:pPr>
      <w:r>
        <w:rPr>
          <w:rFonts w:eastAsia="仿宋_GB2312"/>
          <w:sz w:val="32"/>
          <w:szCs w:val="32"/>
        </w:rPr>
        <w:t>5.负责辖区公共安全，协助做好安全生产、防汛、防火、防灾减灾等应急管理工作，构建公共安全防控体系，建立应对突发紧急事件的处理预案。</w:t>
      </w:r>
    </w:p>
    <w:p>
      <w:pPr>
        <w:spacing w:line="353" w:lineRule="auto"/>
        <w:ind w:firstLine="640" w:firstLineChars="200"/>
        <w:rPr>
          <w:rFonts w:eastAsia="仿宋_GB2312"/>
          <w:sz w:val="32"/>
          <w:szCs w:val="32"/>
        </w:rPr>
      </w:pPr>
      <w:r>
        <w:rPr>
          <w:rFonts w:eastAsia="仿宋_GB2312"/>
          <w:sz w:val="32"/>
          <w:szCs w:val="32"/>
        </w:rPr>
        <w:t>6.领导社区居委会建设，指导社区居委会工作，培育、发展社区社会组织，组织社区居民参与社区建设和管理，健全完善自治、法治、德治相结合的城市基层治理体系。</w:t>
      </w:r>
    </w:p>
    <w:p>
      <w:pPr>
        <w:spacing w:line="353" w:lineRule="auto"/>
        <w:ind w:firstLine="640" w:firstLineChars="200"/>
        <w:rPr>
          <w:rFonts w:eastAsia="仿宋_GB2312"/>
          <w:sz w:val="32"/>
          <w:szCs w:val="32"/>
        </w:rPr>
      </w:pPr>
      <w:r>
        <w:rPr>
          <w:rFonts w:eastAsia="仿宋_GB2312"/>
          <w:sz w:val="32"/>
          <w:szCs w:val="32"/>
        </w:rPr>
        <w:t>7.牵头协调职能部门及其派出机构，共同处理地区性、综合性社会管理事务。动员辖区各类单位、社会组织和社区居民等社会力量参与基层社会治理，引导辖区单位履行社会责任，统筹辖区资源，实现共建共治共享。</w:t>
      </w:r>
    </w:p>
    <w:p>
      <w:pPr>
        <w:spacing w:line="353" w:lineRule="auto"/>
        <w:ind w:firstLine="640" w:firstLineChars="200"/>
        <w:rPr>
          <w:rFonts w:eastAsia="仿宋_GB2312"/>
          <w:sz w:val="32"/>
          <w:szCs w:val="32"/>
        </w:rPr>
      </w:pPr>
      <w:r>
        <w:rPr>
          <w:rFonts w:eastAsia="仿宋_GB2312"/>
          <w:sz w:val="32"/>
          <w:szCs w:val="32"/>
        </w:rPr>
        <w:t>8.完成区委、区政府交办的其他工作。</w:t>
      </w:r>
    </w:p>
    <w:bookmarkEnd w:id="16"/>
    <w:bookmarkEnd w:id="17"/>
    <w:p>
      <w:pPr>
        <w:pStyle w:val="4"/>
        <w:spacing w:before="0" w:after="0" w:line="353" w:lineRule="auto"/>
        <w:ind w:firstLine="640" w:firstLineChars="200"/>
        <w:rPr>
          <w:rStyle w:val="28"/>
          <w:rFonts w:ascii="Times New Roman" w:hAnsi="Times New Roman" w:cs="Times New Roman"/>
          <w:b w:val="0"/>
          <w:bCs w:val="0"/>
        </w:rPr>
      </w:pPr>
      <w:bookmarkStart w:id="18" w:name="_Toc15396601"/>
      <w:bookmarkStart w:id="19" w:name="_Toc15377200"/>
      <w:r>
        <w:rPr>
          <w:rFonts w:ascii="Times New Roman" w:hAnsi="Times New Roman" w:eastAsia="黑体" w:cs="Times New Roman"/>
          <w:b w:val="0"/>
        </w:rPr>
        <w:t>二、机</w:t>
      </w:r>
      <w:r>
        <w:rPr>
          <w:rStyle w:val="28"/>
          <w:rFonts w:ascii="Times New Roman" w:hAnsi="Times New Roman" w:eastAsia="黑体" w:cs="Times New Roman"/>
          <w:b w:val="0"/>
          <w:bCs w:val="0"/>
        </w:rPr>
        <w:t>构设置</w:t>
      </w:r>
      <w:bookmarkEnd w:id="18"/>
      <w:bookmarkEnd w:id="19"/>
    </w:p>
    <w:p>
      <w:pPr>
        <w:spacing w:line="353" w:lineRule="auto"/>
        <w:ind w:firstLine="697" w:firstLineChars="218"/>
        <w:rPr>
          <w:rFonts w:eastAsia="仿宋_GB2312"/>
          <w:sz w:val="32"/>
          <w:szCs w:val="32"/>
        </w:rPr>
      </w:pPr>
      <w:r>
        <w:rPr>
          <w:rFonts w:eastAsia="仿宋_GB2312"/>
          <w:sz w:val="32"/>
          <w:szCs w:val="32"/>
        </w:rPr>
        <w:t>攀枝花市西区河门口街道办事处内设股室5个，下属二级单位3个，其中行政单位0个，参照公务员法管理的事业单位0个，其他事业单位3个，分别是：攀枝花市西区河门口街道便民服务中心、攀枝花市西区河门口街道党群服务中心、攀枝花市西区河门口街道社会治理事务中心，均为未独立核算事业单位。</w:t>
      </w:r>
    </w:p>
    <w:p>
      <w:pPr>
        <w:spacing w:line="353" w:lineRule="auto"/>
        <w:ind w:firstLine="697" w:firstLineChars="218"/>
        <w:rPr>
          <w:rFonts w:eastAsia="仿宋_GB2312"/>
          <w:sz w:val="32"/>
          <w:szCs w:val="32"/>
        </w:rPr>
      </w:pPr>
      <w:r>
        <w:rPr>
          <w:rFonts w:eastAsia="仿宋_GB2312"/>
          <w:sz w:val="32"/>
          <w:szCs w:val="32"/>
        </w:rPr>
        <w:t>纳入2022年度部门决算编制范围的独立编制单位包括：攀枝花市西区河门口街道办事处。</w:t>
      </w:r>
    </w:p>
    <w:p>
      <w:pPr>
        <w:widowControl/>
        <w:ind w:firstLine="640" w:firstLineChars="200"/>
        <w:jc w:val="left"/>
        <w:rPr>
          <w:rFonts w:eastAsia="仿宋_GB2312"/>
          <w:color w:val="000000"/>
          <w:kern w:val="0"/>
          <w:sz w:val="32"/>
          <w:szCs w:val="32"/>
        </w:rPr>
      </w:pPr>
      <w:r>
        <w:rPr>
          <w:rFonts w:eastAsia="仿宋_GB2312"/>
          <w:color w:val="000000"/>
          <w:sz w:val="32"/>
          <w:szCs w:val="32"/>
        </w:rPr>
        <w:br w:type="page"/>
      </w:r>
    </w:p>
    <w:p>
      <w:pPr>
        <w:pStyle w:val="3"/>
        <w:spacing w:before="0" w:after="0" w:line="240" w:lineRule="auto"/>
        <w:jc w:val="center"/>
        <w:rPr>
          <w:rStyle w:val="27"/>
          <w:rFonts w:eastAsia="方正小标宋_GBK"/>
          <w:b w:val="0"/>
          <w:bCs/>
        </w:rPr>
      </w:pPr>
      <w:bookmarkStart w:id="20" w:name="_Toc15396602"/>
      <w:bookmarkStart w:id="21" w:name="_Toc15377204"/>
      <w:r>
        <w:rPr>
          <w:rFonts w:eastAsia="方正小标宋_GBK"/>
          <w:b w:val="0"/>
        </w:rPr>
        <w:t>第二部分 2022年度</w:t>
      </w:r>
      <w:r>
        <w:rPr>
          <w:rStyle w:val="27"/>
          <w:rFonts w:eastAsia="方正小标宋_GBK"/>
          <w:b w:val="0"/>
          <w:bCs/>
        </w:rPr>
        <w:t>部门决算情况说明</w:t>
      </w:r>
      <w:bookmarkEnd w:id="20"/>
      <w:bookmarkEnd w:id="21"/>
    </w:p>
    <w:p>
      <w:pPr>
        <w:outlineLvl w:val="1"/>
      </w:pPr>
      <w:bookmarkStart w:id="22" w:name="_Toc15377205"/>
      <w:bookmarkStart w:id="23" w:name="_Toc15396603"/>
    </w:p>
    <w:p>
      <w:pPr>
        <w:pStyle w:val="26"/>
        <w:numPr>
          <w:ilvl w:val="0"/>
          <w:numId w:val="1"/>
        </w:numPr>
        <w:spacing w:line="353" w:lineRule="auto"/>
        <w:ind w:firstLineChars="0"/>
        <w:outlineLvl w:val="1"/>
        <w:rPr>
          <w:rStyle w:val="28"/>
          <w:rFonts w:ascii="Times New Roman" w:hAnsi="Times New Roman" w:eastAsia="黑体" w:cs="Times New Roman"/>
          <w:b w:val="0"/>
        </w:rPr>
      </w:pPr>
      <w:r>
        <w:rPr>
          <w:rFonts w:eastAsia="黑体"/>
          <w:sz w:val="32"/>
          <w:szCs w:val="32"/>
        </w:rPr>
        <w:t>收</w:t>
      </w:r>
      <w:r>
        <w:rPr>
          <w:rStyle w:val="28"/>
          <w:rFonts w:ascii="Times New Roman" w:hAnsi="Times New Roman" w:eastAsia="黑体" w:cs="Times New Roman"/>
          <w:b w:val="0"/>
        </w:rPr>
        <w:t>入支出决算总体情况说明</w:t>
      </w:r>
      <w:bookmarkEnd w:id="22"/>
      <w:bookmarkEnd w:id="23"/>
    </w:p>
    <w:p>
      <w:pPr>
        <w:spacing w:line="353" w:lineRule="auto"/>
        <w:ind w:firstLine="640" w:firstLineChars="200"/>
        <w:rPr>
          <w:rFonts w:eastAsia="仿宋_GB2312"/>
          <w:sz w:val="32"/>
          <w:szCs w:val="32"/>
        </w:rPr>
      </w:pPr>
      <w:r>
        <w:rPr>
          <w:rFonts w:eastAsia="仿宋_GB2312"/>
          <w:sz w:val="32"/>
          <w:szCs w:val="32"/>
        </w:rPr>
        <w:t>2022年度收入总计834.12万元，与2021年相比，收入总计增加271.56万元，增长48.27%。主要变动原因是养老综合体、城乡社区治理试点、廉洁教育文化基地等项目预算收入比上年增加。</w:t>
      </w:r>
    </w:p>
    <w:p>
      <w:pPr>
        <w:spacing w:line="353" w:lineRule="auto"/>
        <w:ind w:firstLine="640" w:firstLineChars="200"/>
        <w:rPr>
          <w:rFonts w:eastAsia="仿宋_GB2312"/>
          <w:color w:val="000000"/>
          <w:kern w:val="0"/>
          <w:sz w:val="22"/>
          <w:szCs w:val="22"/>
        </w:rPr>
      </w:pPr>
      <w:r>
        <w:rPr>
          <w:rFonts w:eastAsia="仿宋_GB2312"/>
          <w:sz w:val="32"/>
          <w:szCs w:val="32"/>
        </w:rPr>
        <w:t>2022年度支出总计991.94万元（含上年结转），与2021年相比，支出总计增加400.49万元，增长67.71%。主要变动原因是养老综合体、城乡社区治理试点、廉洁教育文化基地、老旧小区改造等项目预算支出比上年增加。</w:t>
      </w:r>
    </w:p>
    <w:p>
      <w:pPr>
        <w:spacing w:line="353" w:lineRule="auto"/>
        <w:ind w:firstLine="640" w:firstLineChars="200"/>
        <w:jc w:val="center"/>
        <w:rPr>
          <w:rFonts w:eastAsia="仿宋_GB2312"/>
          <w:sz w:val="32"/>
          <w:szCs w:val="32"/>
        </w:rPr>
      </w:pPr>
      <w:r>
        <w:rPr>
          <w:rFonts w:eastAsia="仿宋_GB2312"/>
          <w:sz w:val="32"/>
          <w:szCs w:val="32"/>
        </w:rPr>
        <w:t>（图1：收、支决算总计变动情况图）（柱状图）</w:t>
      </w:r>
    </w:p>
    <w:p>
      <w:pPr>
        <w:ind w:firstLine="640" w:firstLineChars="200"/>
        <w:jc w:val="left"/>
        <w:rPr>
          <w:rFonts w:eastAsia="仿宋_GB2312"/>
          <w:sz w:val="32"/>
          <w:szCs w:val="32"/>
        </w:rPr>
      </w:pPr>
      <w:r>
        <w:rPr>
          <w:rFonts w:eastAsia="仿宋_GB2312"/>
          <w:sz w:val="32"/>
          <w:szCs w:val="32"/>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6"/>
        <w:numPr>
          <w:ilvl w:val="0"/>
          <w:numId w:val="1"/>
        </w:numPr>
        <w:spacing w:line="353" w:lineRule="auto"/>
        <w:ind w:firstLineChars="0"/>
        <w:rPr>
          <w:rStyle w:val="28"/>
          <w:rFonts w:ascii="Times New Roman" w:hAnsi="Times New Roman" w:eastAsia="黑体" w:cs="Times New Roman"/>
          <w:b w:val="0"/>
        </w:rPr>
      </w:pPr>
      <w:bookmarkStart w:id="24" w:name="_Toc15396604"/>
      <w:bookmarkStart w:id="25" w:name="_Toc15377206"/>
      <w:r>
        <w:rPr>
          <w:rFonts w:eastAsia="黑体"/>
          <w:sz w:val="32"/>
          <w:szCs w:val="32"/>
        </w:rPr>
        <w:t>收</w:t>
      </w:r>
      <w:r>
        <w:rPr>
          <w:rStyle w:val="28"/>
          <w:rFonts w:ascii="Times New Roman" w:hAnsi="Times New Roman" w:eastAsia="黑体" w:cs="Times New Roman"/>
          <w:b w:val="0"/>
        </w:rPr>
        <w:t>入决算情况说明</w:t>
      </w:r>
      <w:bookmarkEnd w:id="24"/>
      <w:bookmarkEnd w:id="25"/>
    </w:p>
    <w:p>
      <w:pPr>
        <w:spacing w:line="353" w:lineRule="auto"/>
        <w:ind w:firstLine="640" w:firstLineChars="200"/>
        <w:outlineLvl w:val="1"/>
        <w:rPr>
          <w:rFonts w:eastAsia="仿宋_GB2312"/>
          <w:sz w:val="32"/>
          <w:szCs w:val="32"/>
        </w:rPr>
      </w:pPr>
      <w:r>
        <w:rPr>
          <w:rFonts w:eastAsia="仿宋_GB2312"/>
          <w:sz w:val="32"/>
          <w:szCs w:val="32"/>
        </w:rPr>
        <w:t>2022年本年收入合计834.12万元，其中：一般公共预算财政拨款收入752.25万元，占90%；政府性基金预算财政拨款收入81.87万元，占10%；国有资本经营预算财政拨款收入0万元，占0%；上级补助收入0万元，占0%；事业收入0万元，占0%；经营收入0万元，占0%；附属单位上缴收入0万元，占0%；其他收入0万元，占0%。</w:t>
      </w:r>
    </w:p>
    <w:p>
      <w:pPr>
        <w:spacing w:line="353" w:lineRule="auto"/>
        <w:ind w:firstLine="640" w:firstLineChars="200"/>
        <w:jc w:val="center"/>
        <w:rPr>
          <w:rFonts w:eastAsia="仿宋_GB2312"/>
          <w:sz w:val="32"/>
          <w:szCs w:val="32"/>
        </w:rPr>
      </w:pPr>
      <w:r>
        <w:rPr>
          <w:rFonts w:eastAsia="仿宋_GB2312"/>
          <w:sz w:val="32"/>
          <w:szCs w:val="32"/>
        </w:rPr>
        <w:t>（图2：收入决算结构图）（饼状图）</w:t>
      </w:r>
    </w:p>
    <w:p>
      <w:pPr>
        <w:ind w:firstLine="640" w:firstLineChars="200"/>
        <w:rPr>
          <w:rFonts w:eastAsia="仿宋_GB2312"/>
          <w:sz w:val="32"/>
          <w:szCs w:val="32"/>
        </w:rPr>
      </w:pPr>
      <w:r>
        <w:rPr>
          <w:rFonts w:eastAsia="仿宋_GB2312"/>
          <w:sz w:val="32"/>
          <w:szCs w:val="32"/>
        </w:rPr>
        <w:drawing>
          <wp:inline distT="0" distB="0" distL="0" distR="0">
            <wp:extent cx="5172075" cy="2990850"/>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1"/>
        </w:numPr>
        <w:spacing w:line="356" w:lineRule="auto"/>
        <w:ind w:firstLineChars="0"/>
        <w:rPr>
          <w:rStyle w:val="28"/>
          <w:rFonts w:ascii="Times New Roman" w:hAnsi="Times New Roman" w:eastAsia="黑体" w:cs="Times New Roman"/>
          <w:b w:val="0"/>
        </w:rPr>
      </w:pPr>
      <w:bookmarkStart w:id="26" w:name="_Toc15377207"/>
      <w:bookmarkStart w:id="27" w:name="_Toc15396605"/>
      <w:r>
        <w:rPr>
          <w:rFonts w:eastAsia="黑体"/>
          <w:sz w:val="32"/>
          <w:szCs w:val="32"/>
        </w:rPr>
        <w:t>支</w:t>
      </w:r>
      <w:r>
        <w:rPr>
          <w:rStyle w:val="28"/>
          <w:rFonts w:ascii="Times New Roman" w:hAnsi="Times New Roman" w:eastAsia="黑体" w:cs="Times New Roman"/>
          <w:b w:val="0"/>
        </w:rPr>
        <w:t>出决算情况说明</w:t>
      </w:r>
      <w:bookmarkEnd w:id="26"/>
      <w:bookmarkEnd w:id="27"/>
    </w:p>
    <w:p>
      <w:pPr>
        <w:spacing w:line="356" w:lineRule="auto"/>
        <w:ind w:firstLine="640" w:firstLineChars="200"/>
        <w:outlineLvl w:val="1"/>
        <w:rPr>
          <w:rFonts w:eastAsia="仿宋_GB2312"/>
          <w:sz w:val="32"/>
          <w:szCs w:val="32"/>
        </w:rPr>
      </w:pPr>
      <w:r>
        <w:rPr>
          <w:rFonts w:eastAsia="仿宋_GB2312"/>
          <w:sz w:val="32"/>
          <w:szCs w:val="32"/>
        </w:rPr>
        <w:t>2022年本年支出合计991.93万元，其中：基本支出446.97万元，占45%；项目支出544.97万元，占55%；上缴上级支出0万元，占0%；经营支出0万元，占0%；对附属单位补助支出0万元，占0%。</w:t>
      </w:r>
    </w:p>
    <w:p>
      <w:pPr>
        <w:spacing w:line="356" w:lineRule="auto"/>
        <w:ind w:firstLine="640" w:firstLineChars="200"/>
        <w:jc w:val="center"/>
        <w:rPr>
          <w:rFonts w:eastAsia="仿宋_GB2312"/>
          <w:sz w:val="32"/>
          <w:szCs w:val="32"/>
        </w:rPr>
      </w:pPr>
      <w:r>
        <w:rPr>
          <w:rFonts w:eastAsia="仿宋_GB2312"/>
          <w:sz w:val="32"/>
          <w:szCs w:val="32"/>
        </w:rPr>
        <w:t>（图3：支出决算结构图）（饼状图）</w:t>
      </w:r>
    </w:p>
    <w:p>
      <w:pPr>
        <w:ind w:firstLine="640" w:firstLineChars="200"/>
        <w:rPr>
          <w:rFonts w:eastAsia="仿宋_GB2312"/>
          <w:sz w:val="32"/>
          <w:szCs w:val="32"/>
        </w:rPr>
      </w:pPr>
      <w:r>
        <w:rPr>
          <w:rFonts w:eastAsia="仿宋_GB2312"/>
          <w:sz w:val="32"/>
          <w:szCs w:val="32"/>
        </w:rPr>
        <w:drawing>
          <wp:inline distT="0" distB="0" distL="0" distR="0">
            <wp:extent cx="5029200" cy="2886075"/>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6"/>
        <w:numPr>
          <w:ilvl w:val="0"/>
          <w:numId w:val="1"/>
        </w:numPr>
        <w:spacing w:line="353" w:lineRule="auto"/>
        <w:ind w:firstLineChars="0"/>
        <w:rPr>
          <w:rStyle w:val="28"/>
          <w:rFonts w:ascii="Times New Roman" w:hAnsi="Times New Roman" w:eastAsia="黑体" w:cs="Times New Roman"/>
          <w:b w:val="0"/>
        </w:rPr>
      </w:pPr>
      <w:bookmarkStart w:id="28" w:name="_Toc15396606"/>
      <w:bookmarkStart w:id="29" w:name="_Toc15377208"/>
      <w:r>
        <w:rPr>
          <w:rFonts w:eastAsia="黑体"/>
          <w:sz w:val="32"/>
          <w:szCs w:val="32"/>
        </w:rPr>
        <w:t>财</w:t>
      </w:r>
      <w:r>
        <w:rPr>
          <w:rStyle w:val="28"/>
          <w:rFonts w:ascii="Times New Roman" w:hAnsi="Times New Roman" w:eastAsia="黑体" w:cs="Times New Roman"/>
          <w:b w:val="0"/>
        </w:rPr>
        <w:t>政拨款收入支出决算总体情况说明</w:t>
      </w:r>
      <w:bookmarkEnd w:id="28"/>
      <w:bookmarkEnd w:id="29"/>
    </w:p>
    <w:p>
      <w:pPr>
        <w:spacing w:line="353" w:lineRule="auto"/>
        <w:ind w:firstLine="640" w:firstLineChars="200"/>
        <w:rPr>
          <w:rFonts w:eastAsia="仿宋_GB2312"/>
          <w:sz w:val="32"/>
          <w:szCs w:val="32"/>
        </w:rPr>
      </w:pPr>
      <w:r>
        <w:rPr>
          <w:rFonts w:eastAsia="仿宋_GB2312"/>
          <w:sz w:val="32"/>
          <w:szCs w:val="32"/>
        </w:rPr>
        <w:t>2022年财政拨款收入总计834.12万元，与2021年相比，财政拨款收入总计增加271.56万元，增长48.27%。主要变动原因是养老综合体、城乡社区治理试点、廉洁教育文化基地等项目财政拨款收入比上年增加。</w:t>
      </w:r>
    </w:p>
    <w:p>
      <w:pPr>
        <w:spacing w:line="353" w:lineRule="auto"/>
        <w:ind w:firstLine="640" w:firstLineChars="200"/>
        <w:rPr>
          <w:rFonts w:eastAsia="仿宋_GB2312"/>
          <w:color w:val="000000"/>
          <w:kern w:val="0"/>
          <w:sz w:val="22"/>
          <w:szCs w:val="22"/>
        </w:rPr>
      </w:pPr>
      <w:r>
        <w:rPr>
          <w:rFonts w:eastAsia="仿宋_GB2312"/>
          <w:sz w:val="32"/>
          <w:szCs w:val="32"/>
        </w:rPr>
        <w:t>2022年财政拨款支出总计991.94万元（含上年结转），与2021年相比，财政拨款支出增加400.49万元，增长67.71%。主要变动原因是养老综合体、城乡社区治理试点、廉洁教育文化基地等项目财政拨款支出比上年增加。</w:t>
      </w:r>
    </w:p>
    <w:p>
      <w:pPr>
        <w:spacing w:line="353" w:lineRule="auto"/>
        <w:ind w:firstLine="640" w:firstLineChars="200"/>
        <w:rPr>
          <w:rFonts w:eastAsia="仿宋_GB2312"/>
          <w:sz w:val="32"/>
          <w:szCs w:val="32"/>
        </w:rPr>
      </w:pPr>
      <w:r>
        <w:rPr>
          <w:rFonts w:eastAsia="仿宋_GB2312"/>
          <w:sz w:val="32"/>
          <w:szCs w:val="32"/>
        </w:rPr>
        <w:t>（图4：财政拨款收、支决算总计变动情况）（柱状图）</w:t>
      </w:r>
    </w:p>
    <w:p>
      <w:pPr>
        <w:ind w:firstLine="643" w:firstLineChars="200"/>
        <w:rPr>
          <w:rFonts w:eastAsia="仿宋"/>
          <w:b/>
          <w:sz w:val="32"/>
          <w:szCs w:val="32"/>
        </w:rPr>
      </w:pPr>
      <w:r>
        <w:rPr>
          <w:rFonts w:eastAsia="仿宋"/>
          <w:b/>
          <w:sz w:val="32"/>
          <w:szCs w:val="32"/>
        </w:rPr>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53" w:lineRule="auto"/>
        <w:ind w:firstLine="640" w:firstLineChars="200"/>
        <w:outlineLvl w:val="1"/>
        <w:rPr>
          <w:rStyle w:val="28"/>
          <w:rFonts w:ascii="Times New Roman" w:hAnsi="Times New Roman" w:eastAsia="黑体" w:cs="Times New Roman"/>
          <w:b w:val="0"/>
        </w:rPr>
      </w:pPr>
      <w:bookmarkStart w:id="30" w:name="_Toc15396607"/>
      <w:bookmarkStart w:id="31" w:name="_Toc15377209"/>
      <w:r>
        <w:rPr>
          <w:rFonts w:eastAsia="黑体"/>
          <w:sz w:val="32"/>
          <w:szCs w:val="32"/>
        </w:rPr>
        <w:t>五、</w:t>
      </w:r>
      <w:r>
        <w:rPr>
          <w:rFonts w:eastAsia="黑体"/>
          <w:b/>
          <w:sz w:val="32"/>
          <w:szCs w:val="32"/>
        </w:rPr>
        <w:t>一</w:t>
      </w:r>
      <w:r>
        <w:rPr>
          <w:rStyle w:val="28"/>
          <w:rFonts w:ascii="Times New Roman" w:hAnsi="Times New Roman" w:eastAsia="黑体" w:cs="Times New Roman"/>
          <w:b w:val="0"/>
        </w:rPr>
        <w:t>般公共预算财政拨款支出决算情况说明</w:t>
      </w:r>
      <w:bookmarkEnd w:id="30"/>
      <w:bookmarkEnd w:id="31"/>
    </w:p>
    <w:p>
      <w:pPr>
        <w:spacing w:line="353" w:lineRule="auto"/>
        <w:ind w:firstLine="640" w:firstLineChars="200"/>
        <w:outlineLvl w:val="2"/>
        <w:rPr>
          <w:rFonts w:eastAsia="楷体_GB2312"/>
          <w:bCs/>
          <w:sz w:val="32"/>
          <w:szCs w:val="32"/>
        </w:rPr>
      </w:pPr>
      <w:bookmarkStart w:id="32" w:name="_Toc15377210"/>
      <w:r>
        <w:rPr>
          <w:rFonts w:eastAsia="楷体_GB2312"/>
          <w:bCs/>
          <w:sz w:val="32"/>
          <w:szCs w:val="32"/>
        </w:rPr>
        <w:t>（一）一般公共预算财政拨款支出决算总体情况</w:t>
      </w:r>
      <w:bookmarkEnd w:id="32"/>
      <w:r>
        <w:rPr>
          <w:rFonts w:eastAsia="楷体_GB2312"/>
          <w:bCs/>
          <w:sz w:val="32"/>
          <w:szCs w:val="32"/>
        </w:rPr>
        <w:t>。</w:t>
      </w:r>
    </w:p>
    <w:p>
      <w:pPr>
        <w:spacing w:line="353" w:lineRule="auto"/>
        <w:ind w:firstLine="640" w:firstLineChars="200"/>
        <w:rPr>
          <w:rFonts w:eastAsia="仿宋_GB2312"/>
          <w:sz w:val="32"/>
          <w:szCs w:val="32"/>
        </w:rPr>
      </w:pPr>
      <w:r>
        <w:rPr>
          <w:rFonts w:eastAsia="仿宋_GB2312"/>
          <w:sz w:val="32"/>
          <w:szCs w:val="32"/>
        </w:rPr>
        <w:t>2022年一般公共预算财政拨款支出910.07万元，占本年支出合计的91.75%。与2021年相比，一般公共预算财政拨款支出增加325.02万元，增长55.55%。主要变动原因是一般公共预算财政拨款养老综合体、城乡社区治理试点、廉洁教育文化基地等项目支出增加。</w:t>
      </w:r>
    </w:p>
    <w:p>
      <w:pPr>
        <w:spacing w:line="353" w:lineRule="auto"/>
        <w:jc w:val="center"/>
        <w:rPr>
          <w:rFonts w:eastAsia="仿宋_GB2312"/>
          <w:sz w:val="32"/>
          <w:szCs w:val="32"/>
        </w:rPr>
      </w:pPr>
      <w:r>
        <w:rPr>
          <w:rFonts w:eastAsia="仿宋_GB2312"/>
          <w:sz w:val="32"/>
          <w:szCs w:val="32"/>
        </w:rPr>
        <w:t>（图5：一般公共预算财政拨款支出决算变动情况）（柱状图）</w:t>
      </w:r>
    </w:p>
    <w:p>
      <w:pPr>
        <w:ind w:firstLine="640" w:firstLineChars="200"/>
        <w:rPr>
          <w:rFonts w:eastAsia="仿宋"/>
          <w:sz w:val="32"/>
          <w:szCs w:val="32"/>
        </w:rPr>
      </w:pPr>
      <w:r>
        <w:rPr>
          <w:rFonts w:eastAsia="仿宋"/>
          <w:sz w:val="32"/>
          <w:szCs w:val="32"/>
        </w:rPr>
        <w:drawing>
          <wp:inline distT="0" distB="0" distL="0" distR="0">
            <wp:extent cx="5274310" cy="24669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353" w:lineRule="auto"/>
        <w:ind w:firstLine="640" w:firstLineChars="200"/>
        <w:outlineLvl w:val="2"/>
        <w:rPr>
          <w:rFonts w:eastAsia="楷体_GB2312"/>
          <w:bCs/>
          <w:sz w:val="32"/>
          <w:szCs w:val="32"/>
        </w:rPr>
      </w:pPr>
      <w:bookmarkStart w:id="33" w:name="_Toc15377211"/>
      <w:r>
        <w:rPr>
          <w:rFonts w:eastAsia="楷体_GB2312"/>
          <w:bCs/>
          <w:sz w:val="32"/>
          <w:szCs w:val="32"/>
        </w:rPr>
        <w:t>（二）一般公共预算财政拨款支出决算结构情况</w:t>
      </w:r>
      <w:bookmarkEnd w:id="33"/>
      <w:r>
        <w:rPr>
          <w:rFonts w:eastAsia="楷体_GB2312"/>
          <w:bCs/>
          <w:sz w:val="32"/>
          <w:szCs w:val="32"/>
        </w:rPr>
        <w:t>。</w:t>
      </w:r>
    </w:p>
    <w:p>
      <w:pPr>
        <w:spacing w:line="353" w:lineRule="auto"/>
        <w:ind w:firstLine="640" w:firstLineChars="200"/>
        <w:rPr>
          <w:rFonts w:eastAsia="仿宋_GB2312"/>
          <w:sz w:val="32"/>
          <w:szCs w:val="32"/>
        </w:rPr>
      </w:pPr>
      <w:r>
        <w:rPr>
          <w:rFonts w:eastAsia="仿宋_GB2312"/>
          <w:sz w:val="32"/>
          <w:szCs w:val="32"/>
        </w:rPr>
        <w:t>2022年一般公共预算财政拨款支出910.07万元，主要用于以下方面:</w:t>
      </w:r>
    </w:p>
    <w:p>
      <w:pPr>
        <w:spacing w:line="353" w:lineRule="auto"/>
        <w:ind w:firstLine="630" w:firstLineChars="196"/>
        <w:rPr>
          <w:rFonts w:eastAsia="仿宋_GB2312"/>
          <w:color w:val="000000"/>
          <w:sz w:val="32"/>
          <w:szCs w:val="32"/>
        </w:rPr>
      </w:pPr>
      <w:r>
        <w:rPr>
          <w:rFonts w:eastAsia="仿宋_GB2312"/>
          <w:b/>
          <w:color w:val="000000"/>
          <w:sz w:val="32"/>
          <w:szCs w:val="32"/>
        </w:rPr>
        <w:t>一般公共服务</w:t>
      </w:r>
      <w:r>
        <w:rPr>
          <w:rFonts w:eastAsia="仿宋_GB2312"/>
          <w:color w:val="000000"/>
          <w:sz w:val="32"/>
          <w:szCs w:val="32"/>
        </w:rPr>
        <w:t>支出602.75万元，占66.23%；</w:t>
      </w:r>
      <w:r>
        <w:rPr>
          <w:rFonts w:eastAsia="仿宋_GB2312"/>
          <w:b/>
          <w:bCs/>
          <w:color w:val="000000"/>
          <w:sz w:val="32"/>
          <w:szCs w:val="32"/>
        </w:rPr>
        <w:t>文化旅游体育与传媒</w:t>
      </w:r>
      <w:r>
        <w:rPr>
          <w:rFonts w:eastAsia="仿宋_GB2312"/>
          <w:bCs/>
          <w:color w:val="000000"/>
          <w:sz w:val="32"/>
          <w:szCs w:val="32"/>
        </w:rPr>
        <w:t>支出5万元，占0.55%</w:t>
      </w:r>
      <w:r>
        <w:rPr>
          <w:rFonts w:eastAsia="仿宋_GB2312"/>
          <w:color w:val="000000"/>
          <w:sz w:val="32"/>
          <w:szCs w:val="32"/>
        </w:rPr>
        <w:t>；</w:t>
      </w:r>
      <w:r>
        <w:rPr>
          <w:rFonts w:eastAsia="仿宋_GB2312"/>
          <w:b/>
          <w:color w:val="000000"/>
          <w:sz w:val="32"/>
          <w:szCs w:val="32"/>
        </w:rPr>
        <w:t>社会保障和就业</w:t>
      </w:r>
      <w:r>
        <w:rPr>
          <w:rFonts w:eastAsia="仿宋_GB2312"/>
          <w:color w:val="000000"/>
          <w:sz w:val="32"/>
          <w:szCs w:val="32"/>
        </w:rPr>
        <w:t>支出263</w:t>
      </w:r>
      <w:r>
        <w:rPr>
          <w:rFonts w:eastAsia="仿宋_GB2312"/>
          <w:color w:val="000000"/>
          <w:kern w:val="0"/>
          <w:sz w:val="32"/>
          <w:szCs w:val="32"/>
        </w:rPr>
        <w:t>.</w:t>
      </w:r>
      <w:r>
        <w:rPr>
          <w:rFonts w:eastAsia="仿宋_GB2312"/>
          <w:color w:val="000000"/>
          <w:sz w:val="32"/>
          <w:szCs w:val="32"/>
        </w:rPr>
        <w:t>30万元，占28.93%；</w:t>
      </w:r>
      <w:r>
        <w:rPr>
          <w:rFonts w:eastAsia="仿宋_GB2312"/>
          <w:b/>
          <w:bCs/>
          <w:color w:val="000000"/>
          <w:sz w:val="32"/>
          <w:szCs w:val="32"/>
        </w:rPr>
        <w:t>卫生健康</w:t>
      </w:r>
      <w:r>
        <w:rPr>
          <w:rFonts w:eastAsia="仿宋_GB2312"/>
          <w:b w:val="0"/>
          <w:bCs w:val="0"/>
          <w:color w:val="000000"/>
          <w:sz w:val="32"/>
          <w:szCs w:val="32"/>
        </w:rPr>
        <w:t>支出</w:t>
      </w:r>
      <w:r>
        <w:rPr>
          <w:rFonts w:eastAsia="仿宋_GB2312"/>
          <w:color w:val="000000"/>
          <w:sz w:val="32"/>
          <w:szCs w:val="32"/>
        </w:rPr>
        <w:t>15.83万元，占1.74%；</w:t>
      </w:r>
      <w:r>
        <w:rPr>
          <w:rFonts w:eastAsia="仿宋_GB2312"/>
          <w:b/>
          <w:color w:val="000000"/>
          <w:sz w:val="32"/>
          <w:szCs w:val="32"/>
        </w:rPr>
        <w:t>农林水</w:t>
      </w:r>
      <w:r>
        <w:rPr>
          <w:rFonts w:eastAsia="仿宋_GB2312"/>
          <w:color w:val="000000"/>
          <w:sz w:val="32"/>
          <w:szCs w:val="32"/>
        </w:rPr>
        <w:t>支出2.7，占0.3%万元；</w:t>
      </w:r>
      <w:r>
        <w:rPr>
          <w:rFonts w:eastAsia="仿宋_GB2312"/>
          <w:b/>
          <w:bCs/>
          <w:color w:val="000000"/>
          <w:sz w:val="32"/>
          <w:szCs w:val="32"/>
        </w:rPr>
        <w:t>住房保障</w:t>
      </w:r>
      <w:r>
        <w:rPr>
          <w:rFonts w:eastAsia="仿宋_GB2312"/>
          <w:b w:val="0"/>
          <w:bCs w:val="0"/>
          <w:color w:val="000000"/>
          <w:sz w:val="32"/>
          <w:szCs w:val="32"/>
        </w:rPr>
        <w:t>支出</w:t>
      </w:r>
      <w:r>
        <w:rPr>
          <w:rFonts w:eastAsia="仿宋_GB2312"/>
          <w:color w:val="000000"/>
          <w:sz w:val="32"/>
          <w:szCs w:val="32"/>
        </w:rPr>
        <w:t>20.49万元，占2.25%。</w:t>
      </w:r>
    </w:p>
    <w:p>
      <w:pPr>
        <w:spacing w:line="353" w:lineRule="auto"/>
        <w:ind w:firstLine="640" w:firstLineChars="200"/>
        <w:rPr>
          <w:rFonts w:eastAsia="仿宋_GB2312"/>
          <w:sz w:val="32"/>
          <w:szCs w:val="32"/>
        </w:rPr>
      </w:pPr>
      <w:r>
        <w:rPr>
          <w:rFonts w:eastAsia="仿宋_GB2312"/>
          <w:sz w:val="32"/>
          <w:szCs w:val="32"/>
        </w:rPr>
        <w:t>（图6：一般公共预算财政拨款支出决算结构）（饼状图）</w:t>
      </w:r>
    </w:p>
    <w:p>
      <w:pPr>
        <w:ind w:firstLine="640" w:firstLineChars="200"/>
        <w:rPr>
          <w:rFonts w:eastAsia="仿宋"/>
          <w:sz w:val="32"/>
          <w:szCs w:val="32"/>
        </w:rPr>
      </w:pPr>
      <w:r>
        <w:rPr>
          <w:rFonts w:eastAsia="仿宋"/>
          <w:sz w:val="32"/>
          <w:szCs w:val="32"/>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53" w:lineRule="auto"/>
        <w:ind w:firstLine="640" w:firstLineChars="200"/>
        <w:outlineLvl w:val="2"/>
        <w:rPr>
          <w:rFonts w:eastAsia="楷体_GB2312"/>
          <w:bCs/>
          <w:sz w:val="32"/>
          <w:szCs w:val="32"/>
        </w:rPr>
      </w:pPr>
      <w:bookmarkStart w:id="34" w:name="_Toc15377212"/>
      <w:r>
        <w:rPr>
          <w:rFonts w:eastAsia="楷体_GB2312"/>
          <w:bCs/>
          <w:sz w:val="32"/>
          <w:szCs w:val="32"/>
        </w:rPr>
        <w:t>（三）一般公共预算财政拨款支出决算具体情况</w:t>
      </w:r>
      <w:bookmarkEnd w:id="34"/>
      <w:r>
        <w:rPr>
          <w:rFonts w:eastAsia="楷体_GB2312"/>
          <w:bCs/>
          <w:sz w:val="32"/>
          <w:szCs w:val="32"/>
        </w:rPr>
        <w:t>。</w:t>
      </w:r>
    </w:p>
    <w:p>
      <w:pPr>
        <w:spacing w:line="353" w:lineRule="auto"/>
        <w:ind w:firstLine="640" w:firstLineChars="200"/>
        <w:outlineLvl w:val="2"/>
        <w:rPr>
          <w:rStyle w:val="17"/>
          <w:rFonts w:eastAsia="仿宋_GB2312"/>
          <w:b w:val="0"/>
          <w:bCs/>
          <w:sz w:val="32"/>
          <w:szCs w:val="32"/>
        </w:rPr>
      </w:pPr>
      <w:bookmarkStart w:id="35" w:name="_Toc15377444"/>
      <w:bookmarkStart w:id="36" w:name="_Toc15377213"/>
      <w:bookmarkStart w:id="37" w:name="_Toc15378460"/>
      <w:r>
        <w:rPr>
          <w:rFonts w:eastAsia="仿宋_GB2312"/>
          <w:sz w:val="32"/>
          <w:szCs w:val="32"/>
        </w:rPr>
        <w:t>2022年一般公共预算支出决算数为910.07万元，</w:t>
      </w:r>
      <w:r>
        <w:rPr>
          <w:rStyle w:val="17"/>
          <w:rFonts w:eastAsia="仿宋_GB2312"/>
          <w:b w:val="0"/>
          <w:bCs/>
          <w:sz w:val="32"/>
          <w:szCs w:val="32"/>
        </w:rPr>
        <w:t>完成预算100%。其中：</w:t>
      </w:r>
      <w:bookmarkEnd w:id="35"/>
      <w:bookmarkEnd w:id="36"/>
      <w:bookmarkEnd w:id="37"/>
    </w:p>
    <w:p>
      <w:pPr>
        <w:spacing w:line="353" w:lineRule="auto"/>
        <w:ind w:firstLine="640" w:firstLineChars="200"/>
        <w:rPr>
          <w:rStyle w:val="17"/>
          <w:rFonts w:eastAsia="仿宋_GB2312"/>
          <w:b w:val="0"/>
          <w:bCs/>
          <w:sz w:val="32"/>
          <w:szCs w:val="32"/>
        </w:rPr>
      </w:pPr>
      <w:r>
        <w:rPr>
          <w:rStyle w:val="17"/>
          <w:rFonts w:eastAsia="仿宋_GB2312"/>
          <w:b w:val="0"/>
          <w:bCs/>
          <w:color w:val="000000"/>
          <w:sz w:val="32"/>
          <w:szCs w:val="32"/>
        </w:rPr>
        <w:t>1.一般公共服务（类）政府办公厅（室）及相关机构事务（款）行政运行（项）: 支出决算为</w:t>
      </w:r>
      <w:r>
        <w:rPr>
          <w:rStyle w:val="17"/>
          <w:rFonts w:eastAsia="仿宋_GB2312"/>
          <w:b w:val="0"/>
          <w:bCs/>
          <w:sz w:val="32"/>
          <w:szCs w:val="32"/>
        </w:rPr>
        <w:t>103.47</w:t>
      </w:r>
      <w:r>
        <w:rPr>
          <w:rStyle w:val="17"/>
          <w:rFonts w:eastAsia="仿宋_GB2312"/>
          <w:b w:val="0"/>
          <w:bCs/>
          <w:color w:val="000000"/>
          <w:sz w:val="32"/>
          <w:szCs w:val="32"/>
        </w:rPr>
        <w:t>万元，完成预算100%。</w:t>
      </w:r>
    </w:p>
    <w:p>
      <w:pPr>
        <w:pStyle w:val="13"/>
        <w:spacing w:before="72" w:line="353" w:lineRule="auto"/>
        <w:ind w:firstLine="640" w:firstLineChars="200"/>
        <w:rPr>
          <w:rStyle w:val="17"/>
          <w:rFonts w:eastAsia="仿宋_GB2312"/>
          <w:b w:val="0"/>
          <w:bCs/>
          <w:color w:val="000000"/>
          <w:sz w:val="32"/>
          <w:szCs w:val="32"/>
        </w:rPr>
      </w:pPr>
      <w:r>
        <w:rPr>
          <w:rStyle w:val="17"/>
          <w:rFonts w:eastAsia="仿宋_GB2312"/>
          <w:b w:val="0"/>
          <w:bCs/>
          <w:color w:val="000000"/>
          <w:sz w:val="32"/>
          <w:szCs w:val="32"/>
        </w:rPr>
        <w:t>2.一般公共服务（类）政府办公厅（室）及相关机构事务（款）一般行政管理事务（项）: 支出决算为184.29万元，完成预算100%。</w:t>
      </w:r>
    </w:p>
    <w:p>
      <w:pPr>
        <w:spacing w:line="353" w:lineRule="auto"/>
        <w:ind w:firstLine="640" w:firstLineChars="200"/>
        <w:rPr>
          <w:rStyle w:val="17"/>
          <w:rFonts w:eastAsia="仿宋_GB2312"/>
          <w:b w:val="0"/>
          <w:bCs/>
          <w:color w:val="000000"/>
          <w:sz w:val="32"/>
          <w:szCs w:val="32"/>
        </w:rPr>
      </w:pPr>
      <w:r>
        <w:rPr>
          <w:rStyle w:val="17"/>
          <w:rFonts w:eastAsia="仿宋_GB2312"/>
          <w:b w:val="0"/>
          <w:bCs/>
          <w:color w:val="000000"/>
          <w:sz w:val="32"/>
          <w:szCs w:val="32"/>
        </w:rPr>
        <w:t>3.一般公共服务（类）政府办公厅（室）及相关机构事务（款）事业运行（项）: 支出决算为116.7万元，完成预算100%。</w:t>
      </w:r>
    </w:p>
    <w:p>
      <w:pPr>
        <w:spacing w:line="353" w:lineRule="auto"/>
        <w:ind w:firstLine="640" w:firstLineChars="200"/>
        <w:rPr>
          <w:rFonts w:eastAsia="仿宋_GB2312"/>
          <w:sz w:val="32"/>
          <w:szCs w:val="32"/>
        </w:rPr>
      </w:pPr>
      <w:r>
        <w:rPr>
          <w:rStyle w:val="17"/>
          <w:rFonts w:eastAsia="仿宋_GB2312"/>
          <w:b w:val="0"/>
          <w:bCs/>
          <w:color w:val="000000"/>
          <w:sz w:val="32"/>
          <w:szCs w:val="32"/>
        </w:rPr>
        <w:t>4.一般公共服务（类）政府办公厅（室）及相关机构事务（款）</w:t>
      </w:r>
      <w:r>
        <w:rPr>
          <w:rFonts w:eastAsia="仿宋_GB2312"/>
          <w:sz w:val="32"/>
          <w:szCs w:val="32"/>
        </w:rPr>
        <w:t>其他政府办公厅（室）及相关机构事务支出（项）: 支出决算为170.84万元，完成预算100%。</w:t>
      </w:r>
    </w:p>
    <w:p>
      <w:pPr>
        <w:spacing w:line="353" w:lineRule="auto"/>
        <w:ind w:firstLine="640" w:firstLineChars="200"/>
        <w:rPr>
          <w:rFonts w:eastAsia="仿宋_GB2312"/>
          <w:sz w:val="32"/>
          <w:szCs w:val="32"/>
        </w:rPr>
      </w:pPr>
      <w:r>
        <w:rPr>
          <w:rFonts w:eastAsia="仿宋_GB2312"/>
          <w:sz w:val="32"/>
          <w:szCs w:val="32"/>
        </w:rPr>
        <w:t>5.一般公共服务（类）统计信息事务（款）专项统计业务（项）: 支出决算为1.84万元，完成预算100%。</w:t>
      </w:r>
    </w:p>
    <w:p>
      <w:pPr>
        <w:spacing w:line="353" w:lineRule="auto"/>
        <w:ind w:firstLine="640" w:firstLineChars="200"/>
        <w:rPr>
          <w:rFonts w:eastAsia="仿宋_GB2312"/>
          <w:sz w:val="32"/>
          <w:szCs w:val="32"/>
        </w:rPr>
      </w:pPr>
      <w:r>
        <w:rPr>
          <w:rFonts w:eastAsia="仿宋_GB2312"/>
          <w:sz w:val="32"/>
          <w:szCs w:val="32"/>
        </w:rPr>
        <w:t>6.一般公共服务（类）纪检监察事务（款）其他纪检监察事务支出（项）: 支出决算为0.54万元，完成预算100%。</w:t>
      </w:r>
    </w:p>
    <w:p>
      <w:pPr>
        <w:spacing w:line="353" w:lineRule="auto"/>
        <w:ind w:firstLine="640" w:firstLineChars="200"/>
        <w:rPr>
          <w:rFonts w:eastAsia="仿宋_GB2312"/>
          <w:sz w:val="32"/>
          <w:szCs w:val="32"/>
        </w:rPr>
      </w:pPr>
      <w:r>
        <w:rPr>
          <w:rFonts w:eastAsia="仿宋_GB2312"/>
          <w:sz w:val="32"/>
          <w:szCs w:val="32"/>
        </w:rPr>
        <w:t>7.一般公共服务（类）群众团体事务（款）一般行政管理事务支出: 支出决算为0.2万元，完成预算100%。</w:t>
      </w:r>
    </w:p>
    <w:p>
      <w:pPr>
        <w:spacing w:line="353" w:lineRule="auto"/>
        <w:ind w:firstLine="640" w:firstLineChars="200"/>
        <w:rPr>
          <w:rFonts w:eastAsia="仿宋_GB2312"/>
          <w:sz w:val="32"/>
          <w:szCs w:val="32"/>
        </w:rPr>
      </w:pPr>
      <w:r>
        <w:rPr>
          <w:rFonts w:eastAsia="仿宋_GB2312"/>
          <w:sz w:val="32"/>
          <w:szCs w:val="32"/>
        </w:rPr>
        <w:t>8.一般公共服务（类）宣传事务支出（款）其他宣传事务支出（项）: 支出决算为13.66万元，完成预算100%。</w:t>
      </w:r>
    </w:p>
    <w:p>
      <w:pPr>
        <w:spacing w:line="353" w:lineRule="auto"/>
        <w:ind w:firstLine="640" w:firstLineChars="200"/>
        <w:rPr>
          <w:rFonts w:eastAsia="仿宋_GB2312"/>
          <w:sz w:val="32"/>
          <w:szCs w:val="32"/>
        </w:rPr>
      </w:pPr>
      <w:r>
        <w:rPr>
          <w:rFonts w:eastAsia="仿宋_GB2312"/>
          <w:sz w:val="32"/>
          <w:szCs w:val="32"/>
        </w:rPr>
        <w:t>9.一般公共服务（类）其他共产党事务支出（款）一般行政管理事务支出（项）: 支出决算为8.2万元，完成预算100%。</w:t>
      </w:r>
    </w:p>
    <w:p>
      <w:pPr>
        <w:spacing w:line="353" w:lineRule="auto"/>
        <w:ind w:firstLine="640" w:firstLineChars="200"/>
        <w:rPr>
          <w:rFonts w:eastAsia="仿宋_GB2312"/>
          <w:sz w:val="32"/>
          <w:szCs w:val="32"/>
        </w:rPr>
      </w:pPr>
      <w:r>
        <w:rPr>
          <w:rFonts w:eastAsia="仿宋_GB2312"/>
          <w:sz w:val="32"/>
          <w:szCs w:val="32"/>
        </w:rPr>
        <w:t>10.一般公共服务（类）其他一般公共服务支出（款）其他一般公共服务支出（项）: 支出决算为3万元，完成预算100%。</w:t>
      </w:r>
    </w:p>
    <w:p>
      <w:pPr>
        <w:spacing w:line="353" w:lineRule="auto"/>
        <w:ind w:firstLine="640" w:firstLineChars="200"/>
        <w:rPr>
          <w:rFonts w:eastAsia="仿宋_GB2312"/>
          <w:sz w:val="32"/>
          <w:szCs w:val="32"/>
        </w:rPr>
      </w:pPr>
      <w:r>
        <w:rPr>
          <w:rFonts w:eastAsia="仿宋_GB2312"/>
          <w:sz w:val="32"/>
          <w:szCs w:val="32"/>
        </w:rPr>
        <w:t>11.文化旅游体育与传媒（类）文化和旅游（款）群众文化支出（项）: 支出决算为0.9万元，完成预算100%。</w:t>
      </w:r>
    </w:p>
    <w:p>
      <w:pPr>
        <w:spacing w:line="353" w:lineRule="auto"/>
        <w:ind w:firstLine="640" w:firstLineChars="200"/>
        <w:rPr>
          <w:rFonts w:eastAsia="仿宋_GB2312"/>
          <w:sz w:val="32"/>
          <w:szCs w:val="32"/>
        </w:rPr>
      </w:pPr>
      <w:r>
        <w:rPr>
          <w:rFonts w:eastAsia="仿宋_GB2312"/>
          <w:sz w:val="32"/>
          <w:szCs w:val="32"/>
        </w:rPr>
        <w:t>12.文化旅游体育与传媒（类）其他文化旅游体育与传媒支出（款）其他文化旅游体育与传媒支出（项）: 支出决算为4.1万元，完成预算100%。</w:t>
      </w:r>
    </w:p>
    <w:p>
      <w:pPr>
        <w:spacing w:line="353" w:lineRule="auto"/>
        <w:ind w:firstLine="640" w:firstLineChars="200"/>
        <w:rPr>
          <w:rFonts w:eastAsia="仿宋_GB2312"/>
          <w:sz w:val="32"/>
          <w:szCs w:val="32"/>
        </w:rPr>
      </w:pPr>
      <w:r>
        <w:rPr>
          <w:rFonts w:eastAsia="仿宋_GB2312"/>
          <w:sz w:val="32"/>
          <w:szCs w:val="32"/>
        </w:rPr>
        <w:t>13.社会保障和就业（类）民政管理事务（款）基层政权建设和社区治理支出（项）: 支出决算为189.22万元，完成预算100%。</w:t>
      </w:r>
    </w:p>
    <w:p>
      <w:pPr>
        <w:spacing w:line="353" w:lineRule="auto"/>
        <w:ind w:firstLine="640" w:firstLineChars="200"/>
        <w:rPr>
          <w:rFonts w:eastAsia="仿宋_GB2312"/>
          <w:sz w:val="32"/>
          <w:szCs w:val="32"/>
        </w:rPr>
      </w:pPr>
      <w:r>
        <w:rPr>
          <w:rFonts w:eastAsia="仿宋_GB2312"/>
          <w:sz w:val="32"/>
          <w:szCs w:val="32"/>
        </w:rPr>
        <w:t>14.社会保障和就业（类）行政事业单位离退休（款）行政单位离退休（项）: 支出决算为1.96万元，完成预算100%。</w:t>
      </w:r>
    </w:p>
    <w:p>
      <w:pPr>
        <w:spacing w:line="353" w:lineRule="auto"/>
        <w:ind w:firstLine="640" w:firstLineChars="200"/>
        <w:rPr>
          <w:rStyle w:val="17"/>
          <w:rFonts w:eastAsia="仿宋_GB2312"/>
          <w:b w:val="0"/>
          <w:bCs/>
          <w:color w:val="000000"/>
          <w:sz w:val="32"/>
          <w:szCs w:val="32"/>
        </w:rPr>
      </w:pPr>
      <w:r>
        <w:rPr>
          <w:rFonts w:eastAsia="仿宋_GB2312"/>
          <w:sz w:val="32"/>
          <w:szCs w:val="32"/>
        </w:rPr>
        <w:t>15.社会保障和就业（类）行政事业单位离退休（款）</w:t>
      </w:r>
      <w:r>
        <w:rPr>
          <w:rStyle w:val="17"/>
          <w:rFonts w:eastAsia="仿宋_GB2312"/>
          <w:b w:val="0"/>
          <w:bCs/>
          <w:color w:val="000000"/>
          <w:sz w:val="32"/>
          <w:szCs w:val="32"/>
        </w:rPr>
        <w:t>机关事业单位基本养老保险缴费支出（项）: 支出决算为17.68万元，完成预算100%。</w:t>
      </w:r>
    </w:p>
    <w:p>
      <w:pPr>
        <w:spacing w:line="353" w:lineRule="auto"/>
        <w:ind w:firstLine="640" w:firstLineChars="200"/>
        <w:rPr>
          <w:rStyle w:val="17"/>
          <w:rFonts w:eastAsia="仿宋_GB2312"/>
          <w:b w:val="0"/>
          <w:bCs/>
          <w:color w:val="000000"/>
          <w:sz w:val="32"/>
          <w:szCs w:val="32"/>
        </w:rPr>
      </w:pPr>
      <w:r>
        <w:rPr>
          <w:rStyle w:val="17"/>
          <w:rFonts w:eastAsia="仿宋_GB2312"/>
          <w:b w:val="0"/>
          <w:bCs/>
          <w:color w:val="000000"/>
          <w:sz w:val="32"/>
          <w:szCs w:val="32"/>
        </w:rPr>
        <w:t>16.社会保障和就业（类）社会福利（款）养老服务（项）: 支出决算为54.44万元，完成预算100%。</w:t>
      </w:r>
    </w:p>
    <w:p>
      <w:pPr>
        <w:spacing w:line="353" w:lineRule="auto"/>
        <w:ind w:firstLine="640" w:firstLineChars="200"/>
        <w:rPr>
          <w:rFonts w:eastAsia="仿宋_GB2312"/>
          <w:color w:val="000000"/>
          <w:sz w:val="32"/>
          <w:szCs w:val="32"/>
        </w:rPr>
      </w:pPr>
      <w:r>
        <w:rPr>
          <w:rStyle w:val="17"/>
          <w:rFonts w:eastAsia="仿宋_GB2312"/>
          <w:b w:val="0"/>
          <w:bCs/>
          <w:color w:val="000000"/>
          <w:sz w:val="32"/>
          <w:szCs w:val="32"/>
        </w:rPr>
        <w:t>17.</w:t>
      </w:r>
      <w:r>
        <w:rPr>
          <w:rFonts w:eastAsia="仿宋_GB2312"/>
          <w:bCs/>
          <w:color w:val="000000"/>
          <w:sz w:val="32"/>
          <w:szCs w:val="32"/>
        </w:rPr>
        <w:t>卫生健康</w:t>
      </w:r>
      <w:r>
        <w:rPr>
          <w:rStyle w:val="17"/>
          <w:rFonts w:eastAsia="仿宋_GB2312"/>
          <w:b w:val="0"/>
          <w:color w:val="000000"/>
          <w:sz w:val="32"/>
          <w:szCs w:val="32"/>
        </w:rPr>
        <w:t>（类）行政事业单位医疗（款）行政单位医疗（项）:支出决算为5.76万元，完成预算100%。</w:t>
      </w:r>
    </w:p>
    <w:p>
      <w:pPr>
        <w:spacing w:line="353" w:lineRule="auto"/>
        <w:ind w:firstLine="640" w:firstLineChars="200"/>
        <w:rPr>
          <w:rStyle w:val="17"/>
          <w:rFonts w:eastAsia="仿宋_GB2312"/>
          <w:b w:val="0"/>
        </w:rPr>
      </w:pPr>
      <w:r>
        <w:rPr>
          <w:rStyle w:val="17"/>
          <w:rFonts w:eastAsia="仿宋_GB2312"/>
          <w:b w:val="0"/>
          <w:bCs/>
          <w:color w:val="000000"/>
          <w:sz w:val="32"/>
          <w:szCs w:val="32"/>
        </w:rPr>
        <w:t>18.</w:t>
      </w:r>
      <w:r>
        <w:rPr>
          <w:rFonts w:eastAsia="仿宋_GB2312"/>
          <w:bCs/>
          <w:color w:val="000000"/>
          <w:sz w:val="32"/>
          <w:szCs w:val="32"/>
        </w:rPr>
        <w:t>卫生健康</w:t>
      </w:r>
      <w:r>
        <w:rPr>
          <w:rStyle w:val="17"/>
          <w:rFonts w:eastAsia="仿宋_GB2312"/>
          <w:b w:val="0"/>
          <w:color w:val="000000"/>
          <w:sz w:val="32"/>
          <w:szCs w:val="32"/>
        </w:rPr>
        <w:t>（类）行政事业单位医疗（款）事业单位医疗（项）:支出决算为8.51万元，完成预算100%。</w:t>
      </w:r>
    </w:p>
    <w:p>
      <w:pPr>
        <w:spacing w:line="353" w:lineRule="auto"/>
        <w:ind w:firstLine="640" w:firstLineChars="200"/>
        <w:rPr>
          <w:rStyle w:val="17"/>
          <w:rFonts w:eastAsia="仿宋_GB2312"/>
          <w:b w:val="0"/>
          <w:color w:val="000000"/>
          <w:sz w:val="32"/>
          <w:szCs w:val="32"/>
        </w:rPr>
      </w:pPr>
      <w:r>
        <w:rPr>
          <w:rStyle w:val="17"/>
          <w:rFonts w:eastAsia="仿宋_GB2312"/>
          <w:b w:val="0"/>
          <w:bCs/>
          <w:color w:val="000000"/>
          <w:sz w:val="32"/>
          <w:szCs w:val="32"/>
        </w:rPr>
        <w:t>19.</w:t>
      </w:r>
      <w:r>
        <w:rPr>
          <w:rFonts w:eastAsia="仿宋_GB2312"/>
          <w:bCs/>
          <w:color w:val="000000"/>
          <w:sz w:val="32"/>
          <w:szCs w:val="32"/>
        </w:rPr>
        <w:t>卫生健康</w:t>
      </w:r>
      <w:r>
        <w:rPr>
          <w:rStyle w:val="17"/>
          <w:rFonts w:eastAsia="仿宋_GB2312"/>
          <w:b w:val="0"/>
          <w:color w:val="000000"/>
          <w:sz w:val="32"/>
          <w:szCs w:val="32"/>
        </w:rPr>
        <w:t>（类）行政事业单位医疗（款）公务员医疗补助（项）:支出决算为0.73万元，完成预算100%。</w:t>
      </w:r>
    </w:p>
    <w:p>
      <w:pPr>
        <w:spacing w:line="353" w:lineRule="auto"/>
        <w:ind w:firstLine="640" w:firstLineChars="200"/>
        <w:rPr>
          <w:rFonts w:eastAsia="仿宋_GB2312"/>
          <w:color w:val="000000"/>
          <w:sz w:val="32"/>
          <w:szCs w:val="32"/>
        </w:rPr>
      </w:pPr>
      <w:r>
        <w:rPr>
          <w:rStyle w:val="17"/>
          <w:rFonts w:eastAsia="仿宋_GB2312"/>
          <w:b w:val="0"/>
          <w:bCs/>
          <w:color w:val="000000"/>
          <w:sz w:val="32"/>
          <w:szCs w:val="32"/>
        </w:rPr>
        <w:t>20.</w:t>
      </w:r>
      <w:r>
        <w:rPr>
          <w:rFonts w:eastAsia="仿宋_GB2312"/>
          <w:bCs/>
          <w:color w:val="000000"/>
          <w:sz w:val="32"/>
          <w:szCs w:val="32"/>
        </w:rPr>
        <w:t>卫生健康</w:t>
      </w:r>
      <w:r>
        <w:rPr>
          <w:rStyle w:val="17"/>
          <w:rFonts w:eastAsia="仿宋_GB2312"/>
          <w:b w:val="0"/>
          <w:color w:val="000000"/>
          <w:sz w:val="32"/>
          <w:szCs w:val="32"/>
        </w:rPr>
        <w:t>（类）行政事业单位医疗（款）其他行政事业单位医疗支出（项）:支出决算为0.83万元，完成预算100%。</w:t>
      </w:r>
    </w:p>
    <w:p>
      <w:pPr>
        <w:spacing w:line="353" w:lineRule="auto"/>
        <w:ind w:firstLine="640" w:firstLineChars="200"/>
        <w:rPr>
          <w:rFonts w:eastAsia="仿宋_GB2312"/>
          <w:bCs/>
          <w:color w:val="000000"/>
          <w:sz w:val="32"/>
          <w:szCs w:val="32"/>
        </w:rPr>
      </w:pPr>
      <w:r>
        <w:rPr>
          <w:rStyle w:val="17"/>
          <w:rFonts w:eastAsia="仿宋_GB2312"/>
          <w:b w:val="0"/>
          <w:bCs/>
          <w:color w:val="000000"/>
          <w:sz w:val="32"/>
          <w:szCs w:val="32"/>
        </w:rPr>
        <w:t>21.</w:t>
      </w:r>
      <w:r>
        <w:rPr>
          <w:rFonts w:eastAsia="仿宋_GB2312"/>
          <w:bCs/>
          <w:color w:val="000000"/>
          <w:sz w:val="32"/>
          <w:szCs w:val="32"/>
        </w:rPr>
        <w:t>农林水支出</w:t>
      </w:r>
      <w:r>
        <w:rPr>
          <w:rStyle w:val="17"/>
          <w:rFonts w:eastAsia="仿宋_GB2312"/>
          <w:b w:val="0"/>
          <w:color w:val="000000"/>
          <w:sz w:val="32"/>
          <w:szCs w:val="32"/>
        </w:rPr>
        <w:t>（类）林业和草原（款）其他林业和草原支出（项）:支出决算为2.7万元，完成预算100%。</w:t>
      </w:r>
    </w:p>
    <w:p>
      <w:pPr>
        <w:pStyle w:val="13"/>
        <w:spacing w:before="72" w:line="353" w:lineRule="auto"/>
        <w:ind w:firstLine="640" w:firstLineChars="200"/>
        <w:rPr>
          <w:rStyle w:val="17"/>
          <w:rFonts w:eastAsia="仿宋_GB2312"/>
          <w:b w:val="0"/>
          <w:color w:val="000000"/>
          <w:sz w:val="32"/>
          <w:szCs w:val="32"/>
        </w:rPr>
      </w:pPr>
      <w:r>
        <w:rPr>
          <w:rStyle w:val="17"/>
          <w:rFonts w:eastAsia="仿宋_GB2312"/>
          <w:b w:val="0"/>
          <w:bCs/>
          <w:color w:val="000000"/>
          <w:sz w:val="32"/>
          <w:szCs w:val="32"/>
        </w:rPr>
        <w:t>22.</w:t>
      </w:r>
      <w:r>
        <w:rPr>
          <w:rFonts w:eastAsia="仿宋_GB2312"/>
          <w:bCs/>
          <w:color w:val="000000"/>
          <w:sz w:val="32"/>
          <w:szCs w:val="32"/>
        </w:rPr>
        <w:t>住房保障支出</w:t>
      </w:r>
      <w:r>
        <w:rPr>
          <w:rStyle w:val="17"/>
          <w:rFonts w:eastAsia="仿宋_GB2312"/>
          <w:b w:val="0"/>
          <w:color w:val="000000"/>
          <w:sz w:val="32"/>
          <w:szCs w:val="32"/>
        </w:rPr>
        <w:t>（类）住房改革</w:t>
      </w:r>
      <w:r>
        <w:rPr>
          <w:rStyle w:val="17"/>
          <w:rFonts w:hint="eastAsia" w:eastAsia="仿宋_GB2312"/>
          <w:b w:val="0"/>
          <w:color w:val="000000"/>
          <w:sz w:val="32"/>
          <w:szCs w:val="32"/>
          <w:lang w:val="en-US" w:eastAsia="zh-CN"/>
        </w:rPr>
        <w:t>支出</w:t>
      </w:r>
      <w:r>
        <w:rPr>
          <w:rStyle w:val="17"/>
          <w:rFonts w:eastAsia="仿宋_GB2312"/>
          <w:b w:val="0"/>
          <w:color w:val="000000"/>
          <w:sz w:val="32"/>
          <w:szCs w:val="32"/>
        </w:rPr>
        <w:t>（款）住房公积金（项）:支出决算为20.49万元，完成预算100%。</w:t>
      </w:r>
    </w:p>
    <w:p>
      <w:pPr>
        <w:tabs>
          <w:tab w:val="right" w:pos="8306"/>
        </w:tabs>
        <w:spacing w:line="353" w:lineRule="auto"/>
        <w:ind w:firstLine="640" w:firstLineChars="200"/>
        <w:outlineLvl w:val="1"/>
        <w:rPr>
          <w:rStyle w:val="28"/>
          <w:rFonts w:ascii="Times New Roman" w:hAnsi="Times New Roman" w:cs="Times New Roman"/>
        </w:rPr>
      </w:pPr>
      <w:bookmarkStart w:id="38" w:name="_Toc15396608"/>
      <w:bookmarkStart w:id="39" w:name="_Toc15377214"/>
      <w:r>
        <w:rPr>
          <w:rFonts w:eastAsia="黑体"/>
          <w:sz w:val="32"/>
          <w:szCs w:val="32"/>
        </w:rPr>
        <w:t>六</w:t>
      </w:r>
      <w:r>
        <w:rPr>
          <w:rFonts w:eastAsia="黑体"/>
          <w:b/>
          <w:sz w:val="32"/>
          <w:szCs w:val="32"/>
        </w:rPr>
        <w:t>、</w:t>
      </w:r>
      <w:r>
        <w:rPr>
          <w:rStyle w:val="28"/>
          <w:rFonts w:ascii="Times New Roman" w:hAnsi="Times New Roman" w:eastAsia="黑体" w:cs="Times New Roman"/>
          <w:b w:val="0"/>
        </w:rPr>
        <w:t>一般公共预算财政拨款基本支出决算情况说明</w:t>
      </w:r>
      <w:bookmarkEnd w:id="38"/>
      <w:bookmarkEnd w:id="39"/>
      <w:r>
        <w:rPr>
          <w:rStyle w:val="28"/>
          <w:rFonts w:ascii="Times New Roman" w:hAnsi="Times New Roman" w:eastAsia="黑体" w:cs="Times New Roman"/>
          <w:b w:val="0"/>
        </w:rPr>
        <w:tab/>
      </w:r>
    </w:p>
    <w:p>
      <w:pPr>
        <w:spacing w:line="353" w:lineRule="auto"/>
        <w:ind w:firstLine="640" w:firstLineChars="200"/>
        <w:rPr>
          <w:rFonts w:eastAsia="仿宋_GB2312"/>
          <w:sz w:val="32"/>
          <w:szCs w:val="32"/>
        </w:rPr>
      </w:pPr>
      <w:r>
        <w:rPr>
          <w:rFonts w:eastAsia="仿宋_GB2312"/>
          <w:sz w:val="32"/>
          <w:szCs w:val="32"/>
        </w:rPr>
        <w:t>2022年一般公共预算财政拨款基本支出446.97万元，其中：</w:t>
      </w:r>
    </w:p>
    <w:p>
      <w:pPr>
        <w:spacing w:line="353" w:lineRule="auto"/>
        <w:ind w:firstLine="640" w:firstLineChars="200"/>
        <w:rPr>
          <w:rFonts w:eastAsia="仿宋_GB2312"/>
          <w:sz w:val="32"/>
          <w:szCs w:val="32"/>
        </w:rPr>
      </w:pPr>
      <w:r>
        <w:rPr>
          <w:rFonts w:eastAsia="仿宋_GB2312"/>
          <w:sz w:val="32"/>
          <w:szCs w:val="32"/>
        </w:rPr>
        <w:t>人员经费支出428.46万元，主要包括：基本工资、津贴补贴、奖金、绩效工资、机关事业单位基本养老保险缴费、职业年金缴费、其他社会保障缴费、职工基本医疗保险缴费、公务员医疗补助缴费、其他工资福利、退休费、生活补助、奖励金、住房公积金等。</w:t>
      </w:r>
      <w:r>
        <w:rPr>
          <w:rFonts w:eastAsia="仿宋_GB2312"/>
          <w:sz w:val="32"/>
          <w:szCs w:val="32"/>
        </w:rPr>
        <w:br w:type="textWrapping"/>
      </w:r>
      <w:r>
        <w:rPr>
          <w:rFonts w:eastAsia="仿宋_GB2312"/>
          <w:sz w:val="32"/>
          <w:szCs w:val="32"/>
        </w:rPr>
        <w:t>　　公用经费支出18.51万元，主要包括：办公费、水费、电费、邮电费、差旅费、维修（护）费、劳务费、工会经费、福利费、公务用车运行维护费、其他交通费、其他商品和服务支出等。</w:t>
      </w:r>
    </w:p>
    <w:p>
      <w:pPr>
        <w:spacing w:line="353" w:lineRule="auto"/>
        <w:ind w:firstLine="640" w:firstLineChars="200"/>
        <w:outlineLvl w:val="1"/>
        <w:rPr>
          <w:rStyle w:val="28"/>
          <w:rFonts w:ascii="Times New Roman" w:hAnsi="Times New Roman" w:eastAsia="黑体" w:cs="Times New Roman"/>
          <w:b w:val="0"/>
        </w:rPr>
      </w:pPr>
      <w:bookmarkStart w:id="40" w:name="_Toc15396609"/>
      <w:bookmarkStart w:id="41" w:name="_Toc15377215"/>
      <w:r>
        <w:rPr>
          <w:rFonts w:eastAsia="黑体"/>
          <w:sz w:val="32"/>
          <w:szCs w:val="32"/>
        </w:rPr>
        <w:t>七、</w:t>
      </w:r>
      <w:r>
        <w:rPr>
          <w:rStyle w:val="28"/>
          <w:rFonts w:ascii="Times New Roman" w:hAnsi="Times New Roman" w:eastAsia="黑体" w:cs="Times New Roman"/>
        </w:rPr>
        <w:t>“</w:t>
      </w:r>
      <w:r>
        <w:rPr>
          <w:rStyle w:val="28"/>
          <w:rFonts w:ascii="Times New Roman" w:hAnsi="Times New Roman" w:eastAsia="黑体" w:cs="Times New Roman"/>
          <w:b w:val="0"/>
        </w:rPr>
        <w:t>三公</w:t>
      </w:r>
      <w:r>
        <w:rPr>
          <w:rStyle w:val="28"/>
          <w:rFonts w:ascii="Times New Roman" w:hAnsi="Times New Roman" w:eastAsia="黑体" w:cs="Times New Roman"/>
          <w:b/>
          <w:bCs w:val="0"/>
        </w:rPr>
        <w:t>”</w:t>
      </w:r>
      <w:r>
        <w:rPr>
          <w:rStyle w:val="28"/>
          <w:rFonts w:ascii="Times New Roman" w:hAnsi="Times New Roman" w:eastAsia="黑体" w:cs="Times New Roman"/>
          <w:b w:val="0"/>
        </w:rPr>
        <w:t>经费财政拨款支出决算情况说明</w:t>
      </w:r>
      <w:bookmarkEnd w:id="40"/>
      <w:bookmarkEnd w:id="41"/>
    </w:p>
    <w:p>
      <w:pPr>
        <w:spacing w:line="353" w:lineRule="auto"/>
        <w:ind w:firstLine="640" w:firstLineChars="200"/>
        <w:outlineLvl w:val="2"/>
        <w:rPr>
          <w:rFonts w:eastAsia="楷体_GB2312"/>
          <w:bCs/>
          <w:sz w:val="32"/>
          <w:szCs w:val="32"/>
        </w:rPr>
      </w:pPr>
      <w:bookmarkStart w:id="42" w:name="_Toc15377216"/>
      <w:r>
        <w:rPr>
          <w:rFonts w:eastAsia="楷体_GB2312"/>
          <w:bCs/>
          <w:sz w:val="32"/>
          <w:szCs w:val="32"/>
        </w:rPr>
        <w:t>（一）“三公”经费财政拨款支出决算总体情况说明</w:t>
      </w:r>
      <w:bookmarkEnd w:id="42"/>
      <w:r>
        <w:rPr>
          <w:rFonts w:eastAsia="楷体_GB2312"/>
          <w:bCs/>
          <w:sz w:val="32"/>
          <w:szCs w:val="32"/>
        </w:rPr>
        <w:t>。</w:t>
      </w:r>
    </w:p>
    <w:p>
      <w:pPr>
        <w:spacing w:line="353" w:lineRule="auto"/>
        <w:ind w:firstLine="640" w:firstLineChars="200"/>
        <w:rPr>
          <w:rFonts w:eastAsia="仿宋_GB2312"/>
          <w:sz w:val="32"/>
          <w:szCs w:val="32"/>
        </w:rPr>
      </w:pPr>
      <w:r>
        <w:rPr>
          <w:rFonts w:eastAsia="仿宋_GB2312"/>
          <w:bCs/>
          <w:sz w:val="32"/>
          <w:szCs w:val="32"/>
        </w:rPr>
        <w:t>2022年“三公”经费财政拨款支出决算为1.16万元，</w:t>
      </w:r>
      <w:r>
        <w:rPr>
          <w:rFonts w:eastAsia="仿宋_GB2312"/>
          <w:bCs/>
          <w:color w:val="000000"/>
          <w:sz w:val="32"/>
          <w:szCs w:val="32"/>
        </w:rPr>
        <w:t>完</w:t>
      </w:r>
      <w:r>
        <w:rPr>
          <w:rFonts w:eastAsia="仿宋_GB2312"/>
          <w:color w:val="000000"/>
          <w:sz w:val="32"/>
          <w:szCs w:val="32"/>
        </w:rPr>
        <w:t>成预算的46.4%，</w:t>
      </w:r>
      <w:r>
        <w:rPr>
          <w:rFonts w:eastAsia="仿宋_GB2312"/>
          <w:sz w:val="32"/>
          <w:szCs w:val="32"/>
        </w:rPr>
        <w:t>较上年减少1.02万元，下降46.79%</w:t>
      </w:r>
      <w:r>
        <w:rPr>
          <w:rFonts w:hint="eastAsia" w:eastAsia="仿宋_GB2312"/>
          <w:sz w:val="32"/>
          <w:szCs w:val="32"/>
        </w:rPr>
        <w:t>，</w:t>
      </w:r>
      <w:r>
        <w:rPr>
          <w:rFonts w:eastAsia="仿宋_GB2312"/>
          <w:sz w:val="32"/>
          <w:szCs w:val="32"/>
        </w:rPr>
        <w:t>决算数小于预算数是因为街道厉行节约，缩减了公务用车运行费。</w:t>
      </w:r>
    </w:p>
    <w:p>
      <w:pPr>
        <w:spacing w:line="353" w:lineRule="auto"/>
        <w:ind w:firstLine="640" w:firstLineChars="200"/>
        <w:outlineLvl w:val="2"/>
        <w:rPr>
          <w:rFonts w:eastAsia="仿宋"/>
          <w:bCs/>
          <w:sz w:val="32"/>
          <w:szCs w:val="32"/>
        </w:rPr>
      </w:pPr>
      <w:bookmarkStart w:id="43" w:name="_Toc15377217"/>
      <w:r>
        <w:rPr>
          <w:rFonts w:eastAsia="楷体_GB2312"/>
          <w:bCs/>
          <w:sz w:val="32"/>
          <w:szCs w:val="32"/>
        </w:rPr>
        <w:t>（二）“三公”经费财政拨款支出决算具体情况说明</w:t>
      </w:r>
      <w:bookmarkEnd w:id="43"/>
      <w:r>
        <w:rPr>
          <w:rFonts w:eastAsia="楷体_GB2312"/>
          <w:bCs/>
          <w:sz w:val="32"/>
          <w:szCs w:val="32"/>
        </w:rPr>
        <w:t>。</w:t>
      </w:r>
    </w:p>
    <w:p>
      <w:pPr>
        <w:spacing w:line="353" w:lineRule="auto"/>
        <w:ind w:firstLine="640" w:firstLineChars="200"/>
        <w:rPr>
          <w:rFonts w:eastAsia="仿宋_GB2312"/>
          <w:sz w:val="32"/>
          <w:szCs w:val="32"/>
        </w:rPr>
      </w:pPr>
      <w:r>
        <w:rPr>
          <w:rFonts w:eastAsia="仿宋_GB2312"/>
          <w:sz w:val="32"/>
          <w:szCs w:val="32"/>
        </w:rPr>
        <w:t>2022年“三公”经费财政拨款支出决算中，因公出国（境）费支出决算0万元，占0%；公务用车购置费支出0元，占0%；公务用车运行维护费支出决算1.16万元，占100%；公务接待费支出决算0万元，占0%。具体情况如下：</w:t>
      </w:r>
    </w:p>
    <w:p>
      <w:pPr>
        <w:ind w:firstLine="640" w:firstLineChars="200"/>
        <w:rPr>
          <w:rFonts w:eastAsia="仿宋_GB2312"/>
          <w:sz w:val="32"/>
          <w:szCs w:val="32"/>
        </w:rPr>
      </w:pPr>
      <w:r>
        <w:rPr>
          <w:rFonts w:eastAsia="仿宋_GB2312"/>
          <w:sz w:val="32"/>
          <w:szCs w:val="32"/>
        </w:rPr>
        <w:t>（图7：“三公”经费财政拨款支出结构）（饼状图）</w:t>
      </w:r>
    </w:p>
    <w:p>
      <w:pPr>
        <w:pStyle w:val="2"/>
        <w:spacing w:before="93"/>
        <w:ind w:firstLine="600" w:firstLineChars="200"/>
        <w:rPr>
          <w:rFonts w:ascii="Times New Roman"/>
        </w:rPr>
      </w:pPr>
      <w:r>
        <w:rPr>
          <w:rFonts w:ascii="Times New Roman"/>
        </w:rPr>
        <w:drawing>
          <wp:inline distT="0" distB="0" distL="0" distR="0">
            <wp:extent cx="4848225" cy="29337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353" w:lineRule="auto"/>
        <w:ind w:firstLine="643" w:firstLineChars="200"/>
        <w:rPr>
          <w:rFonts w:eastAsia="仿宋_GB2312"/>
          <w:b/>
          <w:sz w:val="32"/>
          <w:szCs w:val="32"/>
        </w:rPr>
      </w:pPr>
      <w:r>
        <w:rPr>
          <w:rFonts w:eastAsia="仿宋_GB2312"/>
          <w:b/>
          <w:sz w:val="32"/>
          <w:szCs w:val="32"/>
        </w:rPr>
        <w:t>1.因公出国（境）经费支出</w:t>
      </w:r>
      <w:r>
        <w:rPr>
          <w:rFonts w:eastAsia="仿宋_GB2312"/>
          <w:sz w:val="32"/>
          <w:szCs w:val="32"/>
        </w:rPr>
        <w:t>0万元，</w:t>
      </w:r>
      <w:r>
        <w:rPr>
          <w:rStyle w:val="17"/>
          <w:rFonts w:eastAsia="仿宋_GB2312"/>
          <w:b w:val="0"/>
          <w:bCs/>
          <w:sz w:val="32"/>
          <w:szCs w:val="32"/>
        </w:rPr>
        <w:t>完成预算0%。</w:t>
      </w:r>
      <w:r>
        <w:rPr>
          <w:rFonts w:eastAsia="仿宋_GB2312"/>
          <w:sz w:val="32"/>
          <w:szCs w:val="32"/>
        </w:rPr>
        <w:t>全年安排因公出国（境）团组0次，出国（境）0人。因公出国（境）支出决算与2021年决算数持平。</w:t>
      </w:r>
    </w:p>
    <w:p>
      <w:pPr>
        <w:spacing w:line="353" w:lineRule="auto"/>
        <w:ind w:firstLine="643" w:firstLineChars="200"/>
        <w:rPr>
          <w:rFonts w:eastAsia="仿宋_GB2312"/>
          <w:sz w:val="32"/>
          <w:szCs w:val="32"/>
        </w:rPr>
      </w:pPr>
      <w:r>
        <w:rPr>
          <w:rFonts w:eastAsia="仿宋_GB2312"/>
          <w:b/>
          <w:sz w:val="32"/>
          <w:szCs w:val="32"/>
        </w:rPr>
        <w:t>2.公务用车购置及运行维护费支出</w:t>
      </w:r>
      <w:r>
        <w:rPr>
          <w:rFonts w:eastAsia="仿宋_GB2312"/>
          <w:sz w:val="32"/>
          <w:szCs w:val="32"/>
        </w:rPr>
        <w:t>1.16万元,</w:t>
      </w:r>
      <w:r>
        <w:rPr>
          <w:rStyle w:val="17"/>
          <w:rFonts w:eastAsia="仿宋_GB2312"/>
          <w:b w:val="0"/>
          <w:bCs/>
          <w:sz w:val="32"/>
          <w:szCs w:val="32"/>
        </w:rPr>
        <w:t>完成预算87.2%，</w:t>
      </w:r>
      <w:r>
        <w:rPr>
          <w:rFonts w:eastAsia="仿宋_GB2312"/>
          <w:sz w:val="32"/>
          <w:szCs w:val="32"/>
        </w:rPr>
        <w:t>支出决算比2021年减少1.02万元。</w:t>
      </w:r>
      <w:r>
        <w:rPr>
          <w:rFonts w:eastAsia="仿宋_GB2312"/>
          <w:color w:val="000000"/>
          <w:sz w:val="32"/>
          <w:szCs w:val="32"/>
        </w:rPr>
        <w:t>减少原因为</w:t>
      </w:r>
      <w:r>
        <w:rPr>
          <w:rFonts w:eastAsia="仿宋_GB2312"/>
          <w:sz w:val="32"/>
          <w:szCs w:val="32"/>
        </w:rPr>
        <w:t>街道厉行节约，缩减了公务用车运行费。</w:t>
      </w:r>
    </w:p>
    <w:p>
      <w:pPr>
        <w:spacing w:line="353" w:lineRule="auto"/>
        <w:ind w:firstLine="640" w:firstLineChars="200"/>
        <w:rPr>
          <w:rFonts w:eastAsia="仿宋_GB2312"/>
          <w:color w:val="000000"/>
          <w:sz w:val="32"/>
          <w:szCs w:val="32"/>
        </w:rPr>
      </w:pPr>
      <w:r>
        <w:rPr>
          <w:rFonts w:eastAsia="仿宋_GB2312"/>
          <w:sz w:val="32"/>
          <w:szCs w:val="32"/>
        </w:rPr>
        <w:t>其中：</w:t>
      </w:r>
      <w:r>
        <w:rPr>
          <w:rFonts w:eastAsia="仿宋_GB2312"/>
          <w:b/>
          <w:sz w:val="32"/>
          <w:szCs w:val="32"/>
        </w:rPr>
        <w:t>公务用车购置支出</w:t>
      </w:r>
      <w:r>
        <w:rPr>
          <w:rFonts w:eastAsia="仿宋_GB2312"/>
          <w:sz w:val="32"/>
          <w:szCs w:val="32"/>
        </w:rPr>
        <w:t>0万元。全年按规定更新购置公务用车0辆，其中：轿车0辆、金额0万元，越野车0辆、金额0万元，载客汽车0辆、金额0万元。截至2022年12月底，单位共有公务用车1辆，其中：</w:t>
      </w:r>
      <w:r>
        <w:rPr>
          <w:rFonts w:eastAsia="仿宋_GB2312"/>
          <w:color w:val="000000"/>
          <w:sz w:val="32"/>
          <w:szCs w:val="32"/>
        </w:rPr>
        <w:t>小型货车1辆。</w:t>
      </w:r>
    </w:p>
    <w:p>
      <w:pPr>
        <w:spacing w:line="353" w:lineRule="auto"/>
        <w:ind w:firstLine="643" w:firstLineChars="200"/>
        <w:rPr>
          <w:rFonts w:eastAsia="仿宋_GB2312"/>
          <w:color w:val="000000"/>
          <w:sz w:val="32"/>
          <w:szCs w:val="32"/>
        </w:rPr>
      </w:pPr>
      <w:r>
        <w:rPr>
          <w:rFonts w:eastAsia="仿宋_GB2312"/>
          <w:b/>
          <w:sz w:val="32"/>
          <w:szCs w:val="32"/>
        </w:rPr>
        <w:t>公务用车运行维护费支出</w:t>
      </w:r>
      <w:r>
        <w:rPr>
          <w:rFonts w:eastAsia="仿宋_GB2312"/>
          <w:sz w:val="32"/>
          <w:szCs w:val="32"/>
        </w:rPr>
        <w:t>1.16万元。</w:t>
      </w:r>
      <w:r>
        <w:rPr>
          <w:rFonts w:eastAsia="仿宋_GB2312"/>
          <w:color w:val="000000"/>
          <w:sz w:val="32"/>
          <w:szCs w:val="32"/>
        </w:rPr>
        <w:t>主要用于街道机关及事业单位日常工作、基层政权建设、急难险重等工作所需的公务用车燃料费、维修费、过路过桥费、保险费等支出。</w:t>
      </w:r>
    </w:p>
    <w:p>
      <w:pPr>
        <w:spacing w:line="353" w:lineRule="auto"/>
        <w:ind w:firstLine="640"/>
        <w:rPr>
          <w:rFonts w:eastAsia="仿宋_GB2312"/>
          <w:sz w:val="32"/>
          <w:szCs w:val="32"/>
        </w:rPr>
      </w:pPr>
      <w:r>
        <w:rPr>
          <w:rFonts w:eastAsia="仿宋_GB2312"/>
          <w:b/>
          <w:sz w:val="32"/>
          <w:szCs w:val="32"/>
        </w:rPr>
        <w:t>3.公务接待费支出</w:t>
      </w:r>
      <w:r>
        <w:rPr>
          <w:rFonts w:eastAsia="仿宋_GB2312"/>
          <w:sz w:val="32"/>
          <w:szCs w:val="32"/>
        </w:rPr>
        <w:t>0万元，</w:t>
      </w:r>
      <w:r>
        <w:rPr>
          <w:rStyle w:val="17"/>
          <w:rFonts w:eastAsia="仿宋_GB2312"/>
          <w:b w:val="0"/>
          <w:bCs/>
          <w:sz w:val="32"/>
          <w:szCs w:val="32"/>
        </w:rPr>
        <w:t>完成预算0%。</w:t>
      </w:r>
      <w:r>
        <w:rPr>
          <w:rFonts w:eastAsia="仿宋_GB2312"/>
          <w:sz w:val="32"/>
          <w:szCs w:val="32"/>
        </w:rPr>
        <w:t>公务接待费支出决算与2021年决算数持平。</w:t>
      </w:r>
      <w:bookmarkStart w:id="44" w:name="_Toc15396610"/>
      <w:bookmarkStart w:id="45" w:name="_Toc15377218"/>
      <w:r>
        <w:rPr>
          <w:rFonts w:eastAsia="仿宋_GB2312"/>
          <w:sz w:val="32"/>
          <w:szCs w:val="32"/>
        </w:rPr>
        <w:t>其中：</w:t>
      </w:r>
    </w:p>
    <w:p>
      <w:pPr>
        <w:spacing w:line="353" w:lineRule="auto"/>
        <w:ind w:firstLine="640"/>
        <w:rPr>
          <w:rFonts w:eastAsia="仿宋_GB2312"/>
          <w:sz w:val="32"/>
          <w:szCs w:val="32"/>
        </w:rPr>
      </w:pPr>
      <w:r>
        <w:rPr>
          <w:rFonts w:eastAsia="仿宋_GB2312"/>
          <w:sz w:val="32"/>
          <w:szCs w:val="32"/>
        </w:rPr>
        <w:t>国内公务接待支出0元。</w:t>
      </w:r>
    </w:p>
    <w:p>
      <w:pPr>
        <w:spacing w:line="353" w:lineRule="auto"/>
        <w:ind w:firstLine="640" w:firstLineChars="200"/>
        <w:rPr>
          <w:rFonts w:eastAsia="仿宋_GB2312"/>
          <w:sz w:val="32"/>
          <w:szCs w:val="32"/>
        </w:rPr>
      </w:pPr>
      <w:r>
        <w:rPr>
          <w:rFonts w:eastAsia="仿宋_GB2312"/>
          <w:sz w:val="32"/>
          <w:szCs w:val="32"/>
        </w:rPr>
        <w:t>外事接待支出0万元。</w:t>
      </w:r>
    </w:p>
    <w:p>
      <w:pPr>
        <w:spacing w:line="353" w:lineRule="auto"/>
        <w:ind w:firstLine="640" w:firstLineChars="200"/>
        <w:outlineLvl w:val="1"/>
        <w:rPr>
          <w:rStyle w:val="28"/>
          <w:rFonts w:ascii="Times New Roman" w:hAnsi="Times New Roman" w:eastAsia="黑体" w:cs="Times New Roman"/>
        </w:rPr>
      </w:pPr>
      <w:r>
        <w:rPr>
          <w:rFonts w:eastAsia="黑体"/>
          <w:sz w:val="32"/>
          <w:szCs w:val="32"/>
        </w:rPr>
        <w:t>八、</w:t>
      </w:r>
      <w:r>
        <w:rPr>
          <w:rStyle w:val="28"/>
          <w:rFonts w:ascii="Times New Roman" w:hAnsi="Times New Roman" w:eastAsia="黑体" w:cs="Times New Roman"/>
          <w:b w:val="0"/>
        </w:rPr>
        <w:t>政府性基金预算支出决算情况说明</w:t>
      </w:r>
      <w:bookmarkEnd w:id="44"/>
      <w:bookmarkEnd w:id="45"/>
    </w:p>
    <w:p>
      <w:pPr>
        <w:spacing w:line="353" w:lineRule="auto"/>
        <w:ind w:firstLine="640" w:firstLineChars="200"/>
        <w:rPr>
          <w:rFonts w:eastAsia="仿宋_GB2312"/>
          <w:color w:val="000000"/>
          <w:sz w:val="32"/>
          <w:szCs w:val="32"/>
        </w:rPr>
      </w:pPr>
      <w:r>
        <w:rPr>
          <w:rFonts w:eastAsia="仿宋_GB2312"/>
          <w:sz w:val="32"/>
          <w:szCs w:val="32"/>
        </w:rPr>
        <w:t>2022年政府性基金预算财政拨款支出81.87万元。</w:t>
      </w:r>
      <w:r>
        <w:rPr>
          <w:rFonts w:eastAsia="仿宋_GB2312"/>
          <w:color w:val="000000"/>
          <w:sz w:val="32"/>
          <w:szCs w:val="32"/>
        </w:rPr>
        <w:t>（支出含上年结转结余）。</w:t>
      </w:r>
    </w:p>
    <w:p>
      <w:pPr>
        <w:numPr>
          <w:ilvl w:val="0"/>
          <w:numId w:val="2"/>
        </w:numPr>
        <w:spacing w:line="353" w:lineRule="auto"/>
        <w:ind w:firstLine="640" w:firstLineChars="200"/>
        <w:outlineLvl w:val="1"/>
        <w:rPr>
          <w:rStyle w:val="28"/>
          <w:rFonts w:ascii="Times New Roman" w:hAnsi="Times New Roman" w:eastAsia="黑体" w:cs="Times New Roman"/>
          <w:b w:val="0"/>
        </w:rPr>
      </w:pPr>
      <w:bookmarkStart w:id="46" w:name="_Toc15396611"/>
      <w:bookmarkStart w:id="47" w:name="_Toc15377219"/>
      <w:r>
        <w:rPr>
          <w:rStyle w:val="28"/>
          <w:rFonts w:ascii="Times New Roman" w:hAnsi="Times New Roman" w:eastAsia="黑体" w:cs="Times New Roman"/>
          <w:b w:val="0"/>
        </w:rPr>
        <w:t>国有资本经营预算支出决算情况说明</w:t>
      </w:r>
      <w:bookmarkEnd w:id="46"/>
      <w:bookmarkEnd w:id="47"/>
    </w:p>
    <w:p>
      <w:pPr>
        <w:spacing w:line="353" w:lineRule="auto"/>
        <w:ind w:firstLine="640" w:firstLineChars="200"/>
        <w:rPr>
          <w:rFonts w:eastAsia="仿宋_GB2312"/>
          <w:sz w:val="32"/>
          <w:szCs w:val="32"/>
        </w:rPr>
      </w:pPr>
      <w:r>
        <w:rPr>
          <w:rFonts w:eastAsia="仿宋_GB2312"/>
          <w:sz w:val="32"/>
          <w:szCs w:val="32"/>
        </w:rPr>
        <w:t>2022年国有资本经营预算财政拨款支出0万元。</w:t>
      </w:r>
    </w:p>
    <w:p>
      <w:pPr>
        <w:numPr>
          <w:ilvl w:val="0"/>
          <w:numId w:val="2"/>
        </w:numPr>
        <w:spacing w:line="353" w:lineRule="auto"/>
        <w:ind w:firstLine="640" w:firstLineChars="200"/>
        <w:outlineLvl w:val="1"/>
        <w:rPr>
          <w:rStyle w:val="28"/>
          <w:rFonts w:ascii="Times New Roman" w:hAnsi="Times New Roman" w:eastAsia="黑体" w:cs="Times New Roman"/>
          <w:b w:val="0"/>
        </w:rPr>
      </w:pPr>
      <w:bookmarkStart w:id="48" w:name="_Toc15377221"/>
      <w:bookmarkStart w:id="49" w:name="_Toc15396612"/>
      <w:r>
        <w:rPr>
          <w:rStyle w:val="28"/>
          <w:rFonts w:ascii="Times New Roman" w:hAnsi="Times New Roman" w:eastAsia="黑体" w:cs="Times New Roman"/>
          <w:b w:val="0"/>
        </w:rPr>
        <w:t>其他重要事项的情况说明</w:t>
      </w:r>
      <w:bookmarkEnd w:id="48"/>
      <w:bookmarkEnd w:id="49"/>
    </w:p>
    <w:p>
      <w:pPr>
        <w:spacing w:line="353" w:lineRule="auto"/>
        <w:ind w:firstLine="470" w:firstLineChars="147"/>
        <w:outlineLvl w:val="2"/>
        <w:rPr>
          <w:rFonts w:eastAsia="楷体_GB2312"/>
          <w:b/>
          <w:sz w:val="32"/>
          <w:szCs w:val="32"/>
        </w:rPr>
      </w:pPr>
      <w:bookmarkStart w:id="50" w:name="_Toc15377222"/>
      <w:r>
        <w:rPr>
          <w:rFonts w:eastAsia="楷体_GB2312"/>
          <w:bCs/>
          <w:sz w:val="32"/>
          <w:szCs w:val="32"/>
        </w:rPr>
        <w:t>（一）机关运行经费支出情况</w:t>
      </w:r>
      <w:bookmarkEnd w:id="50"/>
      <w:r>
        <w:rPr>
          <w:rFonts w:eastAsia="楷体_GB2312"/>
          <w:bCs/>
          <w:sz w:val="32"/>
          <w:szCs w:val="32"/>
        </w:rPr>
        <w:t>。</w:t>
      </w:r>
    </w:p>
    <w:p>
      <w:pPr>
        <w:spacing w:line="353" w:lineRule="auto"/>
        <w:ind w:firstLine="640" w:firstLineChars="200"/>
        <w:rPr>
          <w:rFonts w:eastAsia="仿宋_GB2312"/>
          <w:color w:val="000000"/>
          <w:sz w:val="32"/>
          <w:szCs w:val="32"/>
        </w:rPr>
      </w:pPr>
      <w:r>
        <w:rPr>
          <w:rFonts w:eastAsia="仿宋_GB2312"/>
          <w:sz w:val="32"/>
          <w:szCs w:val="32"/>
        </w:rPr>
        <w:t>2022年，河门口街道机关运行经费支出18.51万元，比2021年减少3.94万元，下降17.55%。主要原因是</w:t>
      </w:r>
      <w:bookmarkStart w:id="51" w:name="_Toc15377223"/>
      <w:r>
        <w:rPr>
          <w:rFonts w:eastAsia="仿宋_GB2312"/>
          <w:color w:val="000000"/>
          <w:sz w:val="32"/>
          <w:szCs w:val="32"/>
        </w:rPr>
        <w:t>压减公用经费支出。</w:t>
      </w:r>
    </w:p>
    <w:p>
      <w:pPr>
        <w:spacing w:line="353" w:lineRule="auto"/>
        <w:ind w:firstLine="470" w:firstLineChars="147"/>
        <w:outlineLvl w:val="2"/>
        <w:rPr>
          <w:rFonts w:eastAsia="仿宋"/>
          <w:b/>
          <w:sz w:val="32"/>
          <w:szCs w:val="32"/>
        </w:rPr>
      </w:pPr>
      <w:r>
        <w:rPr>
          <w:rFonts w:eastAsia="楷体_GB2312"/>
          <w:bCs/>
          <w:sz w:val="32"/>
          <w:szCs w:val="32"/>
        </w:rPr>
        <w:t>（二）政府采购支出情况。</w:t>
      </w:r>
      <w:bookmarkEnd w:id="51"/>
    </w:p>
    <w:p>
      <w:pPr>
        <w:pageBreakBefore w:val="0"/>
        <w:kinsoku/>
        <w:wordWrap/>
        <w:overflowPunct/>
        <w:topLinePunct w:val="0"/>
        <w:bidi w:val="0"/>
        <w:adjustRightInd w:val="0"/>
        <w:snapToGrid w:val="0"/>
        <w:spacing w:line="353" w:lineRule="auto"/>
        <w:ind w:left="0" w:right="0" w:firstLine="640" w:firstLineChars="200"/>
        <w:textAlignment w:val="auto"/>
        <w:rPr>
          <w:rFonts w:eastAsia="仿宋_GB2312"/>
          <w:color w:val="000000" w:themeColor="text1"/>
          <w:sz w:val="32"/>
          <w:szCs w:val="32"/>
        </w:rPr>
      </w:pPr>
      <w:bookmarkStart w:id="52" w:name="_Toc15377224"/>
      <w:r>
        <w:rPr>
          <w:rFonts w:eastAsia="仿宋_GB2312"/>
          <w:color w:val="000000" w:themeColor="text1"/>
          <w:sz w:val="32"/>
          <w:szCs w:val="32"/>
        </w:rPr>
        <w:t>2022年，河门口街道政府采购支出总额</w:t>
      </w:r>
      <w:r>
        <w:rPr>
          <w:rFonts w:hint="eastAsia" w:eastAsia="仿宋_GB2312"/>
          <w:color w:val="000000" w:themeColor="text1"/>
          <w:sz w:val="32"/>
          <w:szCs w:val="32"/>
        </w:rPr>
        <w:t>302.45</w:t>
      </w:r>
      <w:r>
        <w:rPr>
          <w:rFonts w:eastAsia="仿宋_GB2312"/>
          <w:color w:val="000000" w:themeColor="text1"/>
          <w:sz w:val="32"/>
          <w:szCs w:val="32"/>
        </w:rPr>
        <w:t>万元，其中：政府采购货物支出</w:t>
      </w:r>
      <w:r>
        <w:rPr>
          <w:rFonts w:hint="eastAsia" w:eastAsia="仿宋_GB2312"/>
          <w:color w:val="000000" w:themeColor="text1"/>
          <w:sz w:val="32"/>
          <w:szCs w:val="32"/>
        </w:rPr>
        <w:t>215.35</w:t>
      </w:r>
      <w:r>
        <w:rPr>
          <w:rFonts w:eastAsia="仿宋_GB2312"/>
          <w:color w:val="000000" w:themeColor="text1"/>
          <w:sz w:val="32"/>
          <w:szCs w:val="32"/>
        </w:rPr>
        <w:t>万元</w:t>
      </w:r>
      <w:r>
        <w:rPr>
          <w:rFonts w:hint="eastAsia" w:eastAsia="仿宋_GB2312"/>
          <w:color w:val="000000" w:themeColor="text1"/>
          <w:sz w:val="32"/>
          <w:szCs w:val="32"/>
          <w:lang w:eastAsia="zh-CN"/>
        </w:rPr>
        <w:t>、</w:t>
      </w:r>
      <w:r>
        <w:rPr>
          <w:rFonts w:hint="eastAsia" w:ascii="Times New Roman" w:hAnsi="Times New Roman" w:eastAsia="仿宋_GB2312" w:cs="Times New Roman"/>
          <w:color w:val="auto"/>
          <w:kern w:val="2"/>
          <w:sz w:val="32"/>
          <w:szCs w:val="32"/>
          <w:shd w:val="clear" w:color="auto" w:fill="FFFFFF"/>
          <w:lang w:val="en-US" w:eastAsia="zh-CN" w:bidi="ar-SA"/>
        </w:rPr>
        <w:t>政府采购工程支出0万元、政府采购服务支出87.1万元。</w:t>
      </w:r>
      <w:r>
        <w:rPr>
          <w:rFonts w:eastAsia="仿宋_GB2312"/>
          <w:color w:val="000000" w:themeColor="text1"/>
          <w:sz w:val="32"/>
          <w:szCs w:val="32"/>
        </w:rPr>
        <w:t>授予中小企业合同金额</w:t>
      </w:r>
      <w:r>
        <w:rPr>
          <w:rFonts w:hint="eastAsia" w:eastAsia="仿宋_GB2312"/>
          <w:color w:val="000000" w:themeColor="text1"/>
          <w:sz w:val="32"/>
          <w:szCs w:val="32"/>
        </w:rPr>
        <w:t>255.45</w:t>
      </w:r>
      <w:r>
        <w:rPr>
          <w:rFonts w:eastAsia="仿宋_GB2312"/>
          <w:color w:val="000000" w:themeColor="text1"/>
          <w:sz w:val="32"/>
          <w:szCs w:val="32"/>
        </w:rPr>
        <w:t>万元万元，占政府采购支出总额的</w:t>
      </w:r>
      <w:r>
        <w:rPr>
          <w:rFonts w:hint="eastAsia" w:eastAsia="仿宋_GB2312"/>
          <w:color w:val="000000" w:themeColor="text1"/>
          <w:sz w:val="32"/>
          <w:szCs w:val="32"/>
        </w:rPr>
        <w:t>83.63</w:t>
      </w:r>
      <w:r>
        <w:rPr>
          <w:rFonts w:eastAsia="仿宋_GB2312"/>
          <w:color w:val="000000" w:themeColor="text1"/>
          <w:sz w:val="32"/>
          <w:szCs w:val="32"/>
        </w:rPr>
        <w:t>%，其中：授予小微企业合同金额</w:t>
      </w:r>
      <w:r>
        <w:rPr>
          <w:rFonts w:hint="eastAsia" w:eastAsia="仿宋_GB2312"/>
          <w:color w:val="000000" w:themeColor="text1"/>
          <w:sz w:val="32"/>
          <w:szCs w:val="32"/>
        </w:rPr>
        <w:t>255.45</w:t>
      </w:r>
      <w:r>
        <w:rPr>
          <w:rFonts w:eastAsia="仿宋_GB2312"/>
          <w:color w:val="000000" w:themeColor="text1"/>
          <w:sz w:val="32"/>
          <w:szCs w:val="32"/>
        </w:rPr>
        <w:t>万元，占政府采购支出总额的</w:t>
      </w:r>
      <w:r>
        <w:rPr>
          <w:rFonts w:hint="eastAsia" w:eastAsia="仿宋_GB2312"/>
          <w:color w:val="000000" w:themeColor="text1"/>
          <w:sz w:val="32"/>
          <w:szCs w:val="32"/>
        </w:rPr>
        <w:t>83.63</w:t>
      </w:r>
      <w:r>
        <w:rPr>
          <w:rFonts w:eastAsia="仿宋_GB2312"/>
          <w:color w:val="000000" w:themeColor="text1"/>
          <w:sz w:val="32"/>
          <w:szCs w:val="32"/>
        </w:rPr>
        <w:t>%。</w:t>
      </w:r>
    </w:p>
    <w:p>
      <w:pPr>
        <w:autoSpaceDE w:val="0"/>
        <w:autoSpaceDN w:val="0"/>
        <w:adjustRightInd w:val="0"/>
        <w:spacing w:line="353" w:lineRule="auto"/>
        <w:ind w:firstLine="640" w:firstLineChars="200"/>
        <w:jc w:val="left"/>
        <w:outlineLvl w:val="2"/>
        <w:rPr>
          <w:rFonts w:eastAsia="楷体_GB2312"/>
          <w:bCs/>
          <w:sz w:val="32"/>
          <w:szCs w:val="32"/>
        </w:rPr>
      </w:pPr>
      <w:r>
        <w:rPr>
          <w:rFonts w:eastAsia="楷体_GB2312"/>
          <w:bCs/>
          <w:sz w:val="32"/>
          <w:szCs w:val="32"/>
        </w:rPr>
        <w:t>（三）国有资产占有使用情况</w:t>
      </w:r>
      <w:bookmarkEnd w:id="52"/>
      <w:r>
        <w:rPr>
          <w:rFonts w:eastAsia="楷体_GB2312"/>
          <w:bCs/>
          <w:sz w:val="32"/>
          <w:szCs w:val="32"/>
        </w:rPr>
        <w:t>。</w:t>
      </w:r>
    </w:p>
    <w:p>
      <w:pPr>
        <w:spacing w:line="353" w:lineRule="auto"/>
        <w:ind w:firstLine="640" w:firstLineChars="200"/>
        <w:rPr>
          <w:rFonts w:eastAsia="仿宋_GB2312"/>
          <w:sz w:val="32"/>
          <w:szCs w:val="32"/>
        </w:rPr>
      </w:pPr>
      <w:r>
        <w:rPr>
          <w:rFonts w:eastAsia="仿宋_GB2312"/>
          <w:sz w:val="32"/>
          <w:szCs w:val="32"/>
        </w:rPr>
        <w:t>截至2022年12月31日，街道共有车辆1辆，其中：主要领导干部用车0辆、机要通信用车0辆、应急保障用车0辆、其他用车1辆，单价50万元以上通用设备0台（套），单价100万元以上专用设备0台（套）。</w:t>
      </w:r>
    </w:p>
    <w:p>
      <w:pPr>
        <w:autoSpaceDE w:val="0"/>
        <w:autoSpaceDN w:val="0"/>
        <w:adjustRightInd w:val="0"/>
        <w:spacing w:line="353" w:lineRule="auto"/>
        <w:ind w:firstLine="640" w:firstLineChars="200"/>
        <w:jc w:val="left"/>
        <w:outlineLvl w:val="2"/>
        <w:rPr>
          <w:rFonts w:eastAsia="楷体_GB2312"/>
          <w:bCs/>
          <w:sz w:val="32"/>
          <w:szCs w:val="32"/>
        </w:rPr>
      </w:pPr>
      <w:r>
        <w:rPr>
          <w:rFonts w:eastAsia="楷体_GB2312"/>
          <w:bCs/>
          <w:sz w:val="32"/>
          <w:szCs w:val="32"/>
        </w:rPr>
        <w:t>（四）预算绩效管理情况。</w:t>
      </w:r>
    </w:p>
    <w:p>
      <w:pPr>
        <w:spacing w:line="353" w:lineRule="auto"/>
        <w:ind w:firstLine="640" w:firstLineChars="200"/>
        <w:jc w:val="left"/>
        <w:rPr>
          <w:rFonts w:eastAsia="仿宋_GB2312"/>
          <w:sz w:val="32"/>
          <w:szCs w:val="32"/>
        </w:rPr>
      </w:pPr>
      <w:r>
        <w:rPr>
          <w:rFonts w:eastAsia="仿宋_GB2312"/>
          <w:sz w:val="32"/>
          <w:szCs w:val="32"/>
        </w:rPr>
        <w:t>本部门按要求对2022年部门整体支出绩效评价情况开展自评，《2022年攀枝花市西区河门口街道办事处部门整体绩效评价报告》见附件（附件1）。</w:t>
      </w:r>
    </w:p>
    <w:p>
      <w:pPr>
        <w:spacing w:line="353" w:lineRule="auto"/>
        <w:ind w:firstLine="640" w:firstLineChars="200"/>
        <w:rPr>
          <w:rFonts w:eastAsia="仿宋_GB2312"/>
          <w:sz w:val="32"/>
          <w:szCs w:val="32"/>
        </w:rPr>
      </w:pPr>
      <w:r>
        <w:rPr>
          <w:rFonts w:eastAsia="仿宋_GB2312"/>
          <w:sz w:val="32"/>
          <w:szCs w:val="32"/>
        </w:rPr>
        <w:t>本部门自行组织</w:t>
      </w:r>
      <w:r>
        <w:rPr>
          <w:rFonts w:eastAsia="仿宋_GB2312"/>
          <w:color w:val="000000" w:themeColor="text1"/>
          <w:sz w:val="32"/>
          <w:szCs w:val="32"/>
        </w:rPr>
        <w:t>对社区办公经费、省级财政养老服务业发展补助资金、省级财政民政事业补助资金、创建全国文明城市专项补助资金</w:t>
      </w:r>
      <w:r>
        <w:rPr>
          <w:rFonts w:eastAsia="仿宋_GB2312"/>
          <w:sz w:val="32"/>
          <w:szCs w:val="32"/>
        </w:rPr>
        <w:t>项目开展了绩效评价，见附件（附件2）。</w:t>
      </w:r>
    </w:p>
    <w:p>
      <w:pPr>
        <w:pStyle w:val="2"/>
        <w:spacing w:before="93"/>
        <w:rPr>
          <w:rFonts w:ascii="Times New Roman"/>
        </w:rPr>
      </w:pPr>
    </w:p>
    <w:p>
      <w:pPr>
        <w:numPr>
          <w:ilvl w:val="0"/>
          <w:numId w:val="3"/>
        </w:numPr>
        <w:jc w:val="center"/>
        <w:rPr>
          <w:rStyle w:val="27"/>
          <w:rFonts w:eastAsia="方正小标宋_GBK"/>
          <w:b w:val="0"/>
        </w:rPr>
      </w:pPr>
      <w:bookmarkStart w:id="53" w:name="_Toc15377225"/>
      <w:bookmarkStart w:id="54" w:name="_Toc15396613"/>
      <w:r>
        <w:rPr>
          <w:rFonts w:eastAsia="方正小标宋_GBK"/>
          <w:sz w:val="44"/>
          <w:szCs w:val="44"/>
        </w:rPr>
        <w:t>名</w:t>
      </w:r>
      <w:r>
        <w:rPr>
          <w:rStyle w:val="27"/>
          <w:rFonts w:eastAsia="方正小标宋_GBK"/>
          <w:b w:val="0"/>
        </w:rPr>
        <w:t>词解释</w:t>
      </w:r>
      <w:bookmarkEnd w:id="53"/>
      <w:bookmarkEnd w:id="54"/>
    </w:p>
    <w:p>
      <w:pPr>
        <w:ind w:firstLine="883" w:firstLineChars="200"/>
        <w:jc w:val="left"/>
        <w:rPr>
          <w:b/>
          <w:sz w:val="44"/>
          <w:szCs w:val="44"/>
        </w:rPr>
      </w:pP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1.财政拨款收入：指单位从同级财政部门取得的财政预算资金。</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2.其他收入：指单位取得的除上述收入以外的各项收入。</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3.年初结转和结余：指以前年度尚未完成、结转到本年按有关规定继续使用的资金。</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4.年末结转和结余：指单位按有关规定结转到下年或以后年度继续使用的资金。</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5.一般公共服务（类）政府办公厅（室）及相关机构事务（款）行政运行（项）：指行政单位的基本支出。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6.一般公共服务（类）政府办公厅（室）及相关机构事务（款）一般行政管理事务（项）：指行政单位未单独设置项级科目的其他项目支出。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一般公共服务（类）统计信息事务（款）专项统计业务（项）:指行政单位开展专项统计工作的支出。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8.一般公共服务（类）政府办公厅（室）及相关机构事务（款）事业运行（项）：指事业单位的基本支出。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9.一般公共服务（类）政府办公厅（室）及相关机构事务（款）其他政府办公厅（室）及相关机构事务支出（项）：其他政府办公厅及相关机构事务支出。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10.文化体育与传媒支出（类）其他文化体育与传媒支出（款）宣传文化发展专项支出（项）:指按照国家有关政策支持宣传文化单位发展的专项支出。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11.社会保障和就业支出（类）行政事业单位离退休（款）机关事业单位基本养老保险缴费支出（项）：指机关事业单位实施养老保险制度由单位缴纳的基本养老保险费支出。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12.社会保障和就业支出（类）其他社会保障和就业支出（款）其他社会保障和就业支出（项）：指其他用于社会保障和就业方面的支出。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13.医疗卫生与计划生育（类）行政事业单位医疗（款）行政单位医疗（项）：指财政部门集中安排的行政单位基本医疗保险缴费经费。</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14.医疗卫生与计划生育（类）行政事业单位医疗（款）事业单位医疗（项）：指财政部门集中安排的事业单位基本医疗保险缴费经费。</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15.医疗卫生与计划生育（类）行政事业单位医疗（款）公务员医疗补助（项）：指财政部门集中安排的公务员医疗补助经费。</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16.城乡社区支出（类）城乡社区管理事务（款）其他城乡社区管理事务（项）：指其他用于城乡社区管理事务方面的支出。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17.城乡社区支出（类）城乡社区公共设施（款）其他城乡社区公共设施支出（项）：指其他用于城乡社区公共设施方面的支出。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18.住房保障支出（类）住房改革支出（款）住房公积金（项）：指反映行政事业单位按人事、财政部门规定的基本工资和津贴补贴以及规定比例为职工缴纳的住房公积金。</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19.基本支出：指为保障机构正常运转、完成日常工作任务而发生的人员支出和公用支出。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20.项目支出：指在基本支出之外为完成特定行政任务和事业发展目标所发生的支出。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b/>
          <w:bCs/>
          <w:color w:val="FF0000"/>
          <w:sz w:val="44"/>
          <w:szCs w:val="44"/>
        </w:rPr>
      </w:pPr>
      <w:r>
        <w:rPr>
          <w:rFonts w:eastAsia="仿宋_GB2312"/>
          <w:color w:val="000000"/>
          <w:kern w:val="0"/>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b/>
          <w:bCs/>
          <w:color w:val="FF0000"/>
          <w:sz w:val="44"/>
          <w:szCs w:val="44"/>
        </w:rPr>
        <w:br w:type="page"/>
      </w:r>
    </w:p>
    <w:p>
      <w:pPr>
        <w:rPr>
          <w:rStyle w:val="27"/>
          <w:rFonts w:eastAsia="黑体"/>
          <w:b w:val="0"/>
        </w:rPr>
      </w:pPr>
      <w:bookmarkStart w:id="55" w:name="_Toc15396614"/>
      <w:bookmarkStart w:id="56" w:name="_Toc15377226"/>
      <w:r>
        <w:rPr>
          <w:rFonts w:hint="eastAsia" w:eastAsia="方正小标宋_GBK"/>
          <w:sz w:val="44"/>
          <w:szCs w:val="44"/>
        </w:rPr>
        <w:t xml:space="preserve">              </w:t>
      </w:r>
      <w:r>
        <w:rPr>
          <w:rFonts w:eastAsia="方正小标宋_GBK"/>
          <w:sz w:val="44"/>
          <w:szCs w:val="44"/>
        </w:rPr>
        <w:t>第</w:t>
      </w:r>
      <w:r>
        <w:rPr>
          <w:rStyle w:val="27"/>
          <w:rFonts w:eastAsia="方正小标宋_GBK"/>
          <w:b w:val="0"/>
        </w:rPr>
        <w:t>四部分 附件</w:t>
      </w:r>
    </w:p>
    <w:p>
      <w:pPr>
        <w:jc w:val="left"/>
        <w:rPr>
          <w:rFonts w:eastAsia="仿宋_GB2312"/>
          <w:color w:val="000000"/>
          <w:kern w:val="0"/>
          <w:sz w:val="32"/>
          <w:szCs w:val="32"/>
        </w:rPr>
      </w:pPr>
      <w:r>
        <w:rPr>
          <w:rFonts w:eastAsia="仿宋_GB2312"/>
          <w:bCs/>
          <w:color w:val="000000"/>
          <w:kern w:val="0"/>
          <w:sz w:val="32"/>
          <w:szCs w:val="32"/>
        </w:rPr>
        <w:t>附件</w:t>
      </w:r>
      <w:bookmarkEnd w:id="55"/>
      <w:r>
        <w:rPr>
          <w:rFonts w:eastAsia="仿宋_GB2312"/>
          <w:bCs/>
          <w:color w:val="000000"/>
          <w:kern w:val="0"/>
          <w:sz w:val="32"/>
          <w:szCs w:val="32"/>
        </w:rPr>
        <w:t>1</w:t>
      </w:r>
    </w:p>
    <w:p>
      <w:pPr>
        <w:jc w:val="center"/>
        <w:rPr>
          <w:rFonts w:eastAsia="方正小标宋_GBK"/>
          <w:kern w:val="0"/>
          <w:sz w:val="40"/>
          <w:szCs w:val="44"/>
          <w:lang w:val="zh-CN"/>
        </w:rPr>
      </w:pPr>
      <w:r>
        <w:rPr>
          <w:rFonts w:eastAsia="方正小标宋_GBK"/>
          <w:kern w:val="0"/>
          <w:sz w:val="44"/>
          <w:szCs w:val="44"/>
        </w:rPr>
        <w:t>2022年攀枝花市西区河门口街道办事处部门整体绩效评价报告</w:t>
      </w:r>
    </w:p>
    <w:p>
      <w:pPr>
        <w:widowControl/>
        <w:adjustRightInd w:val="0"/>
        <w:snapToGrid w:val="0"/>
        <w:contextualSpacing/>
        <w:jc w:val="left"/>
        <w:rPr>
          <w:rFonts w:eastAsia="黑体"/>
          <w:kern w:val="0"/>
          <w:sz w:val="24"/>
          <w:szCs w:val="32"/>
          <w:shd w:val="clear" w:color="auto" w:fill="FFFFFF"/>
        </w:rPr>
      </w:pPr>
    </w:p>
    <w:p>
      <w:pPr>
        <w:widowControl/>
        <w:adjustRightInd w:val="0"/>
        <w:snapToGrid w:val="0"/>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rPr>
        <w:t>一、</w:t>
      </w:r>
      <w:r>
        <w:rPr>
          <w:rFonts w:eastAsia="黑体"/>
          <w:kern w:val="0"/>
          <w:sz w:val="32"/>
          <w:szCs w:val="32"/>
          <w:shd w:val="clear" w:color="auto" w:fill="FFFFFF"/>
          <w:lang w:val="zh-CN"/>
        </w:rPr>
        <w:t>部门（单位）概况</w:t>
      </w:r>
    </w:p>
    <w:p>
      <w:pPr>
        <w:widowControl/>
        <w:adjustRightInd w:val="0"/>
        <w:snapToGrid w:val="0"/>
        <w:ind w:firstLine="640" w:firstLineChars="200"/>
        <w:contextualSpacing/>
        <w:jc w:val="left"/>
        <w:rPr>
          <w:rFonts w:eastAsia="楷体_GB2312"/>
          <w:b/>
          <w:kern w:val="0"/>
          <w:sz w:val="32"/>
          <w:szCs w:val="32"/>
          <w:shd w:val="clear" w:color="auto" w:fill="FFFFFF"/>
          <w:lang w:val="zh-CN"/>
        </w:rPr>
      </w:pPr>
      <w:r>
        <w:rPr>
          <w:rFonts w:eastAsia="楷体_GB2312"/>
          <w:bCs/>
          <w:kern w:val="0"/>
          <w:sz w:val="32"/>
          <w:szCs w:val="32"/>
          <w:shd w:val="clear" w:color="auto" w:fill="FFFFFF"/>
          <w:lang w:val="zh-CN"/>
        </w:rPr>
        <w:t>（一）机构组成。</w:t>
      </w:r>
    </w:p>
    <w:p>
      <w:pPr>
        <w:ind w:firstLine="697" w:firstLineChars="218"/>
        <w:rPr>
          <w:rFonts w:eastAsia="仿宋_GB2312"/>
          <w:sz w:val="32"/>
          <w:szCs w:val="32"/>
        </w:rPr>
      </w:pPr>
      <w:r>
        <w:rPr>
          <w:rFonts w:hint="eastAsia" w:eastAsia="仿宋_GB2312"/>
          <w:sz w:val="32"/>
          <w:szCs w:val="32"/>
        </w:rPr>
        <w:t>攀枝花市西区河门口</w:t>
      </w:r>
      <w:r>
        <w:rPr>
          <w:rFonts w:eastAsia="仿宋_GB2312"/>
          <w:sz w:val="32"/>
          <w:szCs w:val="32"/>
        </w:rPr>
        <w:t>街道</w:t>
      </w:r>
      <w:r>
        <w:rPr>
          <w:rFonts w:hint="eastAsia" w:eastAsia="仿宋_GB2312"/>
          <w:sz w:val="32"/>
          <w:szCs w:val="32"/>
        </w:rPr>
        <w:t>办事处内设股室5个，下属二级单位3个，其中行政单位0个，参照公务员法管理的事业单位0个，其他事业单位</w:t>
      </w:r>
      <w:r>
        <w:rPr>
          <w:rFonts w:eastAsia="仿宋_GB2312"/>
          <w:sz w:val="32"/>
          <w:szCs w:val="32"/>
        </w:rPr>
        <w:t>3个，分别是：</w:t>
      </w:r>
      <w:r>
        <w:rPr>
          <w:rFonts w:hint="eastAsia" w:eastAsia="仿宋_GB2312"/>
          <w:sz w:val="32"/>
          <w:szCs w:val="32"/>
        </w:rPr>
        <w:t>攀枝花市西区河门口</w:t>
      </w:r>
      <w:r>
        <w:rPr>
          <w:rFonts w:eastAsia="仿宋_GB2312"/>
          <w:sz w:val="32"/>
          <w:szCs w:val="32"/>
        </w:rPr>
        <w:t>街道</w:t>
      </w:r>
      <w:r>
        <w:rPr>
          <w:rFonts w:hint="eastAsia" w:eastAsia="仿宋_GB2312"/>
          <w:sz w:val="32"/>
          <w:szCs w:val="32"/>
        </w:rPr>
        <w:t>办事处</w:t>
      </w:r>
      <w:r>
        <w:rPr>
          <w:rFonts w:eastAsia="仿宋_GB2312"/>
          <w:sz w:val="32"/>
          <w:szCs w:val="32"/>
        </w:rPr>
        <w:t>便民服务中心、</w:t>
      </w:r>
      <w:r>
        <w:rPr>
          <w:rFonts w:hint="eastAsia" w:eastAsia="仿宋_GB2312"/>
          <w:sz w:val="32"/>
          <w:szCs w:val="32"/>
        </w:rPr>
        <w:t>攀枝花市西区河门口</w:t>
      </w:r>
      <w:r>
        <w:rPr>
          <w:rFonts w:eastAsia="仿宋_GB2312"/>
          <w:sz w:val="32"/>
          <w:szCs w:val="32"/>
        </w:rPr>
        <w:t>街道</w:t>
      </w:r>
      <w:r>
        <w:rPr>
          <w:rFonts w:hint="eastAsia" w:eastAsia="仿宋_GB2312"/>
          <w:sz w:val="32"/>
          <w:szCs w:val="32"/>
        </w:rPr>
        <w:t>办事处</w:t>
      </w:r>
      <w:r>
        <w:rPr>
          <w:rFonts w:eastAsia="仿宋_GB2312"/>
          <w:sz w:val="32"/>
          <w:szCs w:val="32"/>
        </w:rPr>
        <w:t>党群服务中心、</w:t>
      </w:r>
      <w:r>
        <w:rPr>
          <w:rFonts w:hint="eastAsia" w:eastAsia="仿宋_GB2312"/>
          <w:sz w:val="32"/>
          <w:szCs w:val="32"/>
        </w:rPr>
        <w:t>攀枝花市西区河门口</w:t>
      </w:r>
      <w:r>
        <w:rPr>
          <w:rFonts w:eastAsia="仿宋_GB2312"/>
          <w:sz w:val="32"/>
          <w:szCs w:val="32"/>
        </w:rPr>
        <w:t>街道</w:t>
      </w:r>
      <w:r>
        <w:rPr>
          <w:rFonts w:hint="eastAsia" w:eastAsia="仿宋_GB2312"/>
          <w:sz w:val="32"/>
          <w:szCs w:val="32"/>
        </w:rPr>
        <w:t>办事处</w:t>
      </w:r>
      <w:r>
        <w:rPr>
          <w:rFonts w:eastAsia="仿宋_GB2312"/>
          <w:sz w:val="32"/>
          <w:szCs w:val="32"/>
        </w:rPr>
        <w:t>社会治理事务中心</w:t>
      </w:r>
      <w:r>
        <w:rPr>
          <w:rFonts w:hint="eastAsia" w:eastAsia="仿宋_GB2312"/>
          <w:sz w:val="32"/>
          <w:szCs w:val="32"/>
        </w:rPr>
        <w:t>，均为未独立核算事业单位。</w:t>
      </w:r>
    </w:p>
    <w:p>
      <w:pPr>
        <w:widowControl/>
        <w:adjustRightInd w:val="0"/>
        <w:snapToGrid w:val="0"/>
        <w:ind w:firstLine="640" w:firstLineChars="200"/>
        <w:contextualSpacing/>
        <w:jc w:val="left"/>
        <w:rPr>
          <w:rFonts w:eastAsia="楷体_GB2312"/>
          <w:b/>
          <w:bCs/>
          <w:kern w:val="0"/>
          <w:sz w:val="32"/>
          <w:szCs w:val="32"/>
          <w:shd w:val="clear" w:color="auto" w:fill="FFFFFF"/>
          <w:lang w:val="zh-CN"/>
        </w:rPr>
      </w:pPr>
      <w:bookmarkStart w:id="72" w:name="_GoBack"/>
      <w:bookmarkEnd w:id="72"/>
      <w:r>
        <w:rPr>
          <w:rFonts w:eastAsia="楷体_GB2312"/>
          <w:bCs/>
          <w:kern w:val="0"/>
          <w:sz w:val="32"/>
          <w:szCs w:val="32"/>
          <w:shd w:val="clear" w:color="auto" w:fill="FFFFFF"/>
          <w:lang w:val="zh-CN"/>
        </w:rPr>
        <w:t>（二）机构职能和人员概况。</w:t>
      </w:r>
    </w:p>
    <w:p>
      <w:pPr>
        <w:ind w:firstLine="640" w:firstLineChars="200"/>
        <w:rPr>
          <w:rFonts w:eastAsia="仿宋_GB2312"/>
          <w:color w:val="000000"/>
          <w:kern w:val="0"/>
          <w:sz w:val="32"/>
          <w:szCs w:val="32"/>
        </w:rPr>
      </w:pPr>
      <w:r>
        <w:rPr>
          <w:rFonts w:eastAsia="仿宋_GB2312"/>
          <w:color w:val="000000"/>
          <w:kern w:val="0"/>
          <w:sz w:val="32"/>
          <w:szCs w:val="32"/>
        </w:rPr>
        <w:t>1.贯彻执行党和国家的各项法律、法规、规章以及上级政府的决议、决定，依法管理基层公共事务。</w:t>
      </w:r>
    </w:p>
    <w:p>
      <w:pPr>
        <w:ind w:firstLine="640" w:firstLineChars="200"/>
        <w:rPr>
          <w:rFonts w:eastAsia="仿宋_GB2312"/>
          <w:sz w:val="32"/>
          <w:szCs w:val="32"/>
        </w:rPr>
      </w:pPr>
      <w:r>
        <w:rPr>
          <w:rFonts w:eastAsia="仿宋_GB2312"/>
          <w:sz w:val="32"/>
          <w:szCs w:val="32"/>
        </w:rPr>
        <w:t>2.负责辖区经济、文化、教育体育、科技、卫生健康、民政、社会保障、民族宗教、住房保障、司法、退役军人、统计等公共管理和公共服务工作，积极构建公共服务均等化体系，促进社会事业发展。推进“最多跑一次”改革，建立健全群众办事一次办结机制，优化便民服务质量。</w:t>
      </w:r>
    </w:p>
    <w:p>
      <w:pPr>
        <w:ind w:firstLine="640" w:firstLineChars="200"/>
        <w:rPr>
          <w:rFonts w:eastAsia="仿宋_GB2312"/>
          <w:sz w:val="32"/>
          <w:szCs w:val="32"/>
        </w:rPr>
      </w:pPr>
      <w:r>
        <w:rPr>
          <w:rFonts w:eastAsia="仿宋_GB2312"/>
          <w:sz w:val="32"/>
          <w:szCs w:val="32"/>
        </w:rPr>
        <w:t>3.负责辖区环境保护、秩序治理、物业管理、城乡环境综合治理等城市管理工作，开展爱国卫生、环境卫生监督检查，营造良好发展环境。整合基层一线执法力量，充分发挥属地管理优势，强化对辖区范围内执法力量的统一指挥和统筹协调。</w:t>
      </w:r>
    </w:p>
    <w:p>
      <w:pPr>
        <w:ind w:firstLine="640" w:firstLineChars="200"/>
        <w:rPr>
          <w:rFonts w:eastAsia="仿宋_GB2312"/>
          <w:sz w:val="32"/>
          <w:szCs w:val="32"/>
        </w:rPr>
      </w:pPr>
      <w:r>
        <w:rPr>
          <w:rFonts w:eastAsia="仿宋_GB2312"/>
          <w:sz w:val="32"/>
          <w:szCs w:val="32"/>
        </w:rPr>
        <w:t>4.负责辖区平安建设、社会治安综合治理工作，处理群众来信来访，反映社情民意，建立社会矛盾纠纷排查调处机制，维护社会和谐稳定。</w:t>
      </w:r>
    </w:p>
    <w:p>
      <w:pPr>
        <w:ind w:firstLine="640" w:firstLineChars="200"/>
        <w:rPr>
          <w:rFonts w:eastAsia="仿宋_GB2312"/>
          <w:sz w:val="32"/>
          <w:szCs w:val="32"/>
        </w:rPr>
      </w:pPr>
      <w:r>
        <w:rPr>
          <w:rFonts w:eastAsia="仿宋_GB2312"/>
          <w:sz w:val="32"/>
          <w:szCs w:val="32"/>
        </w:rPr>
        <w:t>5.负责辖区公共安全，协助做好安全生产、防汛、防火、防灾减灾等应急管理工作，构建公共安全防控体系，建立应对突发紧急事件的处理预案。</w:t>
      </w:r>
    </w:p>
    <w:p>
      <w:pPr>
        <w:ind w:firstLine="640" w:firstLineChars="200"/>
        <w:rPr>
          <w:rFonts w:eastAsia="仿宋_GB2312"/>
          <w:sz w:val="32"/>
          <w:szCs w:val="32"/>
        </w:rPr>
      </w:pPr>
      <w:r>
        <w:rPr>
          <w:rFonts w:eastAsia="仿宋_GB2312"/>
          <w:sz w:val="32"/>
          <w:szCs w:val="32"/>
        </w:rPr>
        <w:t>6.领导社区居委会建设，指导社区居委会工作，培育、发展社区社会组织，组织社区居民参与社区建设和管理，健全完善自治、法治、德治相结合的城市基层治理体系。</w:t>
      </w:r>
    </w:p>
    <w:p>
      <w:pPr>
        <w:ind w:firstLine="640" w:firstLineChars="200"/>
        <w:rPr>
          <w:rFonts w:eastAsia="仿宋_GB2312"/>
          <w:sz w:val="32"/>
          <w:szCs w:val="32"/>
        </w:rPr>
      </w:pPr>
      <w:r>
        <w:rPr>
          <w:rFonts w:eastAsia="仿宋_GB2312"/>
          <w:sz w:val="32"/>
          <w:szCs w:val="32"/>
        </w:rPr>
        <w:t>7.牵头协调职能部门及其派出机构，共同处理地区性、综合性社会管理事务。动员辖区各类单位、社会组织和社区居民等社会力量参与基层社会治理，引导辖区单位履行社会责任，统筹辖区资源，实现共建共治共享。</w:t>
      </w:r>
    </w:p>
    <w:p>
      <w:pPr>
        <w:ind w:firstLine="640" w:firstLineChars="200"/>
        <w:rPr>
          <w:rFonts w:eastAsia="仿宋_GB2312"/>
          <w:sz w:val="32"/>
          <w:szCs w:val="32"/>
        </w:rPr>
      </w:pPr>
      <w:r>
        <w:rPr>
          <w:rFonts w:eastAsia="仿宋_GB2312"/>
          <w:sz w:val="32"/>
          <w:szCs w:val="32"/>
        </w:rPr>
        <w:t>8.完成区委、区政府交办的其他工作。</w:t>
      </w:r>
    </w:p>
    <w:p>
      <w:pPr>
        <w:ind w:firstLine="640" w:firstLineChars="200"/>
        <w:rPr>
          <w:rFonts w:eastAsia="仿宋_GB2312"/>
          <w:sz w:val="32"/>
          <w:szCs w:val="32"/>
        </w:rPr>
      </w:pPr>
      <w:r>
        <w:rPr>
          <w:rFonts w:eastAsia="仿宋_GB2312"/>
          <w:sz w:val="32"/>
          <w:szCs w:val="32"/>
        </w:rPr>
        <w:t>上年行政人员</w:t>
      </w:r>
      <w:bookmarkStart w:id="57" w:name="OLE_LINK1"/>
      <w:r>
        <w:rPr>
          <w:rFonts w:eastAsia="仿宋_GB2312"/>
          <w:sz w:val="32"/>
          <w:szCs w:val="32"/>
        </w:rPr>
        <w:t>年末在职人数</w:t>
      </w:r>
      <w:bookmarkEnd w:id="57"/>
      <w:r>
        <w:rPr>
          <w:rFonts w:eastAsia="仿宋_GB2312"/>
          <w:sz w:val="32"/>
          <w:szCs w:val="32"/>
        </w:rPr>
        <w:t>9人（含编内聘用人员），本年行政人员年末在职人数10人（含编内聘用人员），较上年增加编内临聘人员1人；上年事业人员年末在职人数12人，本年事业人员年末在职人数10人，较上年减少事业人员2人，为人员调出；上年退休人员年末人数4人，本年退休人员年末人数4人，较上年无增减变化。</w:t>
      </w:r>
    </w:p>
    <w:p>
      <w:pPr>
        <w:widowControl/>
        <w:adjustRightInd w:val="0"/>
        <w:snapToGrid w:val="0"/>
        <w:spacing w:line="560" w:lineRule="exact"/>
        <w:ind w:firstLine="640" w:firstLineChars="200"/>
        <w:contextualSpacing/>
        <w:jc w:val="left"/>
        <w:rPr>
          <w:rFonts w:eastAsia="楷体_GB2312"/>
          <w:b/>
          <w:bCs/>
          <w:kern w:val="0"/>
          <w:sz w:val="32"/>
          <w:szCs w:val="32"/>
          <w:shd w:val="clear" w:color="auto" w:fill="FFFFFF"/>
          <w:lang w:val="zh-CN"/>
        </w:rPr>
      </w:pPr>
      <w:r>
        <w:rPr>
          <w:rFonts w:eastAsia="楷体_GB2312"/>
          <w:kern w:val="0"/>
          <w:sz w:val="32"/>
          <w:szCs w:val="32"/>
          <w:shd w:val="clear" w:color="auto" w:fill="FFFFFF"/>
          <w:lang w:val="zh-CN"/>
        </w:rPr>
        <w:t>（三）年度主要工作任务。</w:t>
      </w:r>
    </w:p>
    <w:p>
      <w:pPr>
        <w:spacing w:line="353" w:lineRule="auto"/>
        <w:ind w:firstLine="643" w:firstLineChars="200"/>
        <w:rPr>
          <w:rFonts w:eastAsia="仿宋_GB2312"/>
          <w:b/>
          <w:sz w:val="32"/>
          <w:szCs w:val="32"/>
        </w:rPr>
      </w:pPr>
      <w:r>
        <w:rPr>
          <w:rFonts w:eastAsia="仿宋_GB2312"/>
          <w:b/>
          <w:bCs/>
          <w:sz w:val="32"/>
          <w:szCs w:val="32"/>
        </w:rPr>
        <w:t>1.扎实推进项目建设。</w:t>
      </w:r>
      <w:r>
        <w:rPr>
          <w:rFonts w:eastAsia="仿宋_GB2312"/>
          <w:b/>
          <w:sz w:val="32"/>
          <w:szCs w:val="32"/>
        </w:rPr>
        <w:t>一是推进《火红年华》拍摄基地旅游线路打造。</w:t>
      </w:r>
      <w:r>
        <w:rPr>
          <w:rFonts w:eastAsia="仿宋_GB2312"/>
          <w:sz w:val="32"/>
          <w:szCs w:val="32"/>
        </w:rPr>
        <w:t>进一步对《火红年华》高家坪影视基地的外围环境和文化氛围进行打造，完善基础配套设施。将高家坪《火红年华》影视基地与初心园、习风园、宝鼎陵园等点位进行串联，开发出半日、一日、两日红色研学旅游线路。</w:t>
      </w:r>
      <w:r>
        <w:rPr>
          <w:rFonts w:eastAsia="仿宋_GB2312"/>
          <w:b/>
          <w:sz w:val="32"/>
          <w:szCs w:val="32"/>
        </w:rPr>
        <w:t>二是完成养老服务综合体项目建设。</w:t>
      </w:r>
      <w:r>
        <w:rPr>
          <w:rFonts w:eastAsia="仿宋_GB2312"/>
          <w:sz w:val="32"/>
          <w:szCs w:val="32"/>
        </w:rPr>
        <w:t>以502电厂基础设施为依托，进行改建、装饰装修并增加设施设备，建设为老服务中心、老年活动中心和孝老文化长廊及配套休闲区。</w:t>
      </w:r>
      <w:r>
        <w:rPr>
          <w:rFonts w:eastAsia="仿宋_GB2312"/>
          <w:b/>
          <w:sz w:val="32"/>
          <w:szCs w:val="32"/>
        </w:rPr>
        <w:t>三是完成城乡社区治理试点项目建设。</w:t>
      </w:r>
      <w:r>
        <w:rPr>
          <w:rFonts w:eastAsia="仿宋_GB2312"/>
          <w:sz w:val="32"/>
          <w:szCs w:val="32"/>
        </w:rPr>
        <w:t>统筹推进1个街道项目（“三社联动”体制机制创新项目）、2个社区项目（河门口社区社会组织参与型项目、苏铁社区社会企业带动型项目）建设。</w:t>
      </w:r>
    </w:p>
    <w:p>
      <w:pPr>
        <w:spacing w:line="353" w:lineRule="auto"/>
        <w:ind w:firstLine="643" w:firstLineChars="200"/>
        <w:rPr>
          <w:rFonts w:eastAsia="仿宋_GB2312"/>
          <w:color w:val="FF0000"/>
          <w:sz w:val="32"/>
          <w:szCs w:val="32"/>
        </w:rPr>
      </w:pPr>
      <w:r>
        <w:rPr>
          <w:rFonts w:eastAsia="仿宋_GB2312"/>
          <w:b/>
          <w:bCs/>
          <w:sz w:val="32"/>
          <w:szCs w:val="32"/>
        </w:rPr>
        <w:t>2.做好底板工作。</w:t>
      </w:r>
      <w:r>
        <w:rPr>
          <w:rFonts w:eastAsia="仿宋_GB2312"/>
          <w:b/>
          <w:sz w:val="32"/>
          <w:szCs w:val="32"/>
        </w:rPr>
        <w:t>一是从严从细抓好疫情防控工作。</w:t>
      </w:r>
      <w:r>
        <w:rPr>
          <w:rFonts w:eastAsia="仿宋_GB2312"/>
          <w:sz w:val="32"/>
          <w:szCs w:val="32"/>
        </w:rPr>
        <w:t>重点加强境外、国内中高风险地区来（返）攀人员排查、管控和健康监测，强化风险人员排查管控，继续开展新冠疫苗接种。积极做好紧急状态下全员核酸检测准备工作。</w:t>
      </w:r>
      <w:r>
        <w:rPr>
          <w:rFonts w:eastAsia="仿宋_GB2312"/>
          <w:b/>
          <w:sz w:val="32"/>
          <w:szCs w:val="32"/>
        </w:rPr>
        <w:t>二是高度重视安全生产工作。</w:t>
      </w:r>
      <w:r>
        <w:rPr>
          <w:rFonts w:eastAsia="仿宋_GB2312"/>
          <w:sz w:val="32"/>
          <w:szCs w:val="32"/>
        </w:rPr>
        <w:t>学习贯彻中央、省、市、区关于安全生产工作重要指示精神和工作安排，抓好安全生产十五条措施落实，结合辖区实际情况，对重点时段、重点区域、重点行业领域开展安全生产监管。</w:t>
      </w:r>
      <w:r>
        <w:rPr>
          <w:rFonts w:eastAsia="仿宋_GB2312"/>
          <w:b/>
          <w:sz w:val="32"/>
          <w:szCs w:val="32"/>
        </w:rPr>
        <w:t>三是严格落实森林草原防灭火工作。</w:t>
      </w:r>
      <w:r>
        <w:rPr>
          <w:rFonts w:eastAsia="仿宋_GB2312"/>
          <w:sz w:val="32"/>
          <w:szCs w:val="32"/>
        </w:rPr>
        <w:t>严格落实森林防火期24小时值班制度，强化森林草原火灾隐患排查整治，紧盯重点区域、重点部位和输配电设施，加强林业施工作业管理，确保森林草原火灾风险隐患动态清零。</w:t>
      </w:r>
      <w:r>
        <w:rPr>
          <w:rFonts w:eastAsia="仿宋_GB2312"/>
          <w:b/>
          <w:sz w:val="32"/>
          <w:szCs w:val="32"/>
        </w:rPr>
        <w:t>四是持续推动城镇燃气安全排查整治</w:t>
      </w:r>
      <w:r>
        <w:rPr>
          <w:rFonts w:eastAsia="仿宋_GB2312"/>
          <w:sz w:val="32"/>
          <w:szCs w:val="32"/>
        </w:rPr>
        <w:t>。积极配合区级行业主管部门以及富临燃气金江气化站按照西区城镇燃气安全排查整治重点事项专题工作会议纪要中的时间节点有序推动搬迁事宜；对辖区燃气用户常态化开展隐患排查整治。</w:t>
      </w:r>
      <w:r>
        <w:rPr>
          <w:rFonts w:eastAsia="仿宋_GB2312"/>
          <w:b/>
          <w:sz w:val="32"/>
          <w:szCs w:val="32"/>
        </w:rPr>
        <w:t>五是切实抓好防汛抗旱工作。</w:t>
      </w:r>
      <w:r>
        <w:rPr>
          <w:rFonts w:eastAsia="仿宋_GB2312"/>
          <w:sz w:val="32"/>
          <w:szCs w:val="32"/>
        </w:rPr>
        <w:t>常态化开展防汛值班值守，对排查发现的G353国道河门口社区段、廉租房小区、苏保路东泽生物公司以及宝鼎怡苑小区通行桥4处隐患点积极协调相关单位、部门进行整治，消除安全隐患。</w:t>
      </w:r>
    </w:p>
    <w:p>
      <w:pPr>
        <w:spacing w:line="353" w:lineRule="auto"/>
        <w:ind w:firstLine="643" w:firstLineChars="200"/>
        <w:rPr>
          <w:rFonts w:eastAsia="仿宋_GB2312"/>
          <w:sz w:val="32"/>
          <w:szCs w:val="32"/>
        </w:rPr>
      </w:pPr>
      <w:r>
        <w:rPr>
          <w:rFonts w:eastAsia="仿宋_GB2312"/>
          <w:b/>
          <w:bCs/>
          <w:sz w:val="32"/>
          <w:szCs w:val="32"/>
        </w:rPr>
        <w:t>3.不断深化社会治理。</w:t>
      </w:r>
      <w:r>
        <w:rPr>
          <w:rFonts w:eastAsia="仿宋_GB2312"/>
          <w:sz w:val="32"/>
          <w:szCs w:val="32"/>
        </w:rPr>
        <w:t>深入推进基层平安建设。建设矛盾多元化解协调中心，构建实体化、一体化矛盾预防化解运行机制。做好二十大召开相关信访维稳工作，做好社区矫正、安置帮教等特殊群体管理工作。</w:t>
      </w:r>
    </w:p>
    <w:p>
      <w:pPr>
        <w:spacing w:line="353" w:lineRule="auto"/>
        <w:ind w:firstLine="643" w:firstLineChars="200"/>
        <w:rPr>
          <w:rFonts w:eastAsia="仿宋_GB2312"/>
          <w:sz w:val="32"/>
          <w:szCs w:val="32"/>
        </w:rPr>
      </w:pPr>
      <w:r>
        <w:rPr>
          <w:rFonts w:eastAsia="仿宋_GB2312"/>
          <w:b/>
          <w:bCs/>
          <w:sz w:val="32"/>
          <w:szCs w:val="32"/>
        </w:rPr>
        <w:t>4.贴心做好民生服务保障。</w:t>
      </w:r>
      <w:r>
        <w:rPr>
          <w:rFonts w:eastAsia="仿宋_GB2312"/>
          <w:b/>
          <w:sz w:val="32"/>
          <w:szCs w:val="32"/>
        </w:rPr>
        <w:t>一是做实做细帮困救助工作。</w:t>
      </w:r>
      <w:r>
        <w:rPr>
          <w:rFonts w:eastAsia="仿宋_GB2312"/>
          <w:sz w:val="32"/>
          <w:szCs w:val="32"/>
        </w:rPr>
        <w:t>加强就业创业帮扶力度，提升为老服务水平，保障辖区困难老人权利，实现应救尽救，应养尽养。对符合条件困难老人信息及时上报，协助办理特困供养申请，并在春节期间走访慰问辖区特困老人。按要求对辖区高龄长寿津贴享受人员进行生存验证，并对辖区320余名高龄长寿老人实行动态管理，落实高龄长寿老人福利。</w:t>
      </w:r>
      <w:r>
        <w:rPr>
          <w:rFonts w:eastAsia="仿宋_GB2312"/>
          <w:b/>
          <w:sz w:val="32"/>
          <w:szCs w:val="32"/>
        </w:rPr>
        <w:t>二是持续办好民生实事。</w:t>
      </w:r>
      <w:r>
        <w:rPr>
          <w:rFonts w:eastAsia="仿宋_GB2312"/>
          <w:sz w:val="32"/>
          <w:szCs w:val="32"/>
        </w:rPr>
        <w:t>做好既有住宅增设电梯工作，通过微信群、QQ群、社区宣传栏等多种形式宣传，稳步推进5部电梯增设工作。做好</w:t>
      </w:r>
      <w:r>
        <w:rPr>
          <w:rFonts w:eastAsia="仿宋_GB2312"/>
          <w:bCs/>
          <w:sz w:val="32"/>
          <w:szCs w:val="32"/>
        </w:rPr>
        <w:t>环境卫生、市容市貌整治，强化食品安全质量监管，围绕惠民实效，推动社会事业全面进步。</w:t>
      </w:r>
    </w:p>
    <w:p>
      <w:pPr>
        <w:spacing w:line="353" w:lineRule="auto"/>
        <w:ind w:firstLine="643" w:firstLineChars="200"/>
        <w:rPr>
          <w:rFonts w:eastAsia="仿宋_GB2312"/>
          <w:sz w:val="32"/>
          <w:szCs w:val="32"/>
        </w:rPr>
      </w:pPr>
      <w:r>
        <w:rPr>
          <w:rFonts w:eastAsia="仿宋_GB2312"/>
          <w:b/>
          <w:bCs/>
          <w:sz w:val="32"/>
          <w:szCs w:val="32"/>
        </w:rPr>
        <w:t>5.做好人大政协工作。</w:t>
      </w:r>
      <w:r>
        <w:rPr>
          <w:rFonts w:eastAsia="仿宋_GB2312"/>
          <w:sz w:val="32"/>
          <w:szCs w:val="32"/>
        </w:rPr>
        <w:t>持续做好人大代表、政协委员履职服务，推动人大代表之家建设和委员联络站建设，用好用活政协委员联络站“有事来协商”“小微协商”平台，切实做到听民声、解民忧、纾民困。</w:t>
      </w:r>
    </w:p>
    <w:p>
      <w:pPr>
        <w:spacing w:line="353" w:lineRule="auto"/>
        <w:ind w:firstLine="643" w:firstLineChars="200"/>
        <w:rPr>
          <w:rFonts w:eastAsia="仿宋_GB2312"/>
          <w:sz w:val="32"/>
          <w:szCs w:val="32"/>
        </w:rPr>
      </w:pPr>
      <w:r>
        <w:rPr>
          <w:rFonts w:eastAsia="仿宋_GB2312"/>
          <w:b/>
          <w:bCs/>
          <w:sz w:val="32"/>
          <w:szCs w:val="32"/>
        </w:rPr>
        <w:t>6.着力推进基层党建工作。</w:t>
      </w:r>
      <w:r>
        <w:rPr>
          <w:rFonts w:eastAsia="仿宋_GB2312"/>
          <w:sz w:val="32"/>
          <w:szCs w:val="32"/>
        </w:rPr>
        <w:t>一是做好党建引领下的基层治理工作；二是强化社区治理团队建设；三是深入推进党风廉政建设工作。</w:t>
      </w:r>
    </w:p>
    <w:p>
      <w:pPr>
        <w:widowControl/>
        <w:adjustRightInd w:val="0"/>
        <w:snapToGrid w:val="0"/>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二、部门财政资金收支情况</w:t>
      </w:r>
    </w:p>
    <w:p>
      <w:pPr>
        <w:ind w:firstLine="640" w:firstLineChars="200"/>
        <w:rPr>
          <w:rFonts w:eastAsia="楷体_GB2312"/>
          <w:b/>
          <w:sz w:val="32"/>
          <w:szCs w:val="32"/>
        </w:rPr>
      </w:pPr>
      <w:r>
        <w:rPr>
          <w:rFonts w:eastAsia="楷体_GB2312"/>
          <w:bCs/>
          <w:sz w:val="32"/>
          <w:szCs w:val="32"/>
        </w:rPr>
        <w:t>（一）部门财政资金收入情况。</w:t>
      </w:r>
    </w:p>
    <w:p>
      <w:pPr>
        <w:ind w:firstLine="640" w:firstLineChars="200"/>
        <w:rPr>
          <w:rFonts w:eastAsia="仿宋_GB2312"/>
          <w:sz w:val="32"/>
          <w:szCs w:val="32"/>
        </w:rPr>
      </w:pPr>
      <w:r>
        <w:rPr>
          <w:rFonts w:eastAsia="仿宋_GB2312"/>
          <w:sz w:val="32"/>
          <w:szCs w:val="32"/>
        </w:rPr>
        <w:t>本年收入合计834.12万元。其中，一般公共预算财政拨款收入752.25万元，占总收入的90.18%,政府性基金预算财政拨款收入81.87万元，占总收入的9.82%。</w:t>
      </w:r>
    </w:p>
    <w:p>
      <w:pPr>
        <w:ind w:firstLine="640" w:firstLineChars="200"/>
        <w:rPr>
          <w:rFonts w:eastAsia="楷体_GB2312"/>
          <w:b/>
          <w:sz w:val="32"/>
          <w:szCs w:val="32"/>
        </w:rPr>
      </w:pPr>
      <w:r>
        <w:rPr>
          <w:rFonts w:eastAsia="楷体_GB2312"/>
          <w:bCs/>
          <w:sz w:val="32"/>
          <w:szCs w:val="32"/>
        </w:rPr>
        <w:t>（二）部门财政资金支出情况。</w:t>
      </w:r>
    </w:p>
    <w:p>
      <w:pPr>
        <w:ind w:firstLine="640" w:firstLineChars="200"/>
        <w:rPr>
          <w:rFonts w:eastAsia="仿宋_GB2312"/>
          <w:sz w:val="32"/>
          <w:szCs w:val="32"/>
        </w:rPr>
      </w:pPr>
      <w:r>
        <w:rPr>
          <w:rFonts w:eastAsia="仿宋_GB2312"/>
          <w:sz w:val="32"/>
          <w:szCs w:val="32"/>
        </w:rPr>
        <w:t>本年支出合计991.94万元（含上年结转结余）。其中，本年基本支出年446.97万元（基本支出主要为保障街道日常正常运转需支付的公用经费，以及人员工资、社保、公积金等人员经费），项目支出合计544.97万元（项目支出主要为基层政权建设、社会管理、人大代表建设、维稳、环卫清扫保洁、养老综合体、城乡社区治理试点、廉洁教育文化基地等项目支出）。</w:t>
      </w:r>
    </w:p>
    <w:p>
      <w:pPr>
        <w:widowControl/>
        <w:adjustRightInd w:val="0"/>
        <w:snapToGrid w:val="0"/>
        <w:spacing w:line="572"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三、部门整体绩效分析</w:t>
      </w:r>
    </w:p>
    <w:p>
      <w:pPr>
        <w:widowControl/>
        <w:adjustRightInd w:val="0"/>
        <w:snapToGrid w:val="0"/>
        <w:spacing w:line="572" w:lineRule="exact"/>
        <w:ind w:firstLine="640" w:firstLineChars="200"/>
        <w:contextualSpacing/>
        <w:jc w:val="left"/>
        <w:rPr>
          <w:rFonts w:eastAsia="仿宋"/>
          <w:sz w:val="32"/>
          <w:szCs w:val="32"/>
        </w:rPr>
      </w:pPr>
      <w:r>
        <w:rPr>
          <w:rFonts w:eastAsia="楷体_GB2312"/>
          <w:bCs/>
          <w:sz w:val="32"/>
          <w:szCs w:val="32"/>
        </w:rPr>
        <w:t>（一）部门预算项目绩效分析。</w:t>
      </w:r>
    </w:p>
    <w:p>
      <w:pPr>
        <w:widowControl/>
        <w:adjustRightInd w:val="0"/>
        <w:snapToGrid w:val="0"/>
        <w:spacing w:line="560" w:lineRule="exact"/>
        <w:ind w:firstLine="643" w:firstLineChars="200"/>
        <w:contextualSpacing/>
        <w:jc w:val="left"/>
        <w:rPr>
          <w:rFonts w:eastAsia="仿宋_GB2312"/>
          <w:b/>
          <w:bCs/>
          <w:kern w:val="0"/>
          <w:sz w:val="32"/>
          <w:szCs w:val="32"/>
          <w:shd w:val="clear" w:color="auto" w:fill="FFFFFF"/>
        </w:rPr>
      </w:pPr>
      <w:r>
        <w:rPr>
          <w:rFonts w:eastAsia="仿宋_GB2312"/>
          <w:b/>
          <w:bCs/>
          <w:sz w:val="32"/>
          <w:szCs w:val="32"/>
        </w:rPr>
        <w:t>1.</w:t>
      </w:r>
      <w:r>
        <w:rPr>
          <w:rFonts w:eastAsia="仿宋_GB2312"/>
          <w:b/>
          <w:bCs/>
          <w:kern w:val="0"/>
          <w:sz w:val="32"/>
          <w:szCs w:val="32"/>
          <w:shd w:val="clear" w:color="auto" w:fill="FFFFFF"/>
        </w:rPr>
        <w:t>人员类项目绩效分析</w:t>
      </w:r>
      <w:r>
        <w:rPr>
          <w:rFonts w:eastAsia="仿宋_GB2312"/>
          <w:b/>
          <w:bCs/>
          <w:sz w:val="32"/>
          <w:szCs w:val="32"/>
        </w:rPr>
        <w:t>：</w:t>
      </w:r>
    </w:p>
    <w:p>
      <w:pPr>
        <w:ind w:firstLine="640" w:firstLineChars="200"/>
        <w:rPr>
          <w:rFonts w:eastAsia="仿宋_GB2312"/>
          <w:sz w:val="32"/>
          <w:szCs w:val="32"/>
        </w:rPr>
      </w:pPr>
      <w:r>
        <w:rPr>
          <w:rFonts w:eastAsia="仿宋_GB2312"/>
          <w:sz w:val="32"/>
          <w:szCs w:val="32"/>
        </w:rPr>
        <w:t>人员经费支出428.46万元，主要包括：基本工资、津贴补贴、奖金、绩效工资、机关事业单位基本养老保险缴费、职业年金缴费、其他社会保障缴费、职工基本医疗保险缴费、公务员医疗补助缴费、其他工资福利支出、退休费、生活补助、奖励金、住房公积金支出等。街道按时发放人员经费、缴纳社会保险、公积金。</w:t>
      </w:r>
    </w:p>
    <w:p>
      <w:pPr>
        <w:widowControl/>
        <w:adjustRightInd w:val="0"/>
        <w:snapToGrid w:val="0"/>
        <w:spacing w:line="560" w:lineRule="exact"/>
        <w:ind w:firstLine="643" w:firstLineChars="200"/>
        <w:contextualSpacing/>
        <w:jc w:val="left"/>
        <w:rPr>
          <w:rFonts w:eastAsia="仿宋_GB2312"/>
          <w:b/>
          <w:bCs/>
          <w:kern w:val="0"/>
          <w:sz w:val="32"/>
          <w:szCs w:val="32"/>
          <w:shd w:val="clear" w:color="auto" w:fill="FFFFFF"/>
        </w:rPr>
      </w:pPr>
      <w:r>
        <w:rPr>
          <w:rFonts w:eastAsia="仿宋_GB2312"/>
          <w:b/>
          <w:bCs/>
          <w:kern w:val="0"/>
          <w:sz w:val="32"/>
          <w:szCs w:val="32"/>
          <w:shd w:val="clear" w:color="auto" w:fill="FFFFFF"/>
        </w:rPr>
        <w:t>2.运转类项目绩效分析：</w:t>
      </w:r>
    </w:p>
    <w:p>
      <w:pPr>
        <w:ind w:firstLine="640" w:firstLineChars="200"/>
        <w:rPr>
          <w:rFonts w:eastAsia="仿宋_GB2312"/>
          <w:sz w:val="32"/>
          <w:szCs w:val="32"/>
        </w:rPr>
      </w:pPr>
      <w:r>
        <w:rPr>
          <w:rFonts w:eastAsia="仿宋_GB2312"/>
          <w:sz w:val="32"/>
          <w:szCs w:val="32"/>
        </w:rPr>
        <w:t>2022年运转类支出18.51万元。</w:t>
      </w:r>
      <w:r>
        <w:rPr>
          <w:rFonts w:eastAsia="仿宋_GB2312"/>
          <w:color w:val="000000"/>
          <w:kern w:val="0"/>
          <w:sz w:val="32"/>
          <w:szCs w:val="32"/>
          <w:shd w:val="clear" w:color="auto" w:fill="FFFFFF"/>
          <w:lang w:val="zh-CN"/>
        </w:rPr>
        <w:t>运转类项目主要是维持单位基本运转的各类商品服务支出，</w:t>
      </w:r>
      <w:r>
        <w:rPr>
          <w:rFonts w:eastAsia="仿宋_GB2312"/>
          <w:sz w:val="32"/>
          <w:szCs w:val="32"/>
        </w:rPr>
        <w:t>主要包括：办公费、水费、电费、邮电费、差旅费、维修（护）费、劳务费、工会经费、福利费、公务用车运行维护费、其他交通费、其他商品和服务支出等。</w:t>
      </w:r>
    </w:p>
    <w:p>
      <w:pPr>
        <w:widowControl/>
        <w:adjustRightInd w:val="0"/>
        <w:snapToGrid w:val="0"/>
        <w:spacing w:line="560" w:lineRule="exact"/>
        <w:ind w:firstLine="643" w:firstLineChars="200"/>
        <w:contextualSpacing/>
        <w:jc w:val="left"/>
        <w:rPr>
          <w:rFonts w:eastAsia="仿宋_GB2312"/>
          <w:kern w:val="0"/>
          <w:sz w:val="32"/>
          <w:szCs w:val="32"/>
          <w:shd w:val="clear" w:color="auto" w:fill="FFFFFF"/>
        </w:rPr>
      </w:pPr>
      <w:r>
        <w:rPr>
          <w:rFonts w:eastAsia="仿宋_GB2312"/>
          <w:b/>
          <w:bCs/>
          <w:kern w:val="0"/>
          <w:sz w:val="32"/>
          <w:szCs w:val="32"/>
          <w:shd w:val="clear" w:color="auto" w:fill="FFFFFF"/>
        </w:rPr>
        <w:t>3.特定目标类项目绩效分析</w:t>
      </w:r>
      <w:r>
        <w:rPr>
          <w:rFonts w:eastAsia="仿宋_GB2312"/>
          <w:b/>
          <w:bCs/>
          <w:sz w:val="32"/>
          <w:szCs w:val="32"/>
        </w:rPr>
        <w:t>：</w:t>
      </w:r>
    </w:p>
    <w:p>
      <w:pPr>
        <w:ind w:firstLine="640" w:firstLineChars="200"/>
        <w:rPr>
          <w:rFonts w:eastAsia="仿宋_GB2312"/>
          <w:sz w:val="32"/>
          <w:szCs w:val="32"/>
        </w:rPr>
      </w:pPr>
      <w:r>
        <w:rPr>
          <w:rFonts w:eastAsia="仿宋_GB2312"/>
          <w:sz w:val="32"/>
          <w:szCs w:val="32"/>
        </w:rPr>
        <w:t>2022年项目支出544.97万元，完成预算100%。目标实现：贯彻执行党和国家的各项法律、法规、规章以及上级政府的决议、决定，依法管理基层公共事务；负责辖区经济、文化、教育、科技、卫生健康、民政、社会保障、民族宗教、司法、退役军人、统计等公共管理和公共服务工作，积极构建公共服务均等化体系，促进社会事业发展；完成了辖区平安建设、社会治安综合治理工作，建立社会矛盾纠纷排查调处机制，维护社会和谐稳定；积极推进人大政协履职基础；养老综合体、城乡社区治理试点打造完成。</w:t>
      </w:r>
    </w:p>
    <w:p>
      <w:pPr>
        <w:widowControl/>
        <w:adjustRightInd w:val="0"/>
        <w:snapToGrid w:val="0"/>
        <w:spacing w:line="560" w:lineRule="exact"/>
        <w:ind w:firstLine="640" w:firstLineChars="200"/>
        <w:contextualSpacing/>
        <w:jc w:val="left"/>
        <w:rPr>
          <w:rFonts w:eastAsia="楷体_GB2312"/>
          <w:b/>
          <w:bCs/>
          <w:kern w:val="0"/>
          <w:sz w:val="32"/>
          <w:szCs w:val="32"/>
          <w:shd w:val="clear" w:color="auto" w:fill="FFFFFF"/>
          <w:lang w:val="zh-CN"/>
        </w:rPr>
      </w:pPr>
      <w:r>
        <w:rPr>
          <w:rFonts w:eastAsia="楷体_GB2312"/>
          <w:kern w:val="0"/>
          <w:sz w:val="32"/>
          <w:szCs w:val="32"/>
          <w:shd w:val="clear" w:color="auto" w:fill="FFFFFF"/>
          <w:lang w:val="zh-CN"/>
        </w:rPr>
        <w:t>（二）部门整体履职绩效分析。</w:t>
      </w:r>
    </w:p>
    <w:p>
      <w:pPr>
        <w:pStyle w:val="2"/>
        <w:spacing w:before="93"/>
        <w:ind w:firstLine="640" w:firstLineChars="200"/>
        <w:rPr>
          <w:rFonts w:ascii="Times New Roman"/>
          <w:sz w:val="32"/>
          <w:szCs w:val="32"/>
          <w:shd w:val="clear" w:color="auto" w:fill="FFFFFF"/>
          <w:lang w:val="zh-CN"/>
        </w:rPr>
      </w:pPr>
      <w:r>
        <w:rPr>
          <w:rFonts w:ascii="Times New Roman"/>
          <w:sz w:val="32"/>
          <w:szCs w:val="32"/>
          <w:lang w:val="zh-CN"/>
        </w:rPr>
        <w:t>街道顺利完了项目预算执行任务。通过各项指标的监测和分析，工作效率提到了提高，例如财务处理速度加快、资金使用率提高等，通过对过去一年的工作进行分析和评估，我们认为自己在部门整体履职绩效方面表现良好。同时，我们也意识到还有一些需要改进的地方。需要进一步加强预算执行的管理和监督，确保预算资金使用的合规性和效益性；进一步提高工作效率和质量，优化工作流程和服务流程；我们将在今后的工作中更加注重效率和质量，努力提高履职绩效，不断提升综合素质和能力。</w:t>
      </w:r>
    </w:p>
    <w:p>
      <w:pPr>
        <w:ind w:firstLine="640" w:firstLineChars="200"/>
        <w:rPr>
          <w:rFonts w:eastAsia="仿宋_GB2312"/>
          <w:kern w:val="0"/>
          <w:sz w:val="32"/>
          <w:szCs w:val="32"/>
          <w:shd w:val="clear" w:color="auto" w:fill="FFFFFF"/>
          <w:lang w:val="zh-CN"/>
        </w:rPr>
      </w:pPr>
      <w:r>
        <w:rPr>
          <w:rFonts w:eastAsia="楷体_GB2312"/>
          <w:bCs/>
          <w:sz w:val="32"/>
          <w:szCs w:val="32"/>
        </w:rPr>
        <w:t>（三）结果应用情况。</w:t>
      </w:r>
    </w:p>
    <w:p>
      <w:pPr>
        <w:ind w:firstLine="640" w:firstLineChars="200"/>
        <w:rPr>
          <w:rFonts w:eastAsia="仿宋_GB2312"/>
          <w:sz w:val="32"/>
          <w:szCs w:val="32"/>
        </w:rPr>
      </w:pPr>
      <w:r>
        <w:rPr>
          <w:rFonts w:eastAsia="仿宋_GB2312"/>
          <w:sz w:val="32"/>
          <w:szCs w:val="32"/>
        </w:rPr>
        <w:t>街道认真开展项目绩效评价工作，并将绩效评价结果作为编制下年度预算和项目资金分配的重要依据，对自评中发现的问题进行整改，为下一年的预算工作奠定良好基础。</w:t>
      </w:r>
    </w:p>
    <w:p>
      <w:pPr>
        <w:ind w:firstLine="640" w:firstLineChars="200"/>
        <w:rPr>
          <w:rFonts w:eastAsia="楷体_GB2312"/>
          <w:b/>
          <w:sz w:val="32"/>
          <w:szCs w:val="32"/>
        </w:rPr>
      </w:pPr>
      <w:r>
        <w:rPr>
          <w:rFonts w:eastAsia="楷体_GB2312"/>
          <w:bCs/>
          <w:sz w:val="32"/>
          <w:szCs w:val="32"/>
        </w:rPr>
        <w:t>（四）自评质量。</w:t>
      </w:r>
    </w:p>
    <w:p>
      <w:pPr>
        <w:ind w:firstLine="640" w:firstLineChars="200"/>
        <w:rPr>
          <w:rFonts w:eastAsia="仿宋_GB2312"/>
          <w:sz w:val="32"/>
          <w:szCs w:val="32"/>
        </w:rPr>
      </w:pPr>
      <w:r>
        <w:rPr>
          <w:rFonts w:eastAsia="仿宋_GB2312"/>
          <w:sz w:val="32"/>
          <w:szCs w:val="32"/>
        </w:rPr>
        <w:t>街道2022年部门预算整体支出情况良好，财政资金预算配置合理合规，预算执行严格有序，预算管理规范可控，资金效益合乎预期。预算、执行、收支、资产管理及信息公开都严格按相关制度要求进行，全年收支平衡，有效保证了机构运转，圆满完成了上级下达的目标任务，取得了较大的社会效益。</w:t>
      </w:r>
    </w:p>
    <w:p>
      <w:pPr>
        <w:widowControl/>
        <w:adjustRightInd w:val="0"/>
        <w:snapToGrid w:val="0"/>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pPr>
        <w:ind w:firstLine="640" w:firstLineChars="200"/>
        <w:rPr>
          <w:rFonts w:eastAsia="楷体_GB2312"/>
          <w:b/>
          <w:sz w:val="32"/>
          <w:szCs w:val="32"/>
        </w:rPr>
      </w:pPr>
      <w:r>
        <w:rPr>
          <w:rFonts w:eastAsia="楷体_GB2312"/>
          <w:bCs/>
          <w:sz w:val="32"/>
          <w:szCs w:val="32"/>
        </w:rPr>
        <w:t>（一）评价结论。</w:t>
      </w:r>
    </w:p>
    <w:p>
      <w:pPr>
        <w:ind w:firstLine="640" w:firstLineChars="200"/>
        <w:rPr>
          <w:rFonts w:eastAsia="仿宋_GB2312"/>
          <w:sz w:val="32"/>
          <w:szCs w:val="32"/>
        </w:rPr>
      </w:pPr>
      <w:r>
        <w:rPr>
          <w:rFonts w:eastAsia="仿宋_GB2312"/>
          <w:sz w:val="32"/>
          <w:szCs w:val="32"/>
        </w:rPr>
        <w:t>通过绩效自评，街道整体支出的经济性和时效性都明显增强，切实提升了街道的整体支出效益，有力推动了街道相关工作的开展，基本实现了预算绩效管理工作目标。</w:t>
      </w:r>
    </w:p>
    <w:p>
      <w:pPr>
        <w:ind w:firstLine="640" w:firstLineChars="200"/>
        <w:rPr>
          <w:rFonts w:eastAsia="楷体_GB2312"/>
          <w:bCs/>
          <w:sz w:val="32"/>
          <w:szCs w:val="32"/>
        </w:rPr>
      </w:pPr>
      <w:r>
        <w:rPr>
          <w:rFonts w:eastAsia="楷体_GB2312"/>
          <w:bCs/>
          <w:sz w:val="32"/>
          <w:szCs w:val="32"/>
        </w:rPr>
        <w:t>（二）存在问题。</w:t>
      </w:r>
    </w:p>
    <w:p>
      <w:pPr>
        <w:ind w:firstLine="640" w:firstLineChars="200"/>
        <w:rPr>
          <w:rFonts w:eastAsia="仿宋_GB2312"/>
          <w:sz w:val="32"/>
          <w:szCs w:val="32"/>
        </w:rPr>
      </w:pPr>
      <w:r>
        <w:rPr>
          <w:rFonts w:eastAsia="仿宋_GB2312"/>
          <w:sz w:val="32"/>
          <w:szCs w:val="32"/>
        </w:rPr>
        <w:t>无</w:t>
      </w:r>
    </w:p>
    <w:p>
      <w:pPr>
        <w:ind w:firstLine="640" w:firstLineChars="200"/>
        <w:rPr>
          <w:rFonts w:eastAsia="楷体_GB2312"/>
          <w:bCs/>
          <w:sz w:val="32"/>
          <w:szCs w:val="32"/>
        </w:rPr>
      </w:pPr>
      <w:r>
        <w:rPr>
          <w:rFonts w:eastAsia="楷体_GB2312"/>
          <w:bCs/>
          <w:sz w:val="32"/>
          <w:szCs w:val="32"/>
        </w:rPr>
        <w:t>（三）改进建议。</w:t>
      </w:r>
    </w:p>
    <w:p>
      <w:pPr>
        <w:ind w:firstLine="640" w:firstLineChars="200"/>
        <w:rPr>
          <w:rFonts w:eastAsia="仿宋_GB2312"/>
          <w:kern w:val="0"/>
          <w:sz w:val="32"/>
          <w:szCs w:val="32"/>
        </w:rPr>
      </w:pPr>
      <w:r>
        <w:rPr>
          <w:rFonts w:eastAsia="仿宋_GB2312"/>
          <w:kern w:val="0"/>
          <w:sz w:val="32"/>
          <w:szCs w:val="32"/>
        </w:rPr>
        <w:t>无</w:t>
      </w:r>
    </w:p>
    <w:p>
      <w:pPr>
        <w:ind w:firstLine="640" w:firstLineChars="200"/>
        <w:rPr>
          <w:rFonts w:eastAsia="仿宋"/>
          <w:sz w:val="32"/>
          <w:szCs w:val="32"/>
        </w:rPr>
      </w:pPr>
    </w:p>
    <w:p>
      <w:pPr>
        <w:pStyle w:val="2"/>
        <w:spacing w:beforeLines="0"/>
        <w:jc w:val="left"/>
        <w:rPr>
          <w:rFonts w:ascii="Times New Roman" w:eastAsia="黑体"/>
          <w:lang w:val="zh-CN"/>
        </w:rPr>
      </w:pPr>
      <w:r>
        <w:rPr>
          <w:rFonts w:ascii="Times New Roman" w:eastAsia="黑体"/>
          <w:sz w:val="32"/>
          <w:szCs w:val="32"/>
          <w:shd w:val="clear" w:color="auto" w:fill="FFFFFF"/>
          <w:lang w:val="zh-CN"/>
        </w:rPr>
        <w:t>附件2</w:t>
      </w:r>
    </w:p>
    <w:p>
      <w:pPr>
        <w:jc w:val="center"/>
        <w:rPr>
          <w:rFonts w:eastAsia="方正小标宋_GBK"/>
          <w:sz w:val="44"/>
          <w:szCs w:val="44"/>
          <w:lang w:val="zh-CN"/>
        </w:rPr>
      </w:pPr>
      <w:r>
        <w:rPr>
          <w:rFonts w:eastAsia="方正小标宋_GBK"/>
          <w:sz w:val="44"/>
          <w:szCs w:val="44"/>
        </w:rPr>
        <w:t>2022年</w:t>
      </w:r>
      <w:r>
        <w:rPr>
          <w:rFonts w:eastAsia="方正小标宋_GBK"/>
          <w:sz w:val="44"/>
          <w:szCs w:val="44"/>
          <w:lang w:val="zh-CN"/>
        </w:rPr>
        <w:t>社区办公经费项目支出绩效自评报告</w:t>
      </w:r>
    </w:p>
    <w:p>
      <w:pPr>
        <w:ind w:firstLine="640" w:firstLineChars="200"/>
        <w:rPr>
          <w:rFonts w:eastAsia="黑体"/>
          <w:sz w:val="32"/>
          <w:szCs w:val="32"/>
        </w:rPr>
      </w:pPr>
      <w:r>
        <w:rPr>
          <w:rFonts w:eastAsia="黑体"/>
          <w:sz w:val="32"/>
          <w:szCs w:val="32"/>
        </w:rPr>
        <w:t>一、项目概况</w:t>
      </w:r>
    </w:p>
    <w:p>
      <w:pPr>
        <w:ind w:firstLine="640" w:firstLineChars="200"/>
        <w:rPr>
          <w:rFonts w:eastAsia="方正楷体_GBK"/>
          <w:bCs/>
          <w:sz w:val="32"/>
          <w:szCs w:val="32"/>
        </w:rPr>
      </w:pPr>
      <w:r>
        <w:rPr>
          <w:rFonts w:eastAsia="方正楷体_GBK"/>
          <w:bCs/>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河门口街道辖区内有两个社区，项目主要为保障社区的正常运转，增强社区的管理和发展，充分调动广大基层两委干部工作的积极性，发挥社区在城乡社区治理建设中的引领作用，保证居民委员会日常基础工作的正常运行。</w:t>
      </w:r>
    </w:p>
    <w:p>
      <w:pPr>
        <w:ind w:firstLine="640" w:firstLineChars="200"/>
        <w:rPr>
          <w:rFonts w:eastAsia="楷体_GB2312"/>
          <w:bCs/>
          <w:sz w:val="32"/>
          <w:szCs w:val="32"/>
        </w:rPr>
      </w:pPr>
      <w:r>
        <w:rPr>
          <w:rFonts w:eastAsia="楷体_GB2312"/>
          <w:bCs/>
          <w:sz w:val="32"/>
          <w:szCs w:val="32"/>
        </w:rPr>
        <w:t>（二）项目绩效目标。</w:t>
      </w:r>
    </w:p>
    <w:p>
      <w:pPr>
        <w:ind w:firstLine="643" w:firstLineChars="200"/>
        <w:rPr>
          <w:rFonts w:eastAsia="方正楷体_GBK"/>
          <w:b/>
          <w:sz w:val="32"/>
          <w:szCs w:val="32"/>
        </w:rPr>
      </w:pPr>
      <w:r>
        <w:rPr>
          <w:rFonts w:eastAsia="方正楷体_GBK"/>
          <w:b/>
          <w:sz w:val="32"/>
          <w:szCs w:val="32"/>
        </w:rPr>
        <w:t>1.项目主要内容。</w:t>
      </w:r>
    </w:p>
    <w:p>
      <w:pPr>
        <w:spacing w:line="560" w:lineRule="exact"/>
        <w:ind w:firstLine="640" w:firstLineChars="200"/>
        <w:rPr>
          <w:rFonts w:eastAsia="仿宋_GB2312"/>
          <w:sz w:val="32"/>
          <w:szCs w:val="32"/>
        </w:rPr>
      </w:pPr>
      <w:r>
        <w:rPr>
          <w:rFonts w:eastAsia="仿宋_GB2312"/>
          <w:sz w:val="32"/>
          <w:szCs w:val="32"/>
        </w:rPr>
        <w:t>（1）宣传宪法、法律、法规和国家政策,教育公民履行法律规定的义务,合理利用自然资源，保护和改善生态环境，爱护公共财产,维护居民的合法权益。</w:t>
      </w:r>
    </w:p>
    <w:p>
      <w:pPr>
        <w:spacing w:line="560" w:lineRule="exact"/>
        <w:ind w:firstLine="640" w:firstLineChars="200"/>
        <w:rPr>
          <w:rFonts w:eastAsia="仿宋_GB2312"/>
          <w:sz w:val="32"/>
          <w:szCs w:val="32"/>
        </w:rPr>
      </w:pPr>
      <w:r>
        <w:rPr>
          <w:rFonts w:eastAsia="仿宋_GB2312"/>
          <w:sz w:val="32"/>
          <w:szCs w:val="32"/>
        </w:rPr>
        <w:t>（2）动员和组织社区居委会共驻共建，资源共享,发展社区文化、教育事业，普及科技知识，开展多种形式的社会主义精神文明建设活动。</w:t>
      </w:r>
    </w:p>
    <w:p>
      <w:pPr>
        <w:spacing w:line="560" w:lineRule="exact"/>
        <w:ind w:firstLine="640" w:firstLineChars="200"/>
        <w:rPr>
          <w:rFonts w:eastAsia="仿宋_GB2312"/>
          <w:sz w:val="32"/>
          <w:szCs w:val="32"/>
        </w:rPr>
      </w:pPr>
      <w:r>
        <w:rPr>
          <w:rFonts w:eastAsia="仿宋_GB2312"/>
          <w:sz w:val="32"/>
          <w:szCs w:val="32"/>
        </w:rPr>
        <w:t>（3）办理本社区居民的公共事务，发展本社区的公益事业。</w:t>
      </w:r>
    </w:p>
    <w:p>
      <w:pPr>
        <w:spacing w:line="560" w:lineRule="exact"/>
        <w:ind w:firstLine="640" w:firstLineChars="200"/>
        <w:rPr>
          <w:rFonts w:eastAsia="仿宋_GB2312"/>
          <w:sz w:val="32"/>
          <w:szCs w:val="32"/>
        </w:rPr>
      </w:pPr>
      <w:r>
        <w:rPr>
          <w:rFonts w:eastAsia="仿宋_GB2312"/>
          <w:sz w:val="32"/>
          <w:szCs w:val="32"/>
        </w:rPr>
        <w:t>（4）开展便民利民的社区服务,指导、管理社区养老、助残等社区服务机构。</w:t>
      </w:r>
    </w:p>
    <w:p>
      <w:pPr>
        <w:spacing w:line="560" w:lineRule="exact"/>
        <w:ind w:firstLine="640" w:firstLineChars="200"/>
        <w:rPr>
          <w:rFonts w:eastAsia="仿宋_GB2312"/>
          <w:sz w:val="32"/>
          <w:szCs w:val="32"/>
        </w:rPr>
      </w:pPr>
      <w:r>
        <w:rPr>
          <w:rFonts w:eastAsia="仿宋_GB2312"/>
          <w:sz w:val="32"/>
          <w:szCs w:val="32"/>
        </w:rPr>
        <w:t>（5）做好社区内离退休人员的管理与服务。</w:t>
      </w:r>
    </w:p>
    <w:p>
      <w:pPr>
        <w:spacing w:line="560" w:lineRule="exact"/>
        <w:ind w:firstLine="640" w:firstLineChars="200"/>
        <w:rPr>
          <w:rFonts w:eastAsia="仿宋_GB2312"/>
          <w:sz w:val="32"/>
          <w:szCs w:val="32"/>
        </w:rPr>
      </w:pPr>
      <w:r>
        <w:rPr>
          <w:rFonts w:eastAsia="仿宋_GB2312"/>
          <w:sz w:val="32"/>
          <w:szCs w:val="32"/>
        </w:rPr>
        <w:t>（6）组织社区居民，对城市基层人民政府及其派出机构的各项任务进行民主评议、民主监督。</w:t>
      </w:r>
    </w:p>
    <w:p>
      <w:pPr>
        <w:spacing w:line="560" w:lineRule="exact"/>
        <w:ind w:firstLine="640" w:firstLineChars="200"/>
        <w:rPr>
          <w:rFonts w:eastAsia="仿宋_GB2312"/>
          <w:sz w:val="32"/>
          <w:szCs w:val="32"/>
        </w:rPr>
      </w:pPr>
      <w:r>
        <w:rPr>
          <w:rFonts w:eastAsia="仿宋_GB2312"/>
          <w:sz w:val="32"/>
          <w:szCs w:val="32"/>
        </w:rPr>
        <w:t>（7）协助城市基层人民政府开展各项工作。</w:t>
      </w:r>
    </w:p>
    <w:p>
      <w:pPr>
        <w:spacing w:line="560" w:lineRule="exact"/>
        <w:ind w:firstLine="643" w:firstLineChars="200"/>
        <w:rPr>
          <w:rFonts w:eastAsia="方正楷体_GBK"/>
          <w:b/>
          <w:sz w:val="32"/>
          <w:szCs w:val="32"/>
        </w:rPr>
      </w:pPr>
      <w:r>
        <w:rPr>
          <w:rFonts w:eastAsia="方正楷体_GBK"/>
          <w:b/>
          <w:sz w:val="32"/>
          <w:szCs w:val="32"/>
        </w:rPr>
        <w:t>2.项目应实现的具体绩效目标。</w:t>
      </w:r>
    </w:p>
    <w:p>
      <w:pPr>
        <w:spacing w:line="560" w:lineRule="exact"/>
        <w:ind w:firstLine="640" w:firstLineChars="200"/>
        <w:rPr>
          <w:rFonts w:eastAsia="仿宋_GB2312"/>
          <w:sz w:val="32"/>
          <w:szCs w:val="32"/>
        </w:rPr>
      </w:pPr>
      <w:r>
        <w:rPr>
          <w:rFonts w:eastAsia="仿宋_GB2312"/>
          <w:sz w:val="32"/>
          <w:szCs w:val="32"/>
        </w:rPr>
        <w:t>社区居委会依法开展“自我教育、自我管理、自我服务、自我监督”和履行“民主选举、民主决策、民主管理、民主监督”。</w:t>
      </w:r>
    </w:p>
    <w:p>
      <w:pPr>
        <w:spacing w:line="560" w:lineRule="exact"/>
        <w:ind w:firstLine="640" w:firstLineChars="200"/>
        <w:rPr>
          <w:rFonts w:eastAsia="仿宋_GB2312"/>
          <w:b/>
          <w:sz w:val="32"/>
          <w:szCs w:val="32"/>
        </w:rPr>
      </w:pPr>
      <w:r>
        <w:rPr>
          <w:rFonts w:eastAsia="方正楷体_GBK"/>
          <w:bCs/>
          <w:sz w:val="32"/>
          <w:szCs w:val="32"/>
        </w:rPr>
        <w:t>（三）项目自评步骤及方法。</w:t>
      </w:r>
    </w:p>
    <w:p>
      <w:pPr>
        <w:pStyle w:val="2"/>
        <w:spacing w:before="93"/>
        <w:ind w:firstLine="640" w:firstLineChars="200"/>
        <w:jc w:val="left"/>
        <w:rPr>
          <w:rFonts w:ascii="Times New Roman"/>
          <w:sz w:val="32"/>
          <w:szCs w:val="32"/>
        </w:rPr>
      </w:pPr>
      <w:r>
        <w:rPr>
          <w:rFonts w:ascii="Times New Roman"/>
          <w:sz w:val="32"/>
          <w:szCs w:val="32"/>
        </w:rPr>
        <w:t xml:space="preserve">根据项目的服务质量、效率、满意度等因素来制定评价标准;通过服务对象反馈情况等方式收集数据。对收集到的数据进行分析，以了解项目的实际表现是否符合预期。根据分析结果，编写评价报告。报告将详细描述项目的优点和不足，以及改进的建议。  </w:t>
      </w:r>
    </w:p>
    <w:p>
      <w:pPr>
        <w:pStyle w:val="2"/>
        <w:spacing w:before="93"/>
        <w:ind w:firstLine="640" w:firstLineChars="200"/>
        <w:jc w:val="left"/>
        <w:rPr>
          <w:rFonts w:ascii="Times New Roman" w:eastAsia="黑体"/>
          <w:sz w:val="32"/>
          <w:szCs w:val="32"/>
        </w:rPr>
      </w:pPr>
      <w:r>
        <w:rPr>
          <w:rFonts w:ascii="Times New Roman" w:eastAsia="黑体"/>
          <w:sz w:val="32"/>
          <w:szCs w:val="32"/>
        </w:rPr>
        <w:t>二、项目资金申报及使用情况</w:t>
      </w:r>
    </w:p>
    <w:p>
      <w:pPr>
        <w:ind w:firstLine="640" w:firstLineChars="200"/>
        <w:rPr>
          <w:rFonts w:eastAsia="楷体_GB2312"/>
          <w:bCs/>
          <w:sz w:val="32"/>
          <w:szCs w:val="32"/>
        </w:rPr>
      </w:pPr>
      <w:r>
        <w:rPr>
          <w:rFonts w:eastAsia="楷体_GB2312"/>
          <w:bCs/>
          <w:sz w:val="32"/>
          <w:szCs w:val="32"/>
        </w:rPr>
        <w:t>（一）项目资金申报及批复情况。</w:t>
      </w:r>
    </w:p>
    <w:p>
      <w:pPr>
        <w:ind w:firstLine="640" w:firstLineChars="200"/>
        <w:rPr>
          <w:rFonts w:eastAsia="仿宋_GB2312"/>
          <w:sz w:val="32"/>
          <w:szCs w:val="32"/>
          <w:lang w:val="zh-CN"/>
        </w:rPr>
      </w:pPr>
      <w:r>
        <w:rPr>
          <w:rFonts w:eastAsia="仿宋_GB2312"/>
          <w:sz w:val="32"/>
          <w:szCs w:val="32"/>
          <w:lang w:val="zh-CN"/>
        </w:rPr>
        <w:t>该项目纳入了街道年初预算，经批复（攀西财预〔2022〕47-4号）财政下达经费。</w:t>
      </w:r>
    </w:p>
    <w:p>
      <w:pPr>
        <w:ind w:firstLine="640" w:firstLineChars="200"/>
        <w:rPr>
          <w:rFonts w:eastAsia="仿宋_GB2312"/>
          <w:sz w:val="32"/>
          <w:szCs w:val="32"/>
          <w:lang w:val="zh-CN"/>
        </w:rPr>
      </w:pPr>
      <w:r>
        <w:rPr>
          <w:rFonts w:eastAsia="楷体_GB2312"/>
          <w:bCs/>
          <w:sz w:val="32"/>
          <w:szCs w:val="32"/>
        </w:rPr>
        <w:t>（二）资金计划、到位及使用情况。</w:t>
      </w:r>
    </w:p>
    <w:p>
      <w:pPr>
        <w:adjustRightInd w:val="0"/>
        <w:snapToGrid w:val="0"/>
        <w:spacing w:line="600" w:lineRule="exact"/>
        <w:ind w:firstLine="720"/>
        <w:rPr>
          <w:rFonts w:eastAsia="仿宋_GB2312"/>
          <w:sz w:val="32"/>
          <w:szCs w:val="32"/>
          <w:lang w:val="zh-CN"/>
        </w:rPr>
      </w:pPr>
      <w:r>
        <w:rPr>
          <w:rFonts w:eastAsia="仿宋_GB2312"/>
          <w:sz w:val="32"/>
          <w:szCs w:val="32"/>
          <w:lang w:val="zh-CN"/>
        </w:rPr>
        <w:t>1．资金计划。2022年财政预算16万元</w:t>
      </w:r>
    </w:p>
    <w:p>
      <w:pPr>
        <w:adjustRightInd w:val="0"/>
        <w:snapToGrid w:val="0"/>
        <w:spacing w:line="600" w:lineRule="exact"/>
        <w:ind w:firstLine="720"/>
        <w:rPr>
          <w:rFonts w:eastAsia="仿宋_GB2312"/>
          <w:sz w:val="32"/>
          <w:szCs w:val="32"/>
          <w:lang w:val="zh-CN"/>
        </w:rPr>
      </w:pPr>
      <w:r>
        <w:rPr>
          <w:rFonts w:eastAsia="仿宋_GB2312"/>
          <w:sz w:val="32"/>
          <w:szCs w:val="32"/>
          <w:lang w:val="zh-CN"/>
        </w:rPr>
        <w:t>2．资金到位。2022年实际拨付社区办公经费16万元。</w:t>
      </w:r>
    </w:p>
    <w:p>
      <w:pPr>
        <w:adjustRightInd w:val="0"/>
        <w:snapToGrid w:val="0"/>
        <w:spacing w:line="600" w:lineRule="exact"/>
        <w:ind w:firstLine="720"/>
        <w:rPr>
          <w:rFonts w:eastAsia="仿宋_GB2312"/>
          <w:sz w:val="32"/>
          <w:szCs w:val="32"/>
          <w:lang w:val="zh-CN"/>
        </w:rPr>
      </w:pPr>
      <w:r>
        <w:rPr>
          <w:rFonts w:eastAsia="仿宋_GB2312"/>
          <w:sz w:val="32"/>
          <w:szCs w:val="32"/>
          <w:lang w:val="zh-CN"/>
        </w:rPr>
        <w:t>3．资金使用。资金主要用于两个社区</w:t>
      </w:r>
      <w:r>
        <w:rPr>
          <w:rFonts w:eastAsia="仿宋_GB2312"/>
          <w:sz w:val="32"/>
          <w:szCs w:val="32"/>
        </w:rPr>
        <w:t>办公费、水费、电费、邮电费、差旅费、维修（护）费、劳务费、其他商品和服务支出等</w:t>
      </w:r>
      <w:r>
        <w:rPr>
          <w:rFonts w:eastAsia="仿宋_GB2312"/>
          <w:sz w:val="32"/>
          <w:szCs w:val="32"/>
          <w:lang w:val="zh-CN"/>
        </w:rPr>
        <w:t>。</w:t>
      </w:r>
    </w:p>
    <w:p>
      <w:pPr>
        <w:ind w:firstLine="640" w:firstLineChars="200"/>
        <w:rPr>
          <w:rFonts w:eastAsia="楷体_GB2312"/>
          <w:bCs/>
          <w:sz w:val="32"/>
          <w:szCs w:val="32"/>
        </w:rPr>
      </w:pPr>
      <w:r>
        <w:rPr>
          <w:rFonts w:eastAsia="楷体_GB2312"/>
          <w:bCs/>
          <w:sz w:val="32"/>
          <w:szCs w:val="32"/>
        </w:rPr>
        <w:t>（三）项目财务管理情况。</w:t>
      </w:r>
    </w:p>
    <w:p>
      <w:pPr>
        <w:ind w:firstLine="640" w:firstLineChars="200"/>
        <w:rPr>
          <w:rFonts w:eastAsia="仿宋_GB2312"/>
          <w:b/>
          <w:sz w:val="32"/>
          <w:szCs w:val="32"/>
        </w:rPr>
      </w:pPr>
      <w:r>
        <w:rPr>
          <w:rFonts w:eastAsia="仿宋_GB2312"/>
          <w:sz w:val="32"/>
          <w:szCs w:val="32"/>
        </w:rPr>
        <w:t>一是建立健全规章制度，会计核算符合相关规定。 二是加强对财政各项资金的监督管理，确保资金及时、足额到位，专款专用，资金支付依据和开支标准合法合规。未出现截留和挤占挪作他用现象。三是对财政拨付的专项资金进行自检自查，做好资金的项目和资金使用效益管理工作，充分发挥专项资金的使用效益，专项工作按时高质量完成。</w:t>
      </w:r>
    </w:p>
    <w:p>
      <w:pPr>
        <w:ind w:firstLine="640" w:firstLineChars="200"/>
        <w:rPr>
          <w:rFonts w:eastAsia="黑体"/>
          <w:sz w:val="32"/>
          <w:szCs w:val="32"/>
        </w:rPr>
      </w:pPr>
      <w:r>
        <w:rPr>
          <w:rFonts w:eastAsia="黑体"/>
          <w:sz w:val="32"/>
          <w:szCs w:val="32"/>
        </w:rPr>
        <w:t>三、项目实施及管理情况</w:t>
      </w:r>
    </w:p>
    <w:p>
      <w:pPr>
        <w:ind w:firstLine="640" w:firstLineChars="200"/>
        <w:rPr>
          <w:rFonts w:eastAsia="楷体_GB2312"/>
          <w:bCs/>
          <w:sz w:val="32"/>
          <w:szCs w:val="32"/>
          <w:lang w:val="zh-CN"/>
        </w:rPr>
      </w:pPr>
      <w:r>
        <w:rPr>
          <w:rFonts w:eastAsia="楷体_GB2312"/>
          <w:bCs/>
          <w:sz w:val="32"/>
          <w:szCs w:val="32"/>
          <w:lang w:val="zh-CN"/>
        </w:rPr>
        <w:t>（一）项目组织架构及实施流程。</w:t>
      </w:r>
    </w:p>
    <w:p>
      <w:pPr>
        <w:ind w:firstLine="640" w:firstLineChars="200"/>
        <w:rPr>
          <w:rFonts w:eastAsia="仿宋_GB2312"/>
          <w:sz w:val="32"/>
          <w:szCs w:val="32"/>
        </w:rPr>
      </w:pPr>
      <w:r>
        <w:rPr>
          <w:rFonts w:eastAsia="仿宋_GB2312"/>
          <w:sz w:val="32"/>
          <w:szCs w:val="32"/>
        </w:rPr>
        <w:t>街道根据区财政预算项目批复，将项目经费下拨到社区，社区根据实际情况进行项目实施。</w:t>
      </w:r>
    </w:p>
    <w:p>
      <w:pPr>
        <w:ind w:firstLine="640" w:firstLineChars="200"/>
        <w:rPr>
          <w:rFonts w:eastAsia="楷体_GB2312"/>
          <w:bCs/>
          <w:sz w:val="32"/>
          <w:szCs w:val="32"/>
        </w:rPr>
      </w:pPr>
      <w:r>
        <w:rPr>
          <w:rFonts w:eastAsia="楷体_GB2312"/>
          <w:bCs/>
          <w:sz w:val="32"/>
          <w:szCs w:val="32"/>
          <w:lang w:val="zh-CN"/>
        </w:rPr>
        <w:t>（二）</w:t>
      </w:r>
      <w:r>
        <w:rPr>
          <w:rFonts w:eastAsia="楷体_GB2312"/>
          <w:bCs/>
          <w:sz w:val="32"/>
          <w:szCs w:val="32"/>
        </w:rPr>
        <w:t>项目管理情况。</w:t>
      </w:r>
    </w:p>
    <w:p>
      <w:pPr>
        <w:ind w:firstLine="640" w:firstLineChars="200"/>
        <w:rPr>
          <w:rFonts w:eastAsia="楷体_GB2312"/>
          <w:b/>
          <w:sz w:val="32"/>
          <w:szCs w:val="32"/>
        </w:rPr>
      </w:pPr>
      <w:r>
        <w:rPr>
          <w:rFonts w:eastAsia="仿宋_GB2312"/>
          <w:sz w:val="32"/>
          <w:szCs w:val="32"/>
          <w:lang w:val="zh-CN"/>
        </w:rPr>
        <w:t>街道专项资金的收支，一律实行预算管理，纳入财政预算，按照预算要求和程序上报年度预、决算。项目采取项目股室负责制，全体成员积极配合、通力合作，并做好绩效监督。</w:t>
      </w:r>
    </w:p>
    <w:p>
      <w:pPr>
        <w:ind w:firstLine="640" w:firstLineChars="200"/>
        <w:rPr>
          <w:rFonts w:eastAsia="楷体_GB2312"/>
          <w:bCs/>
          <w:sz w:val="32"/>
          <w:szCs w:val="32"/>
        </w:rPr>
      </w:pPr>
      <w:r>
        <w:rPr>
          <w:rFonts w:eastAsia="楷体_GB2312"/>
          <w:bCs/>
          <w:sz w:val="32"/>
          <w:szCs w:val="32"/>
        </w:rPr>
        <w:t>（三）项目监管情况。</w:t>
      </w:r>
    </w:p>
    <w:p>
      <w:pPr>
        <w:ind w:firstLine="640" w:firstLineChars="200"/>
        <w:rPr>
          <w:rFonts w:eastAsia="仿宋_GB2312"/>
          <w:sz w:val="32"/>
          <w:szCs w:val="32"/>
        </w:rPr>
      </w:pPr>
      <w:r>
        <w:rPr>
          <w:rFonts w:eastAsia="仿宋_GB2312"/>
          <w:sz w:val="32"/>
          <w:szCs w:val="32"/>
        </w:rPr>
        <w:t>项目由苏铁社区、河门口社区具体实施，街道对项目实施进行监管。</w:t>
      </w:r>
    </w:p>
    <w:p>
      <w:pPr>
        <w:ind w:firstLine="640" w:firstLineChars="200"/>
        <w:rPr>
          <w:rFonts w:eastAsia="仿宋_GB2312"/>
          <w:sz w:val="32"/>
          <w:szCs w:val="32"/>
        </w:rPr>
      </w:pPr>
      <w:r>
        <w:rPr>
          <w:rFonts w:eastAsia="黑体"/>
          <w:sz w:val="32"/>
          <w:szCs w:val="32"/>
        </w:rPr>
        <w:t>四、项目绩效情况</w:t>
      </w:r>
      <w:r>
        <w:rPr>
          <w:rFonts w:eastAsia="仿宋_GB2312"/>
          <w:sz w:val="32"/>
          <w:szCs w:val="32"/>
          <w:lang w:val="zh-CN"/>
        </w:rPr>
        <w:tab/>
      </w:r>
    </w:p>
    <w:p>
      <w:pPr>
        <w:ind w:firstLine="640" w:firstLineChars="200"/>
        <w:rPr>
          <w:rFonts w:eastAsia="楷体_GB2312"/>
          <w:bCs/>
          <w:sz w:val="32"/>
          <w:szCs w:val="32"/>
        </w:rPr>
      </w:pPr>
      <w:r>
        <w:rPr>
          <w:rFonts w:eastAsia="楷体_GB2312"/>
          <w:bCs/>
          <w:sz w:val="32"/>
          <w:szCs w:val="32"/>
        </w:rPr>
        <w:t>（一）项目完成情况。</w:t>
      </w:r>
    </w:p>
    <w:p>
      <w:pPr>
        <w:adjustRightInd w:val="0"/>
        <w:snapToGrid w:val="0"/>
        <w:spacing w:line="600" w:lineRule="exact"/>
        <w:ind w:firstLine="720"/>
        <w:rPr>
          <w:rFonts w:eastAsia="仿宋_GB2312"/>
          <w:sz w:val="32"/>
          <w:szCs w:val="32"/>
          <w:lang w:val="zh-CN"/>
        </w:rPr>
      </w:pPr>
      <w:r>
        <w:rPr>
          <w:rFonts w:eastAsia="仿宋_GB2312"/>
          <w:sz w:val="32"/>
          <w:szCs w:val="32"/>
          <w:lang w:val="zh-CN"/>
        </w:rPr>
        <w:t>社区开展宪法、法律、法规和国家政策宣传；发展社区文化、教育事业，普及科技知识；开展多种形式的社会主义精神文明建设活动；办理本社区居民的公共事务，发展本社区的公益事业；开展便民利民的社区服务，做好社区内离退休人员的管理与服务；组织社区居民，对城市基层人民政府及其派出机构的各项任务进行民主评议、民主监督。</w:t>
      </w:r>
    </w:p>
    <w:p>
      <w:pPr>
        <w:adjustRightInd w:val="0"/>
        <w:snapToGrid w:val="0"/>
        <w:spacing w:line="600" w:lineRule="exact"/>
        <w:ind w:firstLine="720"/>
        <w:rPr>
          <w:rFonts w:eastAsia="仿宋_GB2312"/>
          <w:sz w:val="32"/>
          <w:szCs w:val="32"/>
          <w:lang w:val="zh-CN"/>
        </w:rPr>
      </w:pPr>
      <w:r>
        <w:rPr>
          <w:rFonts w:eastAsia="楷体_GB2312"/>
          <w:bCs/>
          <w:sz w:val="32"/>
          <w:szCs w:val="32"/>
        </w:rPr>
        <w:t>（二）项目效益情况。</w:t>
      </w:r>
    </w:p>
    <w:p>
      <w:pPr>
        <w:pStyle w:val="2"/>
        <w:spacing w:before="93"/>
        <w:ind w:firstLine="640" w:firstLineChars="200"/>
        <w:rPr>
          <w:rFonts w:ascii="Times New Roman"/>
          <w:sz w:val="32"/>
          <w:szCs w:val="32"/>
          <w:lang w:val="zh-CN"/>
        </w:rPr>
      </w:pPr>
      <w:r>
        <w:rPr>
          <w:rFonts w:ascii="Times New Roman"/>
          <w:sz w:val="32"/>
          <w:szCs w:val="32"/>
          <w:lang w:val="zh-CN"/>
        </w:rPr>
        <w:t>项目的实施是有效落实国家对项目预算评审的管理要求，为财政预算管理提供技术支撑，严格控制项目投资，节约财政资金，有效提高资金使用效率。</w:t>
      </w:r>
    </w:p>
    <w:p>
      <w:pPr>
        <w:pStyle w:val="2"/>
        <w:spacing w:before="93"/>
        <w:ind w:firstLine="640" w:firstLineChars="200"/>
        <w:rPr>
          <w:rFonts w:ascii="Times New Roman"/>
          <w:lang w:val="zh-CN"/>
        </w:rPr>
      </w:pPr>
      <w:r>
        <w:rPr>
          <w:rFonts w:ascii="Times New Roman" w:eastAsia="黑体"/>
          <w:sz w:val="32"/>
          <w:szCs w:val="32"/>
        </w:rPr>
        <w:t>五、评价结论及建议</w:t>
      </w:r>
    </w:p>
    <w:p>
      <w:pPr>
        <w:ind w:firstLine="640" w:firstLineChars="200"/>
        <w:rPr>
          <w:rFonts w:eastAsia="楷体_GB2312"/>
          <w:bCs/>
          <w:sz w:val="32"/>
          <w:szCs w:val="32"/>
        </w:rPr>
      </w:pPr>
      <w:r>
        <w:rPr>
          <w:rFonts w:eastAsia="楷体_GB2312"/>
          <w:bCs/>
          <w:sz w:val="32"/>
          <w:szCs w:val="32"/>
        </w:rPr>
        <w:t>（一）评价结论。</w:t>
      </w:r>
    </w:p>
    <w:p>
      <w:pPr>
        <w:ind w:firstLine="640" w:firstLineChars="200"/>
        <w:rPr>
          <w:rFonts w:eastAsia="仿宋_GB2312"/>
          <w:kern w:val="0"/>
          <w:sz w:val="32"/>
          <w:szCs w:val="32"/>
        </w:rPr>
      </w:pPr>
      <w:r>
        <w:rPr>
          <w:rFonts w:eastAsia="仿宋_GB2312"/>
          <w:kern w:val="0"/>
          <w:sz w:val="32"/>
          <w:szCs w:val="32"/>
        </w:rPr>
        <w:t>我街道严格遵守专项资金管理办法，对申报项目资金进行严管严控，将专项资金有计划有目标的用于能够提高社区公共服务能力和社会管理水平的项目。很好的完成了社区建设工作，使人民群众满意度提升，社会效果良好。</w:t>
      </w:r>
    </w:p>
    <w:p>
      <w:pPr>
        <w:ind w:firstLine="640" w:firstLineChars="200"/>
        <w:rPr>
          <w:rFonts w:eastAsia="楷体_GB2312"/>
          <w:bCs/>
          <w:sz w:val="32"/>
          <w:szCs w:val="32"/>
        </w:rPr>
      </w:pPr>
      <w:r>
        <w:rPr>
          <w:rFonts w:eastAsia="楷体_GB2312"/>
          <w:bCs/>
          <w:sz w:val="32"/>
          <w:szCs w:val="32"/>
        </w:rPr>
        <w:t>（二）存在的问题。</w:t>
      </w:r>
    </w:p>
    <w:p>
      <w:pPr>
        <w:adjustRightInd w:val="0"/>
        <w:snapToGrid w:val="0"/>
        <w:ind w:firstLine="640" w:firstLineChars="200"/>
        <w:rPr>
          <w:rFonts w:eastAsia="仿宋_GB2312"/>
          <w:sz w:val="32"/>
          <w:szCs w:val="32"/>
          <w:lang w:val="zh-CN"/>
        </w:rPr>
      </w:pPr>
      <w:r>
        <w:rPr>
          <w:rFonts w:eastAsia="仿宋_GB2312"/>
          <w:sz w:val="32"/>
          <w:szCs w:val="32"/>
          <w:lang w:val="zh-CN"/>
        </w:rPr>
        <w:t>无</w:t>
      </w:r>
    </w:p>
    <w:p>
      <w:pPr>
        <w:ind w:firstLine="640" w:firstLineChars="200"/>
        <w:rPr>
          <w:rFonts w:eastAsia="楷体_GB2312"/>
          <w:bCs/>
          <w:sz w:val="32"/>
          <w:szCs w:val="32"/>
        </w:rPr>
      </w:pPr>
      <w:r>
        <w:rPr>
          <w:rFonts w:eastAsia="楷体_GB2312"/>
          <w:bCs/>
          <w:sz w:val="32"/>
          <w:szCs w:val="32"/>
        </w:rPr>
        <w:t>（三）相关建议。</w:t>
      </w:r>
    </w:p>
    <w:p>
      <w:pPr>
        <w:pStyle w:val="2"/>
        <w:spacing w:before="93"/>
        <w:ind w:firstLine="640" w:firstLineChars="200"/>
        <w:rPr>
          <w:rFonts w:ascii="Times New Roman"/>
          <w:sz w:val="32"/>
          <w:szCs w:val="32"/>
          <w:lang w:val="zh-CN"/>
        </w:rPr>
      </w:pPr>
      <w:r>
        <w:rPr>
          <w:rFonts w:ascii="Times New Roman"/>
          <w:sz w:val="32"/>
          <w:szCs w:val="32"/>
          <w:lang w:val="zh-CN"/>
        </w:rPr>
        <w:t>无</w:t>
      </w:r>
    </w:p>
    <w:p>
      <w:pPr>
        <w:jc w:val="center"/>
        <w:rPr>
          <w:rFonts w:eastAsia="方正小标宋_GBK"/>
          <w:sz w:val="44"/>
          <w:szCs w:val="44"/>
        </w:rPr>
      </w:pPr>
    </w:p>
    <w:p>
      <w:pPr>
        <w:jc w:val="center"/>
        <w:rPr>
          <w:rFonts w:eastAsia="方正小标宋_GBK"/>
          <w:sz w:val="44"/>
          <w:szCs w:val="44"/>
        </w:rPr>
      </w:pPr>
      <w:r>
        <w:rPr>
          <w:rFonts w:eastAsia="方正小标宋_GBK"/>
          <w:sz w:val="44"/>
          <w:szCs w:val="44"/>
        </w:rPr>
        <w:t>2022年养老服务业发展补助资金</w:t>
      </w:r>
    </w:p>
    <w:p>
      <w:pPr>
        <w:jc w:val="center"/>
        <w:rPr>
          <w:rFonts w:eastAsia="方正小标宋_GBK"/>
          <w:sz w:val="44"/>
          <w:szCs w:val="44"/>
          <w:lang w:val="zh-CN"/>
        </w:rPr>
      </w:pPr>
      <w:r>
        <w:rPr>
          <w:rFonts w:eastAsia="方正小标宋_GBK"/>
          <w:sz w:val="44"/>
          <w:szCs w:val="44"/>
          <w:lang w:val="zh-CN"/>
        </w:rPr>
        <w:t>绩效自评报告</w:t>
      </w:r>
    </w:p>
    <w:p>
      <w:pPr>
        <w:ind w:firstLine="640" w:firstLineChars="200"/>
        <w:jc w:val="center"/>
        <w:rPr>
          <w:sz w:val="32"/>
          <w:szCs w:val="32"/>
          <w:lang w:val="zh-CN"/>
        </w:rPr>
      </w:pPr>
    </w:p>
    <w:p>
      <w:pPr>
        <w:adjustRightInd w:val="0"/>
        <w:snapToGrid w:val="0"/>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pPr>
        <w:ind w:firstLine="470" w:firstLineChars="147"/>
        <w:rPr>
          <w:rFonts w:eastAsia="楷体_GB2312"/>
          <w:b/>
          <w:sz w:val="32"/>
          <w:szCs w:val="32"/>
        </w:rPr>
      </w:pPr>
      <w:r>
        <w:rPr>
          <w:rFonts w:eastAsia="楷体_GB2312"/>
          <w:bCs/>
          <w:sz w:val="32"/>
          <w:szCs w:val="32"/>
        </w:rPr>
        <w:t>（一）项目基本情况。</w:t>
      </w:r>
    </w:p>
    <w:p>
      <w:pPr>
        <w:adjustRightInd w:val="0"/>
        <w:snapToGrid w:val="0"/>
        <w:spacing w:line="353" w:lineRule="auto"/>
        <w:ind w:firstLine="624"/>
        <w:rPr>
          <w:rFonts w:eastAsia="仿宋_GB2312"/>
          <w:spacing w:val="-4"/>
          <w:sz w:val="32"/>
          <w:szCs w:val="32"/>
        </w:rPr>
      </w:pPr>
      <w:r>
        <w:rPr>
          <w:rFonts w:eastAsia="仿宋_GB2312"/>
          <w:sz w:val="32"/>
          <w:szCs w:val="32"/>
        </w:rPr>
        <w:t>攀枝花市西区河门口街道辖区面积约7.1平方公里，现有常住人口6450余人，其中80岁以上人口320余人，残疾老人120余人。</w:t>
      </w:r>
      <w:r>
        <w:rPr>
          <w:rFonts w:eastAsia="仿宋_GB2312"/>
          <w:spacing w:val="-4"/>
          <w:sz w:val="32"/>
          <w:szCs w:val="32"/>
        </w:rPr>
        <w:t>由于经济节奏的加快，辖区高龄老人、空巢老人日渐增多，原有场所设施设备陈旧老化，功能不全，已无法满足辖区老人养老需要。为了更好地贯彻落实养老服务“以社区服务为依托”的要求，进一步提高社区养老服务水平，满足辖区老人就近便利、多层次、多样化的养老服务需求，特申报河门口街道社区养老服务综合体项目。</w:t>
      </w:r>
    </w:p>
    <w:p>
      <w:pPr>
        <w:ind w:firstLine="470" w:firstLineChars="147"/>
        <w:rPr>
          <w:rFonts w:eastAsia="楷体_GB2312"/>
          <w:bCs/>
          <w:sz w:val="32"/>
          <w:szCs w:val="32"/>
        </w:rPr>
      </w:pPr>
      <w:r>
        <w:rPr>
          <w:rFonts w:eastAsia="楷体_GB2312"/>
          <w:bCs/>
          <w:sz w:val="32"/>
          <w:szCs w:val="32"/>
        </w:rPr>
        <w:t>（二）项目绩效目标。</w:t>
      </w:r>
    </w:p>
    <w:p>
      <w:pPr>
        <w:ind w:firstLine="643" w:firstLineChars="200"/>
        <w:rPr>
          <w:rFonts w:eastAsia="楷体_GB2312"/>
          <w:b/>
          <w:bCs/>
          <w:sz w:val="32"/>
          <w:szCs w:val="32"/>
        </w:rPr>
      </w:pPr>
      <w:r>
        <w:rPr>
          <w:rFonts w:eastAsia="仿宋"/>
          <w:b/>
          <w:bCs/>
          <w:sz w:val="32"/>
          <w:szCs w:val="32"/>
        </w:rPr>
        <w:t>1.项目主要内容。</w:t>
      </w:r>
    </w:p>
    <w:p>
      <w:pPr>
        <w:spacing w:line="353" w:lineRule="auto"/>
        <w:ind w:firstLine="640" w:firstLineChars="200"/>
        <w:rPr>
          <w:rFonts w:eastAsia="仿宋_GB2312"/>
          <w:sz w:val="32"/>
          <w:szCs w:val="32"/>
        </w:rPr>
      </w:pPr>
      <w:r>
        <w:rPr>
          <w:rFonts w:eastAsia="仿宋_GB2312"/>
          <w:sz w:val="32"/>
          <w:szCs w:val="32"/>
        </w:rPr>
        <w:t>按照综合设置的相关要求，有效盘活辖区企业资源，实现地企共建，项目依托原502电厂闲置资源，建设为老服务中心、老年人活动中心、孝老文化长廊及配套休闲区、医养结合照料服务中心等。</w:t>
      </w:r>
    </w:p>
    <w:p>
      <w:pPr>
        <w:spacing w:line="560" w:lineRule="exact"/>
        <w:ind w:firstLine="643" w:firstLineChars="200"/>
        <w:rPr>
          <w:rFonts w:eastAsia="仿宋"/>
          <w:b/>
          <w:bCs/>
          <w:sz w:val="32"/>
          <w:szCs w:val="32"/>
        </w:rPr>
      </w:pPr>
      <w:r>
        <w:rPr>
          <w:rFonts w:eastAsia="仿宋"/>
          <w:b/>
          <w:bCs/>
          <w:sz w:val="32"/>
          <w:szCs w:val="32"/>
        </w:rPr>
        <w:t>2.项目绩效目标。</w:t>
      </w:r>
    </w:p>
    <w:p>
      <w:pPr>
        <w:spacing w:line="353" w:lineRule="auto"/>
        <w:ind w:firstLine="640" w:firstLineChars="200"/>
        <w:rPr>
          <w:rFonts w:eastAsia="仿宋_GB2312"/>
          <w:sz w:val="32"/>
          <w:szCs w:val="32"/>
        </w:rPr>
      </w:pPr>
      <w:r>
        <w:rPr>
          <w:rFonts w:eastAsia="仿宋_GB2312"/>
          <w:sz w:val="32"/>
          <w:szCs w:val="32"/>
        </w:rPr>
        <w:t>坚持以人为本的方针，优先发展居家养老服务,分类推进社区养老服务设施建设，充分发挥社区养老服务设施对居家养老的支持作用,创新养老服务供给方式,进一步建立健全以居家为基础、社区为依托、机构为补充、医养相结合的养老服务体系，提升辖区为老服务能力。</w:t>
      </w:r>
    </w:p>
    <w:p>
      <w:pPr>
        <w:widowControl/>
        <w:adjustRightInd w:val="0"/>
        <w:snapToGrid w:val="0"/>
        <w:spacing w:line="578" w:lineRule="exact"/>
        <w:ind w:firstLine="643" w:firstLineChars="200"/>
        <w:contextualSpacing/>
        <w:jc w:val="left"/>
        <w:rPr>
          <w:rFonts w:eastAsia="仿宋_GB2312"/>
          <w:sz w:val="32"/>
          <w:szCs w:val="32"/>
          <w:lang w:val="zh-CN"/>
        </w:rPr>
      </w:pPr>
      <w:r>
        <w:rPr>
          <w:rFonts w:eastAsia="仿宋_GB2312"/>
          <w:b/>
          <w:bCs/>
          <w:sz w:val="32"/>
          <w:szCs w:val="32"/>
        </w:rPr>
        <w:t>3.</w:t>
      </w:r>
      <w:r>
        <w:rPr>
          <w:rFonts w:eastAsia="仿宋_GB2312"/>
          <w:b/>
          <w:bCs/>
          <w:sz w:val="32"/>
          <w:szCs w:val="32"/>
          <w:lang w:val="zh-CN"/>
        </w:rPr>
        <w:t>项目资金申报相符性。</w:t>
      </w:r>
    </w:p>
    <w:p>
      <w:pPr>
        <w:adjustRightInd w:val="0"/>
        <w:snapToGrid w:val="0"/>
        <w:spacing w:line="600" w:lineRule="exact"/>
        <w:ind w:firstLine="720"/>
      </w:pPr>
      <w:r>
        <w:rPr>
          <w:rFonts w:eastAsia="仿宋_GB2312"/>
          <w:sz w:val="32"/>
          <w:szCs w:val="32"/>
        </w:rPr>
        <w:t>项目申报内容与具体实施内容相符，申报目标合理可行。</w:t>
      </w:r>
    </w:p>
    <w:p>
      <w:pPr>
        <w:ind w:firstLine="470" w:firstLineChars="147"/>
        <w:rPr>
          <w:rFonts w:eastAsia="楷体_GB2312"/>
          <w:bCs/>
          <w:sz w:val="32"/>
          <w:szCs w:val="32"/>
        </w:rPr>
      </w:pPr>
      <w:r>
        <w:rPr>
          <w:rFonts w:eastAsia="楷体_GB2312"/>
          <w:bCs/>
          <w:sz w:val="32"/>
          <w:szCs w:val="32"/>
        </w:rPr>
        <w:t>（三）项目自评步骤及方法。</w:t>
      </w:r>
    </w:p>
    <w:p>
      <w:pPr>
        <w:pStyle w:val="2"/>
        <w:spacing w:before="93"/>
        <w:ind w:firstLine="640" w:firstLineChars="200"/>
        <w:rPr>
          <w:rFonts w:ascii="Times New Roman"/>
          <w:sz w:val="32"/>
          <w:szCs w:val="32"/>
        </w:rPr>
      </w:pPr>
      <w:r>
        <w:rPr>
          <w:rFonts w:ascii="Times New Roman"/>
          <w:sz w:val="32"/>
          <w:szCs w:val="32"/>
        </w:rPr>
        <w:t>根据项目的服务质量、效率、满意度等因素来制定评价标准。通过服务对象反馈情况等方式收集数据。对收集到的数据进行分析，以了解项目的实际表现是否符合预期。根据分析结果，编写评价报告。报告将详细描述项目的优点和不足，以及改进的建议。</w:t>
      </w:r>
    </w:p>
    <w:p>
      <w:pPr>
        <w:adjustRightInd w:val="0"/>
        <w:snapToGrid w:val="0"/>
        <w:ind w:firstLine="640" w:firstLineChars="200"/>
        <w:rPr>
          <w:rFonts w:eastAsia="黑体"/>
          <w:sz w:val="32"/>
          <w:szCs w:val="32"/>
        </w:rPr>
      </w:pPr>
      <w:r>
        <w:rPr>
          <w:rFonts w:eastAsia="黑体"/>
          <w:sz w:val="32"/>
          <w:szCs w:val="32"/>
        </w:rPr>
        <w:t>二、项目资金申报及使用情况</w:t>
      </w:r>
    </w:p>
    <w:p>
      <w:pPr>
        <w:ind w:firstLine="470" w:firstLineChars="147"/>
        <w:rPr>
          <w:rFonts w:eastAsia="楷体_GB2312"/>
          <w:bCs/>
          <w:sz w:val="32"/>
          <w:szCs w:val="32"/>
        </w:rPr>
      </w:pPr>
      <w:r>
        <w:rPr>
          <w:rFonts w:eastAsia="楷体_GB2312"/>
          <w:bCs/>
          <w:sz w:val="32"/>
          <w:szCs w:val="32"/>
        </w:rPr>
        <w:t>（一）项目资金申报及批复情况。</w:t>
      </w:r>
    </w:p>
    <w:p>
      <w:pPr>
        <w:ind w:firstLine="640" w:firstLineChars="200"/>
        <w:rPr>
          <w:rFonts w:eastAsia="楷体_GB2312"/>
          <w:b/>
          <w:sz w:val="32"/>
          <w:szCs w:val="32"/>
        </w:rPr>
      </w:pPr>
      <w:r>
        <w:rPr>
          <w:rFonts w:eastAsia="仿宋_GB2312"/>
          <w:sz w:val="32"/>
          <w:szCs w:val="32"/>
          <w:lang w:val="zh-CN"/>
        </w:rPr>
        <w:t>该项目纳入了街道年初预算，经批复（上年结转预〔2022〕10-3号）财政下达经费。</w:t>
      </w:r>
    </w:p>
    <w:p>
      <w:pPr>
        <w:ind w:firstLine="470" w:firstLineChars="147"/>
        <w:rPr>
          <w:rFonts w:eastAsia="楷体_GB2312"/>
          <w:bCs/>
          <w:sz w:val="32"/>
          <w:szCs w:val="32"/>
          <w:lang w:val="zh-CN"/>
        </w:rPr>
      </w:pPr>
      <w:r>
        <w:rPr>
          <w:rFonts w:eastAsia="楷体_GB2312"/>
          <w:bCs/>
          <w:sz w:val="32"/>
          <w:szCs w:val="32"/>
        </w:rPr>
        <w:t>（二）资金计划、到位及使用情况。</w:t>
      </w:r>
    </w:p>
    <w:p>
      <w:pPr>
        <w:adjustRightInd w:val="0"/>
        <w:snapToGrid w:val="0"/>
        <w:spacing w:line="60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rPr>
        <w:t>1.</w:t>
      </w:r>
      <w:r>
        <w:rPr>
          <w:rFonts w:eastAsia="仿宋_GB2312"/>
          <w:kern w:val="0"/>
          <w:sz w:val="32"/>
          <w:szCs w:val="32"/>
          <w:shd w:val="clear" w:color="auto" w:fill="FFFFFF"/>
          <w:lang w:val="zh-CN"/>
        </w:rPr>
        <w:t>资金计划。</w:t>
      </w:r>
      <w:r>
        <w:rPr>
          <w:rFonts w:eastAsia="仿宋_GB2312"/>
          <w:sz w:val="32"/>
          <w:szCs w:val="32"/>
          <w:lang w:val="zh-CN"/>
        </w:rPr>
        <w:t>2022年财政预算200万元。</w:t>
      </w:r>
    </w:p>
    <w:p>
      <w:pPr>
        <w:adjustRightInd w:val="0"/>
        <w:snapToGrid w:val="0"/>
        <w:spacing w:line="600" w:lineRule="exact"/>
        <w:ind w:firstLine="720"/>
        <w:rPr>
          <w:rFonts w:eastAsia="仿宋_GB2312"/>
          <w:b/>
          <w:sz w:val="32"/>
          <w:szCs w:val="32"/>
        </w:rPr>
      </w:pPr>
      <w:r>
        <w:rPr>
          <w:rFonts w:eastAsia="仿宋_GB2312"/>
          <w:kern w:val="0"/>
          <w:sz w:val="32"/>
          <w:szCs w:val="32"/>
          <w:shd w:val="clear" w:color="auto" w:fill="FFFFFF"/>
        </w:rPr>
        <w:t>2.</w:t>
      </w:r>
      <w:r>
        <w:rPr>
          <w:rFonts w:eastAsia="仿宋_GB2312"/>
          <w:kern w:val="0"/>
          <w:sz w:val="32"/>
          <w:szCs w:val="32"/>
          <w:shd w:val="clear" w:color="auto" w:fill="FFFFFF"/>
          <w:lang w:val="zh-CN"/>
        </w:rPr>
        <w:t>资金到位。</w:t>
      </w:r>
      <w:r>
        <w:rPr>
          <w:rFonts w:eastAsia="仿宋_GB2312"/>
          <w:sz w:val="32"/>
          <w:szCs w:val="32"/>
          <w:lang w:val="zh-CN"/>
        </w:rPr>
        <w:t>2022年实际支付54.44万元，支付未完成原因是：该项目截止2022年底，部门项目已实施完成，报账资料未完善。</w:t>
      </w:r>
    </w:p>
    <w:p>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rPr>
        <w:t>3.</w:t>
      </w:r>
      <w:r>
        <w:rPr>
          <w:rFonts w:eastAsia="仿宋_GB2312"/>
          <w:kern w:val="0"/>
          <w:sz w:val="32"/>
          <w:szCs w:val="32"/>
          <w:shd w:val="clear" w:color="auto" w:fill="FFFFFF"/>
          <w:lang w:val="zh-CN"/>
        </w:rPr>
        <w:t>资金使用。</w:t>
      </w:r>
      <w:r>
        <w:rPr>
          <w:rFonts w:eastAsia="仿宋_GB2312"/>
          <w:sz w:val="32"/>
          <w:szCs w:val="32"/>
          <w:lang w:val="zh-CN"/>
        </w:rPr>
        <w:t>实际支出54.44万元，资金主要用于支付为老服务中心、老年活动中心、孝老文化长廊等实施设备的维修维护、电梯加装、设备采购等</w:t>
      </w:r>
      <w:r>
        <w:rPr>
          <w:rFonts w:eastAsia="仿宋_GB2312"/>
          <w:kern w:val="0"/>
          <w:sz w:val="32"/>
          <w:szCs w:val="32"/>
          <w:shd w:val="clear" w:color="auto" w:fill="FFFFFF"/>
        </w:rPr>
        <w:t>。</w:t>
      </w:r>
    </w:p>
    <w:p>
      <w:pPr>
        <w:ind w:firstLine="470" w:firstLineChars="147"/>
        <w:rPr>
          <w:rFonts w:eastAsia="楷体_GB2312"/>
          <w:bCs/>
          <w:sz w:val="32"/>
          <w:szCs w:val="32"/>
        </w:rPr>
      </w:pPr>
      <w:r>
        <w:rPr>
          <w:rFonts w:eastAsia="楷体_GB2312"/>
          <w:bCs/>
          <w:sz w:val="32"/>
          <w:szCs w:val="32"/>
        </w:rPr>
        <w:t>（三）项目财务管理情况。</w:t>
      </w:r>
    </w:p>
    <w:p>
      <w:pPr>
        <w:ind w:firstLine="640" w:firstLineChars="200"/>
        <w:rPr>
          <w:rFonts w:eastAsia="仿宋_GB2312"/>
          <w:b/>
          <w:sz w:val="32"/>
          <w:szCs w:val="32"/>
        </w:rPr>
      </w:pPr>
      <w:r>
        <w:rPr>
          <w:rFonts w:eastAsia="仿宋_GB2312"/>
          <w:sz w:val="32"/>
          <w:szCs w:val="32"/>
        </w:rPr>
        <w:t>一是建立健全规章制度，会计核算符合相关规定。 二是加强对财政各项资金的监督管理，确保资金及时、足额到位，专款专用，资金支付依据和开支标准合法合规。未出现截留和挤占挪作他用现象。三是对财政拨付的专项资金进行自检自查，做好资金的项目和资金使用效益管理工作，充分发挥专项资金的使用效益，专项工作按时高质量完成。</w:t>
      </w:r>
    </w:p>
    <w:p>
      <w:pPr>
        <w:ind w:firstLine="640" w:firstLineChars="200"/>
        <w:rPr>
          <w:rFonts w:eastAsia="仿宋_GB2312"/>
          <w:b/>
          <w:sz w:val="32"/>
          <w:szCs w:val="32"/>
        </w:rPr>
      </w:pPr>
      <w:r>
        <w:rPr>
          <w:rFonts w:eastAsia="黑体"/>
          <w:sz w:val="32"/>
          <w:szCs w:val="32"/>
        </w:rPr>
        <w:t>三、项目实施及管理情况</w:t>
      </w:r>
    </w:p>
    <w:p>
      <w:pPr>
        <w:ind w:firstLine="640" w:firstLineChars="200"/>
        <w:rPr>
          <w:rFonts w:eastAsia="楷体_GB2312"/>
          <w:b/>
          <w:sz w:val="32"/>
          <w:szCs w:val="32"/>
        </w:rPr>
      </w:pPr>
      <w:r>
        <w:rPr>
          <w:rFonts w:eastAsia="楷体_GB2312"/>
          <w:bCs/>
          <w:sz w:val="32"/>
          <w:szCs w:val="32"/>
        </w:rPr>
        <w:t>（一）项目组织架构及实施流程。</w:t>
      </w:r>
    </w:p>
    <w:p>
      <w:pPr>
        <w:adjustRightInd w:val="0"/>
        <w:snapToGrid w:val="0"/>
        <w:spacing w:line="560" w:lineRule="exact"/>
        <w:ind w:firstLine="640" w:firstLineChars="200"/>
        <w:rPr>
          <w:rFonts w:eastAsia="仿宋_GB2312"/>
          <w:sz w:val="32"/>
          <w:szCs w:val="32"/>
        </w:rPr>
      </w:pPr>
      <w:r>
        <w:rPr>
          <w:rFonts w:eastAsia="仿宋_GB2312"/>
          <w:sz w:val="32"/>
          <w:szCs w:val="32"/>
        </w:rPr>
        <w:t>该项目由区民政局牵头，河门口街道作为业主编制政府采购预算，公开采购需求，通过政府集中采购、分散采购等方式确定施工、供货单位，签订合同，对项目实施过程进行监督，对完成的项目进行验收。</w:t>
      </w:r>
    </w:p>
    <w:p>
      <w:pPr>
        <w:ind w:firstLine="470" w:firstLineChars="147"/>
        <w:rPr>
          <w:rFonts w:eastAsia="楷体_GB2312"/>
          <w:bCs/>
          <w:sz w:val="32"/>
          <w:szCs w:val="32"/>
        </w:rPr>
      </w:pPr>
      <w:r>
        <w:rPr>
          <w:rFonts w:eastAsia="楷体_GB2312"/>
          <w:bCs/>
          <w:sz w:val="32"/>
          <w:szCs w:val="32"/>
          <w:lang w:val="zh-CN"/>
        </w:rPr>
        <w:t>（二）</w:t>
      </w:r>
      <w:r>
        <w:rPr>
          <w:rFonts w:eastAsia="楷体_GB2312"/>
          <w:bCs/>
          <w:sz w:val="32"/>
          <w:szCs w:val="32"/>
        </w:rPr>
        <w:t>项目管理情况。</w:t>
      </w:r>
    </w:p>
    <w:p>
      <w:pPr>
        <w:adjustRightInd w:val="0"/>
        <w:snapToGrid w:val="0"/>
        <w:spacing w:line="560" w:lineRule="exact"/>
        <w:ind w:firstLine="640" w:firstLineChars="200"/>
        <w:rPr>
          <w:rFonts w:eastAsia="仿宋_GB2312"/>
          <w:sz w:val="32"/>
          <w:szCs w:val="32"/>
        </w:rPr>
      </w:pPr>
      <w:r>
        <w:rPr>
          <w:rFonts w:eastAsia="仿宋_GB2312"/>
          <w:sz w:val="32"/>
          <w:szCs w:val="32"/>
          <w:lang w:val="zh-CN"/>
        </w:rPr>
        <w:t>街道专项资金的收支，一律纳入财政预算，按照预算要求和程序上报年度预、决算。</w:t>
      </w:r>
      <w:r>
        <w:rPr>
          <w:rFonts w:eastAsia="仿宋_GB2312"/>
          <w:sz w:val="32"/>
          <w:szCs w:val="32"/>
        </w:rPr>
        <w:t>项目实施严格按照《四川省人民政府关于印发进一步规范政府采购监管和执行若干规定的通知》文件要求执行。</w:t>
      </w:r>
    </w:p>
    <w:p>
      <w:pPr>
        <w:ind w:firstLine="470" w:firstLineChars="147"/>
        <w:rPr>
          <w:rFonts w:eastAsia="楷体_GB2312"/>
          <w:bCs/>
          <w:sz w:val="32"/>
          <w:szCs w:val="32"/>
        </w:rPr>
      </w:pPr>
      <w:r>
        <w:rPr>
          <w:rFonts w:eastAsia="楷体_GB2312"/>
          <w:bCs/>
          <w:sz w:val="32"/>
          <w:szCs w:val="32"/>
        </w:rPr>
        <w:t>（三）项目监管情况。</w:t>
      </w:r>
    </w:p>
    <w:p>
      <w:pPr>
        <w:ind w:firstLine="640" w:firstLineChars="200"/>
        <w:rPr>
          <w:rFonts w:eastAsia="仿宋_GB2312"/>
          <w:sz w:val="32"/>
          <w:szCs w:val="32"/>
          <w:lang w:val="zh-CN"/>
        </w:rPr>
      </w:pPr>
      <w:r>
        <w:rPr>
          <w:rFonts w:eastAsia="仿宋_GB2312"/>
          <w:sz w:val="32"/>
          <w:szCs w:val="32"/>
          <w:lang w:val="zh-CN"/>
        </w:rPr>
        <w:t>项目采取项目股室负责制，全体成员积极配合、通力合作。</w:t>
      </w:r>
    </w:p>
    <w:p>
      <w:pPr>
        <w:pStyle w:val="2"/>
        <w:spacing w:before="93"/>
        <w:rPr>
          <w:rFonts w:ascii="Times New Roman"/>
          <w:sz w:val="32"/>
          <w:szCs w:val="32"/>
          <w:lang w:val="zh-CN"/>
        </w:rPr>
      </w:pPr>
      <w:r>
        <w:rPr>
          <w:rFonts w:ascii="Times New Roman"/>
          <w:sz w:val="32"/>
          <w:szCs w:val="32"/>
          <w:lang w:val="zh-CN"/>
        </w:rPr>
        <w:t>并对实施项目进行监督，绩效评价。</w:t>
      </w:r>
    </w:p>
    <w:p>
      <w:pPr>
        <w:pStyle w:val="2"/>
        <w:spacing w:before="93"/>
        <w:ind w:firstLine="800" w:firstLineChars="250"/>
        <w:rPr>
          <w:rFonts w:ascii="Times New Roman"/>
          <w:sz w:val="32"/>
          <w:szCs w:val="32"/>
          <w:lang w:val="zh-CN"/>
        </w:rPr>
      </w:pPr>
      <w:r>
        <w:rPr>
          <w:rFonts w:ascii="Times New Roman" w:eastAsia="黑体"/>
          <w:sz w:val="32"/>
          <w:szCs w:val="32"/>
        </w:rPr>
        <w:t>四、项目绩效情况</w:t>
      </w:r>
      <w:r>
        <w:rPr>
          <w:rFonts w:ascii="Times New Roman"/>
          <w:sz w:val="32"/>
          <w:szCs w:val="32"/>
          <w:lang w:val="zh-CN"/>
        </w:rPr>
        <w:tab/>
      </w:r>
      <w:r>
        <w:rPr>
          <w:rFonts w:ascii="Times New Roman"/>
          <w:sz w:val="32"/>
          <w:szCs w:val="32"/>
          <w:lang w:val="zh-CN"/>
        </w:rPr>
        <w:tab/>
      </w:r>
    </w:p>
    <w:p>
      <w:pPr>
        <w:ind w:firstLine="470" w:firstLineChars="147"/>
        <w:rPr>
          <w:rFonts w:eastAsia="楷体_GB2312"/>
          <w:bCs/>
          <w:sz w:val="32"/>
          <w:szCs w:val="32"/>
        </w:rPr>
      </w:pPr>
      <w:r>
        <w:rPr>
          <w:rFonts w:eastAsia="楷体_GB2312"/>
          <w:bCs/>
          <w:sz w:val="32"/>
          <w:szCs w:val="32"/>
        </w:rPr>
        <w:t>（一）项目完成情况。</w:t>
      </w:r>
    </w:p>
    <w:p>
      <w:pPr>
        <w:ind w:firstLine="640" w:firstLineChars="200"/>
        <w:rPr>
          <w:rFonts w:eastAsia="仿宋_GB2312"/>
          <w:sz w:val="32"/>
          <w:szCs w:val="32"/>
          <w:lang w:val="zh-CN"/>
        </w:rPr>
      </w:pPr>
      <w:r>
        <w:rPr>
          <w:rFonts w:eastAsia="仿宋_GB2312"/>
          <w:sz w:val="32"/>
          <w:szCs w:val="32"/>
          <w:lang w:val="zh-CN"/>
        </w:rPr>
        <w:t>河门口街道社区养老服务综合体主动盘活企业闲置资产502电厂幼儿园，建成社区养老服务综合体，总面积800余平方米，室外面积200余平方米的养老服务机构。建成短期照料中心、老年活动中心、康复器械租赁中心、康复器械体验中心、智慧养老服务中心、长者餐厅等功能区，项目执行均按照合同约定的期限内完成项目验收和资金支付，项目成本与采购中标金额一致，现项目任务已完成，已投入运营。</w:t>
      </w:r>
    </w:p>
    <w:p>
      <w:pPr>
        <w:ind w:firstLine="470" w:firstLineChars="147"/>
        <w:rPr>
          <w:rFonts w:eastAsia="楷体_GB2312"/>
          <w:bCs/>
          <w:sz w:val="32"/>
          <w:szCs w:val="32"/>
        </w:rPr>
      </w:pPr>
      <w:r>
        <w:rPr>
          <w:rFonts w:eastAsia="楷体_GB2312"/>
          <w:bCs/>
          <w:sz w:val="32"/>
          <w:szCs w:val="32"/>
        </w:rPr>
        <w:t>（二）项目效益情况。</w:t>
      </w:r>
    </w:p>
    <w:p>
      <w:pPr>
        <w:spacing w:line="353" w:lineRule="auto"/>
        <w:ind w:firstLine="640" w:firstLineChars="200"/>
        <w:rPr>
          <w:rFonts w:eastAsia="仿宋_GB2312"/>
          <w:sz w:val="32"/>
          <w:szCs w:val="32"/>
        </w:rPr>
      </w:pPr>
      <w:r>
        <w:rPr>
          <w:rFonts w:eastAsia="仿宋_GB2312"/>
          <w:sz w:val="32"/>
          <w:szCs w:val="32"/>
        </w:rPr>
        <w:t>统筹辖区为老服务资源，建立健全以居家为基础、社区为依托、机构为补充、医养相结合的养老服务体系，根据辖区老人需求提供短期、居家等专业照护服务,开展医疗、护理、康复、健康评估等健康服务及医养结合的养老服务,促进服务与需求无缝对接，提升社区养老服务综合管理水平，增强老年人的满意度及幸福感。</w:t>
      </w:r>
    </w:p>
    <w:p>
      <w:pPr>
        <w:ind w:firstLine="640" w:firstLineChars="200"/>
        <w:rPr>
          <w:rFonts w:eastAsia="黑体"/>
          <w:sz w:val="32"/>
          <w:szCs w:val="32"/>
        </w:rPr>
      </w:pPr>
      <w:r>
        <w:rPr>
          <w:rFonts w:eastAsia="黑体"/>
          <w:sz w:val="32"/>
          <w:szCs w:val="32"/>
        </w:rPr>
        <w:t>五、评价结论及建议</w:t>
      </w:r>
    </w:p>
    <w:p>
      <w:pPr>
        <w:ind w:firstLine="470" w:firstLineChars="147"/>
        <w:rPr>
          <w:rFonts w:eastAsia="楷体_GB2312"/>
          <w:bCs/>
          <w:sz w:val="32"/>
          <w:szCs w:val="32"/>
        </w:rPr>
      </w:pPr>
      <w:r>
        <w:rPr>
          <w:rFonts w:eastAsia="楷体_GB2312"/>
          <w:bCs/>
          <w:sz w:val="32"/>
          <w:szCs w:val="32"/>
        </w:rPr>
        <w:t>（一）评价结论。</w:t>
      </w:r>
    </w:p>
    <w:p>
      <w:pPr>
        <w:ind w:firstLine="640" w:firstLineChars="200"/>
        <w:rPr>
          <w:rFonts w:eastAsia="仿宋_GB2312"/>
          <w:kern w:val="0"/>
          <w:sz w:val="32"/>
          <w:szCs w:val="32"/>
        </w:rPr>
      </w:pPr>
      <w:r>
        <w:rPr>
          <w:rFonts w:eastAsia="仿宋_GB2312"/>
          <w:kern w:val="0"/>
          <w:sz w:val="32"/>
          <w:szCs w:val="32"/>
        </w:rPr>
        <w:t>街道严格遵守专项资金管理办法，对申报项目资金进行严管严控，将专项资金有计划有目标的用于能够提高社区养老服务能力和社会管理水平的项目。</w:t>
      </w:r>
      <w:r>
        <w:rPr>
          <w:rFonts w:eastAsia="仿宋_GB2312"/>
          <w:sz w:val="32"/>
          <w:szCs w:val="32"/>
        </w:rPr>
        <w:t>着力破解辖区老年人口多，居民养老服务需求多样化等难题</w:t>
      </w:r>
      <w:r>
        <w:rPr>
          <w:rFonts w:eastAsia="仿宋_GB2312"/>
          <w:kern w:val="0"/>
          <w:sz w:val="32"/>
          <w:szCs w:val="32"/>
        </w:rPr>
        <w:t>，使人民群众满意度提升，社会效果良好。</w:t>
      </w:r>
    </w:p>
    <w:p>
      <w:pPr>
        <w:ind w:firstLine="470" w:firstLineChars="147"/>
        <w:rPr>
          <w:rFonts w:eastAsia="楷体_GB2312"/>
          <w:bCs/>
          <w:sz w:val="32"/>
          <w:szCs w:val="32"/>
        </w:rPr>
      </w:pPr>
      <w:r>
        <w:rPr>
          <w:rFonts w:eastAsia="楷体_GB2312"/>
          <w:bCs/>
          <w:sz w:val="32"/>
          <w:szCs w:val="32"/>
        </w:rPr>
        <w:t>（二）存在的问题。</w:t>
      </w:r>
    </w:p>
    <w:p>
      <w:pPr>
        <w:adjustRightInd w:val="0"/>
        <w:snapToGrid w:val="0"/>
        <w:ind w:firstLine="640" w:firstLineChars="200"/>
        <w:rPr>
          <w:rFonts w:eastAsia="仿宋_GB2312"/>
          <w:sz w:val="32"/>
          <w:szCs w:val="32"/>
          <w:lang w:val="zh-CN"/>
        </w:rPr>
      </w:pPr>
      <w:r>
        <w:rPr>
          <w:rFonts w:eastAsia="仿宋_GB2312"/>
          <w:sz w:val="32"/>
          <w:szCs w:val="32"/>
          <w:lang w:val="zh-CN"/>
        </w:rPr>
        <w:t>无</w:t>
      </w:r>
    </w:p>
    <w:p>
      <w:pPr>
        <w:ind w:firstLine="470" w:firstLineChars="147"/>
        <w:rPr>
          <w:rFonts w:eastAsia="楷体_GB2312"/>
          <w:bCs/>
          <w:sz w:val="32"/>
          <w:szCs w:val="32"/>
        </w:rPr>
      </w:pPr>
      <w:r>
        <w:rPr>
          <w:rFonts w:eastAsia="楷体_GB2312"/>
          <w:bCs/>
          <w:sz w:val="32"/>
          <w:szCs w:val="32"/>
        </w:rPr>
        <w:t>（三）相关建议。</w:t>
      </w:r>
    </w:p>
    <w:p>
      <w:pPr>
        <w:pStyle w:val="2"/>
        <w:spacing w:before="93"/>
        <w:ind w:firstLine="640" w:firstLineChars="200"/>
        <w:rPr>
          <w:rFonts w:ascii="Times New Roman"/>
          <w:sz w:val="32"/>
          <w:szCs w:val="32"/>
          <w:lang w:val="zh-CN"/>
        </w:rPr>
      </w:pPr>
      <w:r>
        <w:rPr>
          <w:rFonts w:ascii="Times New Roman"/>
          <w:sz w:val="32"/>
          <w:szCs w:val="32"/>
          <w:lang w:val="zh-CN"/>
        </w:rPr>
        <w:t>无</w:t>
      </w: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r>
        <w:rPr>
          <w:rFonts w:eastAsia="方正小标宋_GBK"/>
          <w:sz w:val="44"/>
          <w:szCs w:val="44"/>
        </w:rPr>
        <w:t>2022年民政事业补助资金</w:t>
      </w:r>
    </w:p>
    <w:p>
      <w:pPr>
        <w:jc w:val="center"/>
        <w:rPr>
          <w:rFonts w:eastAsia="方正小标宋_GBK"/>
          <w:sz w:val="44"/>
          <w:szCs w:val="44"/>
          <w:lang w:val="zh-CN"/>
        </w:rPr>
      </w:pPr>
      <w:r>
        <w:rPr>
          <w:rFonts w:eastAsia="方正小标宋_GBK"/>
          <w:sz w:val="44"/>
          <w:szCs w:val="44"/>
          <w:lang w:val="zh-CN"/>
        </w:rPr>
        <w:t>绩效自评报告</w:t>
      </w:r>
    </w:p>
    <w:p>
      <w:pPr>
        <w:ind w:firstLine="640" w:firstLineChars="200"/>
        <w:jc w:val="center"/>
        <w:rPr>
          <w:rFonts w:eastAsia="黑体"/>
          <w:sz w:val="32"/>
          <w:szCs w:val="32"/>
          <w:lang w:val="zh-CN"/>
        </w:rPr>
      </w:pPr>
    </w:p>
    <w:p>
      <w:pPr>
        <w:ind w:firstLine="640" w:firstLineChars="200"/>
        <w:rPr>
          <w:rFonts w:eastAsia="黑体"/>
          <w:sz w:val="32"/>
          <w:szCs w:val="32"/>
        </w:rPr>
      </w:pPr>
      <w:r>
        <w:rPr>
          <w:rFonts w:eastAsia="黑体"/>
          <w:sz w:val="32"/>
          <w:szCs w:val="32"/>
        </w:rPr>
        <w:t>一、项目概况</w:t>
      </w:r>
    </w:p>
    <w:p>
      <w:pPr>
        <w:ind w:firstLine="640" w:firstLineChars="200"/>
        <w:rPr>
          <w:rFonts w:eastAsia="楷体_GB2312"/>
          <w:b/>
          <w:sz w:val="32"/>
          <w:szCs w:val="32"/>
        </w:rPr>
      </w:pPr>
      <w:r>
        <w:rPr>
          <w:rFonts w:eastAsia="楷体_GB2312"/>
          <w:bCs/>
          <w:sz w:val="32"/>
          <w:szCs w:val="32"/>
        </w:rPr>
        <w:t>（一）项目基本情况。</w:t>
      </w:r>
    </w:p>
    <w:p>
      <w:pPr>
        <w:spacing w:line="353" w:lineRule="auto"/>
        <w:ind w:firstLine="640" w:firstLineChars="200"/>
        <w:rPr>
          <w:rFonts w:eastAsia="仿宋_GB2312"/>
          <w:sz w:val="32"/>
          <w:szCs w:val="32"/>
        </w:rPr>
      </w:pPr>
      <w:r>
        <w:rPr>
          <w:rFonts w:eastAsia="仿宋_GB2312"/>
          <w:sz w:val="32"/>
          <w:szCs w:val="32"/>
        </w:rPr>
        <w:t>按照省、市、区关于城乡社区治理试点工作的决策部署以及相关文件要求，开展城乡社区试点的各项工作，推动建成河门口街道“三社联动”体制机制创新项目、河门口社区社会组织参与型项目、苏铁社区社会企业带动型项目，构建城乡社区共建共治共享新格局，促进河门口街道社区治理水平整体提升。</w:t>
      </w:r>
    </w:p>
    <w:p>
      <w:pPr>
        <w:ind w:firstLine="470" w:firstLineChars="147"/>
        <w:rPr>
          <w:rFonts w:eastAsia="楷体_GB2312"/>
          <w:bCs/>
          <w:sz w:val="32"/>
          <w:szCs w:val="32"/>
        </w:rPr>
      </w:pPr>
      <w:r>
        <w:rPr>
          <w:rFonts w:eastAsia="楷体_GB2312"/>
          <w:bCs/>
          <w:sz w:val="32"/>
          <w:szCs w:val="32"/>
        </w:rPr>
        <w:t>（二）项目绩效目标。</w:t>
      </w:r>
    </w:p>
    <w:p>
      <w:pPr>
        <w:spacing w:line="560" w:lineRule="exact"/>
        <w:ind w:firstLine="643" w:firstLineChars="200"/>
        <w:rPr>
          <w:rFonts w:eastAsia="仿宋"/>
          <w:sz w:val="32"/>
          <w:szCs w:val="32"/>
        </w:rPr>
      </w:pPr>
      <w:r>
        <w:rPr>
          <w:rFonts w:eastAsia="仿宋"/>
          <w:b/>
          <w:bCs/>
          <w:sz w:val="32"/>
          <w:szCs w:val="32"/>
        </w:rPr>
        <w:t>1.项目主要内容。</w:t>
      </w:r>
    </w:p>
    <w:p>
      <w:pPr>
        <w:spacing w:line="560" w:lineRule="exact"/>
        <w:ind w:firstLine="640" w:firstLineChars="200"/>
        <w:rPr>
          <w:rFonts w:eastAsia="仿宋_GB2312"/>
          <w:bCs/>
          <w:sz w:val="32"/>
          <w:szCs w:val="32"/>
        </w:rPr>
      </w:pPr>
      <w:r>
        <w:rPr>
          <w:rFonts w:eastAsia="仿宋_GB2312"/>
          <w:bCs/>
          <w:sz w:val="32"/>
          <w:szCs w:val="32"/>
        </w:rPr>
        <w:t>项目建成西区社会组织孵化中心、西区社工服务总站、三社联动服务中心、社会组织服务驿站，实施“一路同行”“全岗通”社会工作管理项目、“创业我来帮”“四有准物业”“爱心汇”和“三三联动”公共文化服务等11个子项目。</w:t>
      </w:r>
    </w:p>
    <w:p>
      <w:pPr>
        <w:spacing w:line="560" w:lineRule="exact"/>
        <w:ind w:firstLine="643" w:firstLineChars="200"/>
        <w:rPr>
          <w:rFonts w:eastAsia="仿宋"/>
          <w:b/>
          <w:bCs/>
          <w:sz w:val="32"/>
          <w:szCs w:val="32"/>
        </w:rPr>
      </w:pPr>
      <w:r>
        <w:rPr>
          <w:rFonts w:eastAsia="仿宋"/>
          <w:b/>
          <w:bCs/>
          <w:sz w:val="32"/>
          <w:szCs w:val="32"/>
        </w:rPr>
        <w:t>2.项目绩效目标。</w:t>
      </w:r>
    </w:p>
    <w:p>
      <w:pPr>
        <w:ind w:firstLine="640" w:firstLineChars="200"/>
        <w:rPr>
          <w:rFonts w:eastAsia="仿宋_GB2312"/>
          <w:sz w:val="32"/>
          <w:szCs w:val="32"/>
        </w:rPr>
      </w:pPr>
      <w:r>
        <w:rPr>
          <w:rFonts w:eastAsia="仿宋_GB2312"/>
          <w:sz w:val="32"/>
          <w:szCs w:val="32"/>
        </w:rPr>
        <w:t>（1）河门口街道“三社联动”体制机制创新项目。开发河门口三社联动综合服务云平台，组织实施“五社联动”服务中心及社工赋能项目，建成西区社会组织孵化中心、社会工作服务总站等功能型服务阵地，实施“一路同行”心理疏导项目和全岗通培训项目，实施“三三联动”公共文化服务项目包，推出系列三线精神文创产品，对辖区的三线教育基地进行维护管理。</w:t>
      </w:r>
    </w:p>
    <w:p>
      <w:pPr>
        <w:ind w:firstLine="640" w:firstLineChars="200"/>
        <w:rPr>
          <w:rFonts w:eastAsia="仿宋_GB2312"/>
          <w:sz w:val="32"/>
          <w:szCs w:val="32"/>
        </w:rPr>
      </w:pPr>
      <w:r>
        <w:rPr>
          <w:rFonts w:eastAsia="仿宋_GB2312"/>
          <w:sz w:val="32"/>
          <w:szCs w:val="32"/>
        </w:rPr>
        <w:t>（2）河门口社区社会组织参与型项目。建成社会组织服务驿站，为居民提供社会工作专业服务10余项。发包“微爱处处在”社会组织参与基层治理服务。实施“创业我来帮”项目，开展了4场线上线下的创业宣传和1场创业技能培训。</w:t>
      </w:r>
    </w:p>
    <w:p>
      <w:pPr>
        <w:ind w:firstLine="640" w:firstLineChars="200"/>
        <w:rPr>
          <w:rFonts w:eastAsia="仿宋_GB2312"/>
          <w:sz w:val="32"/>
          <w:szCs w:val="32"/>
        </w:rPr>
      </w:pPr>
      <w:r>
        <w:rPr>
          <w:rFonts w:eastAsia="仿宋_GB2312"/>
          <w:sz w:val="32"/>
          <w:szCs w:val="32"/>
        </w:rPr>
        <w:t>（3）苏铁社区社会企业带动型项目。实施“1+N就业联盟会”带动就业项目，建立以嘉惠公司为中心的辖区企业名录库，开设就业技能培训，推荐安置特困失业人员。开展“四有准物业”带动解决老旧小区物业管理难项目，完成管家服务中心（锦苑之家）基础设施建设及消防栓等设施维修、解决5个小区管理难点问题。实施“爱心·汇”困难群体帮扶项目，打造“爱心小屋”、“阳光小梦想”“残疾人康复室”等功能室，爱心超市新增义卖区物品和免费借用工具，设置志愿服务时长兑换“爱心币”激励机制。</w:t>
      </w:r>
    </w:p>
    <w:p>
      <w:pPr>
        <w:ind w:firstLine="643" w:firstLineChars="200"/>
        <w:rPr>
          <w:rFonts w:eastAsia="仿宋_GB2312"/>
          <w:sz w:val="32"/>
          <w:szCs w:val="32"/>
        </w:rPr>
      </w:pPr>
      <w:r>
        <w:rPr>
          <w:rFonts w:eastAsia="仿宋_GB2312"/>
          <w:b/>
          <w:bCs/>
          <w:sz w:val="32"/>
          <w:szCs w:val="32"/>
        </w:rPr>
        <w:t>3.项目资金申报相符性。</w:t>
      </w:r>
    </w:p>
    <w:p>
      <w:pPr>
        <w:ind w:firstLine="640" w:firstLineChars="200"/>
        <w:rPr>
          <w:rFonts w:eastAsia="仿宋_GB2312"/>
          <w:sz w:val="32"/>
          <w:szCs w:val="32"/>
        </w:rPr>
      </w:pPr>
      <w:r>
        <w:rPr>
          <w:rFonts w:eastAsia="仿宋_GB2312"/>
          <w:sz w:val="32"/>
          <w:szCs w:val="32"/>
        </w:rPr>
        <w:t>项目申报内容与具体实施内容相符，申报目标合理可行。</w:t>
      </w:r>
    </w:p>
    <w:p>
      <w:pPr>
        <w:ind w:firstLine="470" w:firstLineChars="147"/>
        <w:rPr>
          <w:rFonts w:eastAsia="楷体_GB2312"/>
          <w:bCs/>
          <w:sz w:val="32"/>
          <w:szCs w:val="32"/>
        </w:rPr>
      </w:pPr>
      <w:r>
        <w:rPr>
          <w:rFonts w:eastAsia="楷体_GB2312"/>
          <w:bCs/>
          <w:sz w:val="32"/>
          <w:szCs w:val="32"/>
        </w:rPr>
        <w:t>（三）项目自评步骤及方法。</w:t>
      </w:r>
    </w:p>
    <w:p>
      <w:pPr>
        <w:pStyle w:val="2"/>
        <w:spacing w:before="93"/>
        <w:ind w:firstLine="640" w:firstLineChars="200"/>
        <w:rPr>
          <w:rFonts w:ascii="Times New Roman"/>
          <w:sz w:val="32"/>
          <w:szCs w:val="32"/>
        </w:rPr>
      </w:pPr>
      <w:r>
        <w:rPr>
          <w:rFonts w:ascii="Times New Roman"/>
          <w:sz w:val="32"/>
          <w:szCs w:val="32"/>
        </w:rPr>
        <w:t>根据项目的服务质量、效率、满意度等因素来制定评价标准.通过服务对象反馈情况等方式收集数据。对收集到的数据进行分析，以了解项目的实际表现是否符合预期。根据分析结果，编写评价报告。报告将详细描述项目的优点和不足，以及改进的建议。</w:t>
      </w:r>
    </w:p>
    <w:p>
      <w:pPr>
        <w:ind w:firstLine="640" w:firstLineChars="200"/>
        <w:rPr>
          <w:rFonts w:eastAsia="黑体"/>
          <w:sz w:val="32"/>
          <w:szCs w:val="32"/>
        </w:rPr>
      </w:pPr>
      <w:r>
        <w:rPr>
          <w:rFonts w:eastAsia="黑体"/>
          <w:sz w:val="32"/>
          <w:szCs w:val="32"/>
        </w:rPr>
        <w:t>二、项目资金申报及使用情况</w:t>
      </w:r>
    </w:p>
    <w:p>
      <w:pPr>
        <w:ind w:firstLine="470" w:firstLineChars="147"/>
        <w:rPr>
          <w:rFonts w:eastAsia="楷体_GB2312"/>
          <w:bCs/>
          <w:sz w:val="32"/>
          <w:szCs w:val="32"/>
        </w:rPr>
      </w:pPr>
      <w:r>
        <w:rPr>
          <w:rFonts w:eastAsia="楷体_GB2312"/>
          <w:bCs/>
          <w:sz w:val="32"/>
          <w:szCs w:val="32"/>
        </w:rPr>
        <w:t>（一）项目资金申报及批复情况。</w:t>
      </w:r>
    </w:p>
    <w:p>
      <w:pPr>
        <w:spacing w:line="353" w:lineRule="auto"/>
        <w:ind w:firstLine="640" w:firstLineChars="200"/>
        <w:rPr>
          <w:rFonts w:eastAsia="仿宋_GB2312"/>
          <w:sz w:val="32"/>
          <w:szCs w:val="32"/>
        </w:rPr>
      </w:pPr>
      <w:r>
        <w:rPr>
          <w:rFonts w:eastAsia="仿宋_GB2312"/>
          <w:sz w:val="32"/>
          <w:szCs w:val="32"/>
        </w:rPr>
        <w:t>2021年省级城乡社区治理试点项目总资金220万元，其中河门口街道“三社联动”体制机制创新项目总投资120万元，河门口社区社会组织参与型项目、苏铁社区社会企业带动型项目各50万元。根据《攀枝花市西区人民政府办公室关于印发&lt;攀枝花市西区2021年城乡社区治理试点示范工作实施方案&gt;的通知》（攀西府办发〔2021〕28号）实施，项目实施过程严格按照相关程序开展，全程符合资金管理办法等相关规定。</w:t>
      </w:r>
      <w:r>
        <w:rPr>
          <w:rFonts w:eastAsia="仿宋_GB2312"/>
          <w:sz w:val="32"/>
          <w:szCs w:val="32"/>
          <w:lang w:val="zh-CN"/>
        </w:rPr>
        <w:t>经批复（上年结转预〔2022〕10-1号）财政下达经费。</w:t>
      </w:r>
    </w:p>
    <w:p>
      <w:pPr>
        <w:ind w:firstLine="470" w:firstLineChars="147"/>
        <w:rPr>
          <w:rFonts w:eastAsia="楷体_GB2312"/>
          <w:bCs/>
          <w:sz w:val="32"/>
          <w:szCs w:val="32"/>
          <w:lang w:val="zh-CN"/>
        </w:rPr>
      </w:pPr>
      <w:r>
        <w:rPr>
          <w:rFonts w:eastAsia="楷体_GB2312"/>
          <w:bCs/>
          <w:sz w:val="32"/>
          <w:szCs w:val="32"/>
        </w:rPr>
        <w:t>（二）资金计划、到位及使用情况。</w:t>
      </w:r>
    </w:p>
    <w:p>
      <w:pPr>
        <w:adjustRightInd w:val="0"/>
        <w:snapToGrid w:val="0"/>
        <w:spacing w:line="60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rPr>
        <w:t>1.</w:t>
      </w:r>
      <w:r>
        <w:rPr>
          <w:rFonts w:eastAsia="仿宋_GB2312"/>
          <w:kern w:val="0"/>
          <w:sz w:val="32"/>
          <w:szCs w:val="32"/>
          <w:shd w:val="clear" w:color="auto" w:fill="FFFFFF"/>
          <w:lang w:val="zh-CN"/>
        </w:rPr>
        <w:t>资金计划。</w:t>
      </w:r>
      <w:r>
        <w:rPr>
          <w:rFonts w:eastAsia="仿宋_GB2312"/>
          <w:sz w:val="32"/>
          <w:szCs w:val="32"/>
          <w:lang w:val="zh-CN"/>
        </w:rPr>
        <w:t>2022年财政预算220万元。</w:t>
      </w:r>
    </w:p>
    <w:p>
      <w:pPr>
        <w:adjustRightInd w:val="0"/>
        <w:snapToGrid w:val="0"/>
        <w:spacing w:line="600" w:lineRule="exact"/>
        <w:ind w:firstLine="720"/>
        <w:rPr>
          <w:rFonts w:eastAsia="仿宋_GB2312"/>
          <w:b/>
          <w:sz w:val="32"/>
          <w:szCs w:val="32"/>
        </w:rPr>
      </w:pPr>
      <w:r>
        <w:rPr>
          <w:rFonts w:eastAsia="仿宋_GB2312"/>
          <w:kern w:val="0"/>
          <w:sz w:val="32"/>
          <w:szCs w:val="32"/>
          <w:shd w:val="clear" w:color="auto" w:fill="FFFFFF"/>
        </w:rPr>
        <w:t>2.</w:t>
      </w:r>
      <w:r>
        <w:rPr>
          <w:rFonts w:eastAsia="仿宋_GB2312"/>
          <w:kern w:val="0"/>
          <w:sz w:val="32"/>
          <w:szCs w:val="32"/>
          <w:shd w:val="clear" w:color="auto" w:fill="FFFFFF"/>
          <w:lang w:val="zh-CN"/>
        </w:rPr>
        <w:t>资金到位。</w:t>
      </w:r>
      <w:r>
        <w:rPr>
          <w:rFonts w:eastAsia="仿宋_GB2312"/>
          <w:sz w:val="32"/>
          <w:szCs w:val="32"/>
          <w:lang w:val="zh-CN"/>
        </w:rPr>
        <w:t>2022年实际支付189.21万元，支付未完成原因是：该项目截止2022年底，部门项目已实施完成，报账资料未完善。</w:t>
      </w:r>
    </w:p>
    <w:p>
      <w:pPr>
        <w:spacing w:line="560" w:lineRule="exact"/>
        <w:ind w:firstLine="640" w:firstLineChars="200"/>
        <w:rPr>
          <w:rFonts w:eastAsia="仿宋_GB2312"/>
          <w:bCs/>
          <w:sz w:val="32"/>
          <w:szCs w:val="32"/>
        </w:rPr>
      </w:pPr>
      <w:r>
        <w:rPr>
          <w:rFonts w:eastAsia="仿宋_GB2312"/>
          <w:kern w:val="0"/>
          <w:sz w:val="32"/>
          <w:szCs w:val="32"/>
          <w:shd w:val="clear" w:color="auto" w:fill="FFFFFF"/>
        </w:rPr>
        <w:t>3.</w:t>
      </w:r>
      <w:r>
        <w:rPr>
          <w:rFonts w:eastAsia="仿宋_GB2312"/>
          <w:kern w:val="0"/>
          <w:sz w:val="32"/>
          <w:szCs w:val="32"/>
          <w:shd w:val="clear" w:color="auto" w:fill="FFFFFF"/>
          <w:lang w:val="zh-CN"/>
        </w:rPr>
        <w:t>资金使用。</w:t>
      </w:r>
      <w:r>
        <w:rPr>
          <w:rFonts w:eastAsia="仿宋_GB2312"/>
          <w:sz w:val="32"/>
          <w:szCs w:val="32"/>
          <w:lang w:val="zh-CN"/>
        </w:rPr>
        <w:t>实际支出189.21万元，资金主要用于支付</w:t>
      </w:r>
      <w:r>
        <w:rPr>
          <w:rFonts w:eastAsia="仿宋_GB2312"/>
          <w:bCs/>
          <w:sz w:val="32"/>
          <w:szCs w:val="32"/>
        </w:rPr>
        <w:t>社会组织孵化中心、西区社工服务总站、三社联动服务中心、社会组织服务驿站，实施“一路同行”“全岗通”社会工作管理项目、“创业我来帮”“四有准物业”“爱心汇”和“三三联动”公共文化服务等11个子项目</w:t>
      </w:r>
      <w:r>
        <w:rPr>
          <w:rFonts w:eastAsia="仿宋_GB2312"/>
          <w:sz w:val="32"/>
          <w:szCs w:val="32"/>
          <w:lang w:val="zh-CN"/>
        </w:rPr>
        <w:t>实施设备的维修维护、设备采购、购买劳务等</w:t>
      </w:r>
      <w:r>
        <w:rPr>
          <w:rFonts w:eastAsia="仿宋_GB2312"/>
          <w:kern w:val="0"/>
          <w:sz w:val="32"/>
          <w:szCs w:val="32"/>
          <w:shd w:val="clear" w:color="auto" w:fill="FFFFFF"/>
        </w:rPr>
        <w:t>。</w:t>
      </w:r>
    </w:p>
    <w:p>
      <w:pPr>
        <w:ind w:firstLine="470" w:firstLineChars="147"/>
        <w:rPr>
          <w:rFonts w:eastAsia="楷体_GB2312"/>
          <w:bCs/>
          <w:sz w:val="32"/>
          <w:szCs w:val="32"/>
        </w:rPr>
      </w:pPr>
      <w:r>
        <w:rPr>
          <w:rFonts w:eastAsia="楷体_GB2312"/>
          <w:bCs/>
          <w:sz w:val="32"/>
          <w:szCs w:val="32"/>
        </w:rPr>
        <w:t>（三）项目财务管理情况。</w:t>
      </w:r>
    </w:p>
    <w:p>
      <w:pPr>
        <w:ind w:firstLine="640" w:firstLineChars="200"/>
        <w:rPr>
          <w:rFonts w:eastAsia="仿宋_GB2312"/>
          <w:b/>
          <w:sz w:val="32"/>
          <w:szCs w:val="32"/>
        </w:rPr>
      </w:pPr>
      <w:r>
        <w:rPr>
          <w:rFonts w:eastAsia="仿宋_GB2312"/>
          <w:sz w:val="32"/>
          <w:szCs w:val="32"/>
        </w:rPr>
        <w:t>一是建立健全规章制度，会计核算符合相关规定。 二是加强对财政各项资金的监督管理，确保资金及时、足额到位，专款专用，资金支付依据和开支标准合法合规。未出现截留和挤占挪作他用现象。三是对财政拨付的专项资金进行自检自查，做好资金的项目和资金使用效益管理工作，充分发挥专项资金的使用效益，专项工作按时高质量完成。</w:t>
      </w:r>
    </w:p>
    <w:p>
      <w:pPr>
        <w:ind w:firstLine="640" w:firstLineChars="200"/>
        <w:rPr>
          <w:rFonts w:eastAsia="仿宋_GB2312"/>
          <w:b/>
          <w:sz w:val="32"/>
          <w:szCs w:val="32"/>
        </w:rPr>
      </w:pPr>
      <w:r>
        <w:rPr>
          <w:rFonts w:eastAsia="黑体"/>
          <w:sz w:val="32"/>
          <w:szCs w:val="32"/>
        </w:rPr>
        <w:t>三、项目实施及管理情况</w:t>
      </w:r>
    </w:p>
    <w:p>
      <w:pPr>
        <w:ind w:firstLine="470" w:firstLineChars="147"/>
        <w:rPr>
          <w:rFonts w:eastAsia="楷体_GB2312"/>
          <w:bCs/>
          <w:sz w:val="32"/>
          <w:szCs w:val="32"/>
        </w:rPr>
      </w:pPr>
      <w:r>
        <w:rPr>
          <w:rFonts w:eastAsia="楷体_GB2312"/>
          <w:bCs/>
          <w:sz w:val="32"/>
          <w:szCs w:val="32"/>
        </w:rPr>
        <w:t>（一）项目组织架构及实施流程。</w:t>
      </w:r>
    </w:p>
    <w:p>
      <w:pPr>
        <w:adjustRightInd w:val="0"/>
        <w:snapToGrid w:val="0"/>
        <w:spacing w:line="560" w:lineRule="exact"/>
        <w:ind w:firstLine="640" w:firstLineChars="200"/>
        <w:rPr>
          <w:rFonts w:eastAsia="仿宋_GB2312"/>
          <w:sz w:val="32"/>
          <w:szCs w:val="32"/>
        </w:rPr>
      </w:pPr>
      <w:r>
        <w:rPr>
          <w:rFonts w:eastAsia="仿宋_GB2312"/>
          <w:sz w:val="32"/>
          <w:szCs w:val="32"/>
        </w:rPr>
        <w:t>该项目由区民政局牵头，河门口街道作为业主编制政府采购预算，公开采购需求，通过政府集中采购、分散采购等方式确定施工、供货单位，签订合同，对项目实施过程进行监督，对完成的项目进行验收。</w:t>
      </w:r>
    </w:p>
    <w:p>
      <w:pPr>
        <w:ind w:firstLine="470" w:firstLineChars="147"/>
        <w:rPr>
          <w:rFonts w:eastAsia="楷体_GB2312"/>
          <w:bCs/>
          <w:sz w:val="32"/>
          <w:szCs w:val="32"/>
        </w:rPr>
      </w:pPr>
      <w:r>
        <w:rPr>
          <w:rFonts w:eastAsia="楷体_GB2312"/>
          <w:bCs/>
          <w:sz w:val="32"/>
          <w:szCs w:val="32"/>
          <w:lang w:val="zh-CN"/>
        </w:rPr>
        <w:t>（二）</w:t>
      </w:r>
      <w:r>
        <w:rPr>
          <w:rFonts w:eastAsia="楷体_GB2312"/>
          <w:bCs/>
          <w:sz w:val="32"/>
          <w:szCs w:val="32"/>
        </w:rPr>
        <w:t>项目管理情况。</w:t>
      </w:r>
    </w:p>
    <w:p>
      <w:pPr>
        <w:adjustRightInd w:val="0"/>
        <w:snapToGrid w:val="0"/>
        <w:spacing w:line="560" w:lineRule="exact"/>
        <w:ind w:firstLine="640" w:firstLineChars="200"/>
        <w:rPr>
          <w:rFonts w:eastAsia="仿宋_GB2312"/>
          <w:sz w:val="32"/>
          <w:szCs w:val="32"/>
        </w:rPr>
      </w:pPr>
      <w:r>
        <w:rPr>
          <w:rFonts w:eastAsia="仿宋_GB2312"/>
          <w:sz w:val="32"/>
          <w:szCs w:val="32"/>
          <w:lang w:val="zh-CN"/>
        </w:rPr>
        <w:t>街道专项资金的收支，一律纳入财政预算，按照预算要求和程序上报年度预、决算。</w:t>
      </w:r>
      <w:r>
        <w:rPr>
          <w:rFonts w:eastAsia="仿宋_GB2312"/>
          <w:sz w:val="32"/>
          <w:szCs w:val="32"/>
        </w:rPr>
        <w:t>项目实施严格按照《四川省人民政府关于印发进一步规范政府采购监管和执行若干规定的通知》文件要求执行。</w:t>
      </w:r>
    </w:p>
    <w:p>
      <w:pPr>
        <w:ind w:firstLine="470" w:firstLineChars="147"/>
        <w:rPr>
          <w:rFonts w:eastAsia="楷体_GB2312"/>
          <w:bCs/>
          <w:sz w:val="32"/>
          <w:szCs w:val="32"/>
        </w:rPr>
      </w:pPr>
      <w:r>
        <w:rPr>
          <w:rFonts w:eastAsia="楷体_GB2312"/>
          <w:bCs/>
          <w:sz w:val="32"/>
          <w:szCs w:val="32"/>
        </w:rPr>
        <w:t>（三）项目监管情况。</w:t>
      </w:r>
    </w:p>
    <w:p>
      <w:pPr>
        <w:ind w:firstLine="640" w:firstLineChars="200"/>
        <w:rPr>
          <w:rFonts w:eastAsia="仿宋_GB2312"/>
          <w:sz w:val="32"/>
          <w:szCs w:val="32"/>
          <w:lang w:val="zh-CN"/>
        </w:rPr>
      </w:pPr>
      <w:r>
        <w:rPr>
          <w:rFonts w:eastAsia="仿宋_GB2312"/>
          <w:sz w:val="32"/>
          <w:szCs w:val="32"/>
          <w:lang w:val="zh-CN"/>
        </w:rPr>
        <w:t>项目采取项目股室负责制，全体成员积极配合、通力合作。并对实施项目进行监督，绩效评价。</w:t>
      </w:r>
    </w:p>
    <w:p>
      <w:pPr>
        <w:ind w:firstLine="640" w:firstLineChars="200"/>
        <w:rPr>
          <w:rFonts w:eastAsia="黑体"/>
          <w:sz w:val="32"/>
          <w:szCs w:val="32"/>
        </w:rPr>
      </w:pPr>
      <w:r>
        <w:rPr>
          <w:rFonts w:eastAsia="黑体"/>
          <w:sz w:val="32"/>
          <w:szCs w:val="32"/>
        </w:rPr>
        <w:t>四、项目绩效情况</w:t>
      </w:r>
      <w:r>
        <w:rPr>
          <w:rFonts w:eastAsia="黑体"/>
          <w:sz w:val="32"/>
          <w:szCs w:val="32"/>
        </w:rPr>
        <w:tab/>
      </w:r>
      <w:r>
        <w:rPr>
          <w:rFonts w:eastAsia="黑体"/>
          <w:sz w:val="32"/>
          <w:szCs w:val="32"/>
        </w:rPr>
        <w:tab/>
      </w:r>
    </w:p>
    <w:p>
      <w:pPr>
        <w:ind w:firstLine="470" w:firstLineChars="147"/>
        <w:rPr>
          <w:rFonts w:eastAsia="楷体_GB2312"/>
          <w:bCs/>
          <w:sz w:val="32"/>
          <w:szCs w:val="32"/>
        </w:rPr>
      </w:pPr>
      <w:r>
        <w:rPr>
          <w:rFonts w:eastAsia="楷体_GB2312"/>
          <w:bCs/>
          <w:sz w:val="32"/>
          <w:szCs w:val="32"/>
        </w:rPr>
        <w:t>（一）项目完成情况。</w:t>
      </w:r>
    </w:p>
    <w:p>
      <w:pPr>
        <w:ind w:firstLine="640" w:firstLineChars="200"/>
        <w:rPr>
          <w:rFonts w:eastAsia="仿宋_GB2312"/>
          <w:sz w:val="32"/>
          <w:szCs w:val="32"/>
          <w:lang w:val="zh-CN"/>
        </w:rPr>
      </w:pPr>
      <w:r>
        <w:rPr>
          <w:rFonts w:eastAsia="仿宋_GB2312"/>
          <w:sz w:val="32"/>
          <w:szCs w:val="32"/>
          <w:lang w:val="zh-CN"/>
        </w:rPr>
        <w:t>四川省城乡社区治理试点项目选址502电厂幼儿园1、2楼，建筑面积约800平方米。一是开发河门口三社联动综合服务云平台，二是实施“五社联动”服务中心及社工赋能项目，下设社会组织孵化中心、建立党群代表议事工作站、社会工作服务站、社会组织工作站等功能型服务阵地，实施“一路同行”心理疏导项目和全岗通培训项目，三是“三三联动”公共文化服务项目包，以辖区三线文化为依托，推出系列三线精神文创产品，项目执行均按照合同约定的期限内完成项目验收和资金支付，项目成本与采购中标金额一致，现项目任务已完成，并投入运营。</w:t>
      </w:r>
    </w:p>
    <w:p>
      <w:pPr>
        <w:ind w:firstLine="640" w:firstLineChars="200"/>
        <w:rPr>
          <w:rFonts w:eastAsia="楷体_GB2312"/>
          <w:sz w:val="32"/>
          <w:szCs w:val="32"/>
        </w:rPr>
      </w:pPr>
      <w:r>
        <w:rPr>
          <w:rFonts w:eastAsia="楷体_GB2312"/>
          <w:bCs/>
          <w:sz w:val="32"/>
          <w:szCs w:val="32"/>
        </w:rPr>
        <w:t>（二）项目效益情况。</w:t>
      </w:r>
    </w:p>
    <w:p>
      <w:pPr>
        <w:spacing w:line="353" w:lineRule="auto"/>
        <w:ind w:firstLine="640" w:firstLineChars="200"/>
        <w:rPr>
          <w:rFonts w:eastAsia="仿宋_GB2312"/>
          <w:sz w:val="32"/>
          <w:szCs w:val="32"/>
        </w:rPr>
      </w:pPr>
      <w:r>
        <w:rPr>
          <w:rFonts w:eastAsia="仿宋_GB2312"/>
          <w:sz w:val="32"/>
          <w:szCs w:val="32"/>
        </w:rPr>
        <w:t>该项目建成后，提升了社区治理效能，激发社区治理活力。汇聚社区、社会组织、社工、社区志愿者、社会企业力量，构建上下贯通、执行有力的“五社联动”组织体系。</w:t>
      </w:r>
    </w:p>
    <w:p>
      <w:pPr>
        <w:spacing w:line="353" w:lineRule="auto"/>
        <w:ind w:firstLine="640" w:firstLineChars="200"/>
        <w:rPr>
          <w:rFonts w:eastAsia="仿宋_GB2312"/>
          <w:sz w:val="32"/>
          <w:szCs w:val="32"/>
        </w:rPr>
      </w:pPr>
      <w:r>
        <w:rPr>
          <w:rFonts w:eastAsia="黑体"/>
          <w:sz w:val="32"/>
          <w:szCs w:val="32"/>
        </w:rPr>
        <w:t>五、评价结论及建议</w:t>
      </w:r>
    </w:p>
    <w:p>
      <w:pPr>
        <w:ind w:firstLine="470" w:firstLineChars="147"/>
        <w:rPr>
          <w:rFonts w:eastAsia="楷体_GB2312"/>
          <w:bCs/>
          <w:sz w:val="32"/>
          <w:szCs w:val="32"/>
        </w:rPr>
      </w:pPr>
      <w:r>
        <w:rPr>
          <w:rFonts w:eastAsia="楷体_GB2312"/>
          <w:bCs/>
          <w:sz w:val="32"/>
          <w:szCs w:val="32"/>
        </w:rPr>
        <w:t>（一）评价结论。</w:t>
      </w:r>
    </w:p>
    <w:p>
      <w:pPr>
        <w:ind w:firstLine="640" w:firstLineChars="200"/>
        <w:rPr>
          <w:rFonts w:eastAsia="仿宋_GB2312"/>
          <w:kern w:val="0"/>
          <w:sz w:val="32"/>
          <w:szCs w:val="32"/>
        </w:rPr>
      </w:pPr>
      <w:r>
        <w:rPr>
          <w:rFonts w:eastAsia="仿宋_GB2312"/>
          <w:kern w:val="0"/>
          <w:sz w:val="32"/>
          <w:szCs w:val="32"/>
        </w:rPr>
        <w:t>我街道严格遵守专项资金管理办法，对申报项目资金进行严管严控，将专项资金有计划有目标的用于能够提高社区养老服务能力和社会管理水平的项目。</w:t>
      </w:r>
      <w:r>
        <w:rPr>
          <w:rFonts w:eastAsia="仿宋_GB2312"/>
          <w:sz w:val="32"/>
          <w:szCs w:val="32"/>
        </w:rPr>
        <w:t>着力破解辖区老年人口多，居民养老服务需求多样化等难题</w:t>
      </w:r>
      <w:r>
        <w:rPr>
          <w:rFonts w:eastAsia="仿宋_GB2312"/>
          <w:kern w:val="0"/>
          <w:sz w:val="32"/>
          <w:szCs w:val="32"/>
        </w:rPr>
        <w:t>，使人民群众满意度提升，社会效果良好。</w:t>
      </w:r>
    </w:p>
    <w:p>
      <w:pPr>
        <w:ind w:firstLine="470" w:firstLineChars="147"/>
        <w:rPr>
          <w:rFonts w:eastAsia="楷体_GB2312"/>
          <w:bCs/>
          <w:sz w:val="32"/>
          <w:szCs w:val="32"/>
        </w:rPr>
      </w:pPr>
      <w:r>
        <w:rPr>
          <w:rFonts w:eastAsia="楷体_GB2312"/>
          <w:bCs/>
          <w:sz w:val="32"/>
          <w:szCs w:val="32"/>
        </w:rPr>
        <w:t>（二）存在的问题。</w:t>
      </w:r>
    </w:p>
    <w:p>
      <w:pPr>
        <w:adjustRightInd w:val="0"/>
        <w:snapToGrid w:val="0"/>
        <w:ind w:firstLine="640" w:firstLineChars="200"/>
        <w:rPr>
          <w:rFonts w:eastAsia="仿宋_GB2312"/>
          <w:sz w:val="32"/>
          <w:szCs w:val="32"/>
          <w:lang w:val="zh-CN"/>
        </w:rPr>
      </w:pPr>
      <w:r>
        <w:rPr>
          <w:rFonts w:eastAsia="仿宋_GB2312"/>
          <w:sz w:val="32"/>
          <w:szCs w:val="32"/>
          <w:lang w:val="zh-CN"/>
        </w:rPr>
        <w:t>无</w:t>
      </w:r>
    </w:p>
    <w:p>
      <w:pPr>
        <w:ind w:firstLine="470" w:firstLineChars="147"/>
        <w:rPr>
          <w:rFonts w:eastAsia="楷体_GB2312"/>
          <w:bCs/>
          <w:sz w:val="32"/>
          <w:szCs w:val="32"/>
        </w:rPr>
      </w:pPr>
      <w:r>
        <w:rPr>
          <w:rFonts w:eastAsia="楷体_GB2312"/>
          <w:bCs/>
          <w:sz w:val="32"/>
          <w:szCs w:val="32"/>
        </w:rPr>
        <w:t>（三）相关建议。</w:t>
      </w:r>
    </w:p>
    <w:p>
      <w:pPr>
        <w:pStyle w:val="2"/>
        <w:spacing w:before="93"/>
        <w:ind w:firstLine="640" w:firstLineChars="200"/>
        <w:rPr>
          <w:rFonts w:ascii="Times New Roman"/>
          <w:lang w:val="zh-CN"/>
        </w:rPr>
      </w:pPr>
      <w:r>
        <w:rPr>
          <w:rFonts w:ascii="Times New Roman"/>
          <w:sz w:val="32"/>
          <w:szCs w:val="32"/>
          <w:lang w:val="zh-CN"/>
        </w:rPr>
        <w:t>无</w:t>
      </w:r>
    </w:p>
    <w:p>
      <w:pPr>
        <w:pStyle w:val="2"/>
        <w:spacing w:before="93"/>
        <w:ind w:firstLine="600" w:firstLineChars="200"/>
        <w:rPr>
          <w:rFonts w:ascii="Times New Roman"/>
          <w:lang w:val="zh-CN"/>
        </w:rPr>
      </w:pPr>
    </w:p>
    <w:bookmarkEnd w:id="56"/>
    <w:p>
      <w:pPr>
        <w:jc w:val="center"/>
        <w:rPr>
          <w:rFonts w:eastAsia="方正小标宋_GBK"/>
          <w:sz w:val="44"/>
          <w:szCs w:val="44"/>
        </w:rPr>
      </w:pPr>
      <w:bookmarkStart w:id="58" w:name="_Toc15396618"/>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jc w:val="center"/>
        <w:rPr>
          <w:rFonts w:eastAsia="方正小标宋_GBK"/>
          <w:sz w:val="44"/>
          <w:szCs w:val="44"/>
        </w:rPr>
      </w:pPr>
    </w:p>
    <w:p>
      <w:pPr>
        <w:pStyle w:val="2"/>
        <w:spacing w:before="93"/>
        <w:rPr>
          <w:rFonts w:ascii="Times New Roman" w:eastAsia="方正小标宋_GBK"/>
          <w:sz w:val="44"/>
          <w:szCs w:val="44"/>
        </w:rPr>
      </w:pPr>
    </w:p>
    <w:p>
      <w:pPr>
        <w:pStyle w:val="2"/>
        <w:spacing w:before="93"/>
        <w:rPr>
          <w:rFonts w:ascii="Times New Roman" w:eastAsia="方正小标宋_GBK"/>
          <w:sz w:val="44"/>
          <w:szCs w:val="44"/>
        </w:rPr>
      </w:pPr>
    </w:p>
    <w:p>
      <w:pPr>
        <w:jc w:val="center"/>
        <w:rPr>
          <w:rFonts w:eastAsia="方正小标宋_GBK"/>
          <w:sz w:val="44"/>
          <w:szCs w:val="44"/>
        </w:rPr>
      </w:pPr>
      <w:r>
        <w:rPr>
          <w:rFonts w:eastAsia="方正小标宋_GBK"/>
          <w:sz w:val="44"/>
          <w:szCs w:val="44"/>
        </w:rPr>
        <w:t>2022年创建全国文明城市专项补助资金</w:t>
      </w:r>
    </w:p>
    <w:p>
      <w:pPr>
        <w:jc w:val="center"/>
        <w:rPr>
          <w:rFonts w:eastAsia="方正小标宋_GBK"/>
          <w:sz w:val="44"/>
          <w:szCs w:val="44"/>
          <w:lang w:val="zh-CN"/>
        </w:rPr>
      </w:pPr>
      <w:r>
        <w:rPr>
          <w:rFonts w:eastAsia="方正小标宋_GBK"/>
          <w:sz w:val="44"/>
          <w:szCs w:val="44"/>
          <w:lang w:val="zh-CN"/>
        </w:rPr>
        <w:t>绩效自评报告</w:t>
      </w:r>
    </w:p>
    <w:p>
      <w:pPr>
        <w:ind w:firstLine="640" w:firstLineChars="200"/>
        <w:jc w:val="center"/>
        <w:rPr>
          <w:sz w:val="32"/>
          <w:szCs w:val="32"/>
          <w:lang w:val="zh-CN"/>
        </w:rPr>
      </w:pPr>
    </w:p>
    <w:p>
      <w:pPr>
        <w:ind w:firstLine="640" w:firstLineChars="200"/>
        <w:rPr>
          <w:rFonts w:eastAsia="楷体_GB2312"/>
          <w:b/>
          <w:sz w:val="32"/>
          <w:szCs w:val="32"/>
        </w:rPr>
      </w:pPr>
      <w:r>
        <w:rPr>
          <w:rFonts w:eastAsia="黑体"/>
          <w:sz w:val="32"/>
          <w:szCs w:val="32"/>
        </w:rPr>
        <w:t>一、项目概况</w:t>
      </w:r>
    </w:p>
    <w:p>
      <w:pPr>
        <w:ind w:firstLine="640" w:firstLineChars="200"/>
        <w:rPr>
          <w:rFonts w:eastAsia="楷体_GB2312"/>
          <w:b/>
          <w:sz w:val="32"/>
          <w:szCs w:val="32"/>
        </w:rPr>
      </w:pPr>
      <w:r>
        <w:rPr>
          <w:rFonts w:eastAsia="楷体_GB2312"/>
          <w:bCs/>
          <w:sz w:val="32"/>
          <w:szCs w:val="32"/>
        </w:rPr>
        <w:t>（一）项目基本情况。</w:t>
      </w:r>
    </w:p>
    <w:p>
      <w:pPr>
        <w:spacing w:line="353" w:lineRule="auto"/>
        <w:ind w:firstLine="640" w:firstLineChars="200"/>
        <w:rPr>
          <w:rFonts w:eastAsia="仿宋_GB2312"/>
          <w:sz w:val="32"/>
          <w:szCs w:val="32"/>
        </w:rPr>
      </w:pPr>
      <w:r>
        <w:rPr>
          <w:rFonts w:eastAsia="仿宋_GB2312"/>
          <w:sz w:val="32"/>
          <w:szCs w:val="32"/>
        </w:rPr>
        <w:t>根据攀枝花市西区市场监督管理局《攀枝花市西区创建全国文明城市农贸市场维修维护项目实施方案》要求，街道对河门口农贸市场进行维修维护，攀枝花市西区市场监督管理局为牵头单位，河门口街道为项目实施责任单位，对河门口菜市场进行维修维护。</w:t>
      </w:r>
    </w:p>
    <w:p>
      <w:pPr>
        <w:ind w:firstLine="640" w:firstLineChars="200"/>
        <w:rPr>
          <w:rFonts w:eastAsia="楷体_GB2312"/>
          <w:bCs/>
          <w:sz w:val="32"/>
          <w:szCs w:val="32"/>
        </w:rPr>
      </w:pPr>
      <w:r>
        <w:rPr>
          <w:rFonts w:eastAsia="楷体_GB2312"/>
          <w:bCs/>
          <w:sz w:val="32"/>
          <w:szCs w:val="32"/>
        </w:rPr>
        <w:t>（二）项目绩效目标。</w:t>
      </w:r>
    </w:p>
    <w:p>
      <w:pPr>
        <w:spacing w:line="560" w:lineRule="exact"/>
        <w:ind w:firstLine="643" w:firstLineChars="200"/>
        <w:rPr>
          <w:rFonts w:eastAsia="仿宋"/>
          <w:sz w:val="32"/>
          <w:szCs w:val="32"/>
        </w:rPr>
      </w:pPr>
      <w:r>
        <w:rPr>
          <w:rFonts w:eastAsia="仿宋"/>
          <w:b/>
          <w:bCs/>
          <w:sz w:val="32"/>
          <w:szCs w:val="32"/>
        </w:rPr>
        <w:t>1.项目主要内容。</w:t>
      </w:r>
    </w:p>
    <w:p>
      <w:pPr>
        <w:spacing w:line="560" w:lineRule="exact"/>
        <w:ind w:firstLine="640" w:firstLineChars="200"/>
        <w:rPr>
          <w:rFonts w:eastAsia="仿宋_GB2312"/>
          <w:sz w:val="32"/>
          <w:szCs w:val="32"/>
        </w:rPr>
      </w:pPr>
      <w:r>
        <w:rPr>
          <w:rFonts w:eastAsia="仿宋_GB2312"/>
          <w:sz w:val="32"/>
          <w:szCs w:val="32"/>
        </w:rPr>
        <w:t>对河门口菜市场内部墙、柱、天棚刷乳胶漆，菜台瓷砖更换，台阶地砖恢复，彩钢棚立柱刷油漆增设公示牌；对三防设施进行维修，增加整体微型消防站，规范停车线等内容。</w:t>
      </w:r>
    </w:p>
    <w:p>
      <w:pPr>
        <w:spacing w:line="560" w:lineRule="exact"/>
        <w:ind w:firstLine="643" w:firstLineChars="200"/>
        <w:rPr>
          <w:rFonts w:eastAsia="仿宋"/>
          <w:b/>
          <w:bCs/>
          <w:sz w:val="32"/>
          <w:szCs w:val="32"/>
        </w:rPr>
      </w:pPr>
      <w:r>
        <w:rPr>
          <w:rFonts w:eastAsia="仿宋"/>
          <w:b/>
          <w:bCs/>
          <w:sz w:val="32"/>
          <w:szCs w:val="32"/>
        </w:rPr>
        <w:t>2.项目绩效目标。</w:t>
      </w:r>
    </w:p>
    <w:p>
      <w:pPr>
        <w:spacing w:line="560" w:lineRule="exact"/>
        <w:ind w:firstLine="640" w:firstLineChars="200"/>
        <w:rPr>
          <w:rFonts w:eastAsia="仿宋_GB2312"/>
          <w:sz w:val="32"/>
          <w:szCs w:val="32"/>
        </w:rPr>
      </w:pPr>
      <w:r>
        <w:rPr>
          <w:rFonts w:eastAsia="仿宋_GB2312"/>
          <w:sz w:val="32"/>
          <w:szCs w:val="32"/>
        </w:rPr>
        <w:t>改善河门口菜市场及其周边环境状况，也以实际行动服务人民群众。</w:t>
      </w:r>
    </w:p>
    <w:p>
      <w:pPr>
        <w:widowControl/>
        <w:adjustRightInd w:val="0"/>
        <w:snapToGrid w:val="0"/>
        <w:spacing w:line="578" w:lineRule="exact"/>
        <w:ind w:firstLine="643" w:firstLineChars="200"/>
        <w:contextualSpacing/>
        <w:jc w:val="left"/>
        <w:rPr>
          <w:rFonts w:eastAsia="仿宋_GB2312"/>
          <w:b/>
          <w:bCs/>
          <w:sz w:val="32"/>
          <w:szCs w:val="32"/>
          <w:lang w:val="zh-CN"/>
        </w:rPr>
      </w:pPr>
      <w:r>
        <w:rPr>
          <w:rFonts w:eastAsia="仿宋_GB2312"/>
          <w:b/>
          <w:bCs/>
          <w:sz w:val="32"/>
          <w:szCs w:val="32"/>
        </w:rPr>
        <w:t>3.</w:t>
      </w:r>
      <w:r>
        <w:rPr>
          <w:rFonts w:eastAsia="仿宋_GB2312"/>
          <w:b/>
          <w:bCs/>
          <w:sz w:val="32"/>
          <w:szCs w:val="32"/>
          <w:lang w:val="zh-CN"/>
        </w:rPr>
        <w:t>项目资金申报相符性。</w:t>
      </w:r>
    </w:p>
    <w:p>
      <w:pPr>
        <w:adjustRightInd w:val="0"/>
        <w:snapToGrid w:val="0"/>
        <w:spacing w:line="600" w:lineRule="exact"/>
        <w:ind w:firstLine="720"/>
      </w:pPr>
      <w:r>
        <w:rPr>
          <w:rFonts w:eastAsia="仿宋_GB2312"/>
          <w:sz w:val="32"/>
          <w:szCs w:val="32"/>
        </w:rPr>
        <w:t>项目申报内容与具体实施内容相符，申报目标合理可行。</w:t>
      </w:r>
    </w:p>
    <w:p>
      <w:pPr>
        <w:ind w:firstLine="640" w:firstLineChars="200"/>
        <w:rPr>
          <w:rFonts w:eastAsia="楷体_GB2312"/>
          <w:b/>
          <w:sz w:val="32"/>
          <w:szCs w:val="32"/>
        </w:rPr>
      </w:pPr>
      <w:r>
        <w:rPr>
          <w:rFonts w:eastAsia="楷体_GB2312"/>
          <w:bCs/>
          <w:sz w:val="32"/>
          <w:szCs w:val="32"/>
        </w:rPr>
        <w:t>（三）项目自评步骤及方法。</w:t>
      </w:r>
    </w:p>
    <w:p>
      <w:pPr>
        <w:pStyle w:val="2"/>
        <w:spacing w:before="93"/>
        <w:ind w:firstLine="640" w:firstLineChars="200"/>
        <w:rPr>
          <w:rFonts w:ascii="Times New Roman"/>
          <w:sz w:val="32"/>
          <w:szCs w:val="32"/>
        </w:rPr>
      </w:pPr>
      <w:r>
        <w:rPr>
          <w:rFonts w:ascii="Times New Roman"/>
          <w:sz w:val="32"/>
          <w:szCs w:val="32"/>
        </w:rPr>
        <w:t xml:space="preserve">根据项目的服务质量、效率、满意度等因素来制定评价标准;通过服务对象反馈情况等方式收集数据。对收集到的数据进行分析，以了解项目的实际表现是否符合预期。根据分析结果，编写评价报告。报告将详细描述项目的优点和不足，以及改进的建议。  </w:t>
      </w:r>
    </w:p>
    <w:p>
      <w:pPr>
        <w:pStyle w:val="2"/>
        <w:spacing w:before="93"/>
        <w:ind w:firstLine="640" w:firstLineChars="200"/>
        <w:rPr>
          <w:rFonts w:ascii="Times New Roman"/>
          <w:sz w:val="32"/>
          <w:szCs w:val="32"/>
        </w:rPr>
      </w:pPr>
      <w:r>
        <w:rPr>
          <w:rFonts w:ascii="Times New Roman" w:eastAsia="黑体"/>
          <w:sz w:val="32"/>
          <w:szCs w:val="32"/>
        </w:rPr>
        <w:t>二、项目资金申报及使用情况</w:t>
      </w:r>
    </w:p>
    <w:p>
      <w:pPr>
        <w:ind w:firstLine="640" w:firstLineChars="200"/>
        <w:rPr>
          <w:rFonts w:eastAsia="楷体_GB2312"/>
          <w:bCs/>
          <w:sz w:val="32"/>
          <w:szCs w:val="32"/>
        </w:rPr>
      </w:pPr>
      <w:r>
        <w:rPr>
          <w:rFonts w:eastAsia="楷体_GB2312"/>
          <w:bCs/>
          <w:sz w:val="32"/>
          <w:szCs w:val="32"/>
        </w:rPr>
        <w:t>（一）项目资金申报及批复情况。</w:t>
      </w:r>
    </w:p>
    <w:p>
      <w:pPr>
        <w:ind w:firstLine="640" w:firstLineChars="200"/>
        <w:rPr>
          <w:rFonts w:eastAsia="楷体_GB2312"/>
          <w:b/>
          <w:sz w:val="32"/>
          <w:szCs w:val="32"/>
        </w:rPr>
      </w:pPr>
      <w:r>
        <w:rPr>
          <w:rFonts w:eastAsia="仿宋_GB2312"/>
          <w:sz w:val="32"/>
          <w:szCs w:val="32"/>
          <w:lang w:val="zh-CN"/>
        </w:rPr>
        <w:t>该项目纳入了街道年初预算，经批复（上年结转预〔2022〕21-6号）财政下达经费。</w:t>
      </w:r>
    </w:p>
    <w:p>
      <w:pPr>
        <w:ind w:firstLine="640" w:firstLineChars="200"/>
        <w:rPr>
          <w:rFonts w:eastAsia="楷体_GB2312"/>
          <w:bCs/>
          <w:sz w:val="32"/>
          <w:szCs w:val="32"/>
          <w:lang w:val="zh-CN"/>
        </w:rPr>
      </w:pPr>
      <w:r>
        <w:rPr>
          <w:rFonts w:eastAsia="楷体_GB2312"/>
          <w:bCs/>
          <w:sz w:val="32"/>
          <w:szCs w:val="32"/>
        </w:rPr>
        <w:t>（二）资金计划、到位及使用情况。</w:t>
      </w:r>
    </w:p>
    <w:p>
      <w:pPr>
        <w:adjustRightInd w:val="0"/>
        <w:snapToGrid w:val="0"/>
        <w:spacing w:line="60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rPr>
        <w:t>1.</w:t>
      </w:r>
      <w:r>
        <w:rPr>
          <w:rFonts w:eastAsia="仿宋_GB2312"/>
          <w:kern w:val="0"/>
          <w:sz w:val="32"/>
          <w:szCs w:val="32"/>
          <w:shd w:val="clear" w:color="auto" w:fill="FFFFFF"/>
          <w:lang w:val="zh-CN"/>
        </w:rPr>
        <w:t>资金计划。</w:t>
      </w:r>
      <w:r>
        <w:rPr>
          <w:rFonts w:eastAsia="仿宋_GB2312"/>
          <w:sz w:val="32"/>
          <w:szCs w:val="32"/>
          <w:lang w:val="zh-CN"/>
        </w:rPr>
        <w:t>2022年财政预算13.66万元。</w:t>
      </w:r>
    </w:p>
    <w:p>
      <w:pPr>
        <w:adjustRightInd w:val="0"/>
        <w:snapToGrid w:val="0"/>
        <w:spacing w:line="600" w:lineRule="exact"/>
        <w:ind w:firstLine="720"/>
        <w:rPr>
          <w:rFonts w:eastAsia="仿宋_GB2312"/>
          <w:b/>
          <w:sz w:val="32"/>
          <w:szCs w:val="32"/>
        </w:rPr>
      </w:pPr>
      <w:r>
        <w:rPr>
          <w:rFonts w:eastAsia="仿宋_GB2312"/>
          <w:kern w:val="0"/>
          <w:sz w:val="32"/>
          <w:szCs w:val="32"/>
          <w:shd w:val="clear" w:color="auto" w:fill="FFFFFF"/>
        </w:rPr>
        <w:t>2.</w:t>
      </w:r>
      <w:r>
        <w:rPr>
          <w:rFonts w:eastAsia="仿宋_GB2312"/>
          <w:kern w:val="0"/>
          <w:sz w:val="32"/>
          <w:szCs w:val="32"/>
          <w:shd w:val="clear" w:color="auto" w:fill="FFFFFF"/>
          <w:lang w:val="zh-CN"/>
        </w:rPr>
        <w:t>资金到位。</w:t>
      </w:r>
      <w:r>
        <w:rPr>
          <w:rFonts w:eastAsia="仿宋_GB2312"/>
          <w:sz w:val="32"/>
          <w:szCs w:val="32"/>
          <w:lang w:val="zh-CN"/>
        </w:rPr>
        <w:t>2022年实际支付13.66万元.</w:t>
      </w:r>
    </w:p>
    <w:p>
      <w:pPr>
        <w:adjustRightInd w:val="0"/>
        <w:snapToGrid w:val="0"/>
        <w:spacing w:line="600" w:lineRule="exact"/>
        <w:ind w:firstLine="720"/>
        <w:rPr>
          <w:rFonts w:eastAsia="仿宋_GB2312"/>
          <w:kern w:val="0"/>
          <w:sz w:val="32"/>
          <w:szCs w:val="32"/>
          <w:shd w:val="clear" w:color="auto" w:fill="FFFFFF"/>
          <w:lang w:val="zh-CN"/>
        </w:rPr>
      </w:pPr>
      <w:r>
        <w:rPr>
          <w:rFonts w:eastAsia="仿宋_GB2312"/>
          <w:kern w:val="0"/>
          <w:sz w:val="32"/>
          <w:szCs w:val="32"/>
          <w:shd w:val="clear" w:color="auto" w:fill="FFFFFF"/>
          <w:lang w:val="zh-CN"/>
        </w:rPr>
        <w:t>3.资金使用。资金主要用于对河门口菜市场及周边环境的改造。</w:t>
      </w:r>
    </w:p>
    <w:p>
      <w:pPr>
        <w:widowControl/>
        <w:adjustRightInd w:val="0"/>
        <w:snapToGrid w:val="0"/>
        <w:spacing w:line="578" w:lineRule="exact"/>
        <w:ind w:firstLine="640" w:firstLineChars="200"/>
        <w:contextualSpacing/>
        <w:jc w:val="left"/>
        <w:rPr>
          <w:rFonts w:eastAsia="仿宋_GB2312"/>
          <w:b/>
          <w:sz w:val="32"/>
          <w:szCs w:val="32"/>
        </w:rPr>
      </w:pPr>
      <w:r>
        <w:rPr>
          <w:rFonts w:eastAsia="楷体_GB2312"/>
          <w:bCs/>
          <w:sz w:val="32"/>
          <w:szCs w:val="32"/>
        </w:rPr>
        <w:t>（三）项目财务管理情况。</w:t>
      </w:r>
    </w:p>
    <w:p>
      <w:pPr>
        <w:ind w:firstLine="640" w:firstLineChars="200"/>
        <w:rPr>
          <w:rFonts w:eastAsia="仿宋_GB2312"/>
          <w:b/>
          <w:sz w:val="32"/>
          <w:szCs w:val="32"/>
        </w:rPr>
      </w:pPr>
      <w:r>
        <w:rPr>
          <w:rFonts w:eastAsia="仿宋_GB2312"/>
          <w:sz w:val="32"/>
          <w:szCs w:val="32"/>
        </w:rPr>
        <w:t>一是建立健全规章制度，会计核算符合相关规定。 二是加强对财政各项资金的监督管理，确保资金及时、足额到位，专款专用，资金支付依据和开支标准合法合规。未出现截留和挤占挪作他用现象。三是对财政拨付的专项资金进行自检自查，做好资金的项目和资金使用效益管理工作，充分发挥专项资金的使用效益，专项工作按时高质量完成。</w:t>
      </w:r>
    </w:p>
    <w:p>
      <w:pPr>
        <w:adjustRightInd w:val="0"/>
        <w:snapToGrid w:val="0"/>
        <w:ind w:firstLine="640" w:firstLineChars="200"/>
        <w:rPr>
          <w:rFonts w:eastAsia="黑体"/>
          <w:sz w:val="32"/>
          <w:szCs w:val="32"/>
        </w:rPr>
      </w:pPr>
      <w:r>
        <w:rPr>
          <w:rFonts w:eastAsia="黑体"/>
          <w:sz w:val="32"/>
          <w:szCs w:val="32"/>
        </w:rPr>
        <w:t>三、项目实施及管理情况</w:t>
      </w:r>
    </w:p>
    <w:p>
      <w:pPr>
        <w:ind w:firstLine="640" w:firstLineChars="200"/>
        <w:rPr>
          <w:rFonts w:eastAsia="楷体_GB2312"/>
          <w:bCs/>
          <w:sz w:val="32"/>
          <w:szCs w:val="32"/>
        </w:rPr>
      </w:pPr>
      <w:r>
        <w:rPr>
          <w:rFonts w:eastAsia="楷体_GB2312"/>
          <w:bCs/>
          <w:sz w:val="32"/>
          <w:szCs w:val="32"/>
        </w:rPr>
        <w:t>（一）项目组织架构及实施流程。</w:t>
      </w:r>
    </w:p>
    <w:p>
      <w:pPr>
        <w:adjustRightInd w:val="0"/>
        <w:snapToGrid w:val="0"/>
        <w:spacing w:line="560" w:lineRule="exact"/>
        <w:ind w:firstLine="640" w:firstLineChars="200"/>
        <w:rPr>
          <w:rFonts w:eastAsia="仿宋_GB2312"/>
          <w:sz w:val="32"/>
          <w:szCs w:val="32"/>
        </w:rPr>
      </w:pPr>
      <w:r>
        <w:rPr>
          <w:rFonts w:eastAsia="仿宋_GB2312"/>
          <w:sz w:val="32"/>
          <w:szCs w:val="32"/>
        </w:rPr>
        <w:t>街道编制政府采购预算，公开采购需求，通过分散采购方式确定施工、供货单位，签订合同，对项目实施过程进行监督，对完成的项目进行验收。</w:t>
      </w:r>
    </w:p>
    <w:p>
      <w:pPr>
        <w:ind w:firstLine="640" w:firstLineChars="200"/>
        <w:rPr>
          <w:rFonts w:eastAsia="楷体_GB2312"/>
          <w:b/>
          <w:sz w:val="32"/>
          <w:szCs w:val="32"/>
        </w:rPr>
      </w:pPr>
      <w:r>
        <w:rPr>
          <w:rFonts w:eastAsia="楷体_GB2312"/>
          <w:bCs/>
          <w:sz w:val="32"/>
          <w:szCs w:val="32"/>
          <w:lang w:val="zh-CN"/>
        </w:rPr>
        <w:t>（二）</w:t>
      </w:r>
      <w:r>
        <w:rPr>
          <w:rFonts w:eastAsia="楷体_GB2312"/>
          <w:bCs/>
          <w:sz w:val="32"/>
          <w:szCs w:val="32"/>
        </w:rPr>
        <w:t>项目管理情况。</w:t>
      </w:r>
    </w:p>
    <w:p>
      <w:pPr>
        <w:adjustRightInd w:val="0"/>
        <w:snapToGrid w:val="0"/>
        <w:spacing w:line="560" w:lineRule="exact"/>
        <w:ind w:firstLine="640" w:firstLineChars="200"/>
        <w:rPr>
          <w:rFonts w:eastAsia="仿宋_GB2312"/>
          <w:sz w:val="32"/>
          <w:szCs w:val="32"/>
        </w:rPr>
      </w:pPr>
      <w:r>
        <w:rPr>
          <w:rFonts w:eastAsia="仿宋_GB2312"/>
          <w:sz w:val="32"/>
          <w:szCs w:val="32"/>
          <w:lang w:val="zh-CN"/>
        </w:rPr>
        <w:t>街道专项资金的收支，一律纳入财政预算，按照预算要求和程序上报年度预、决算。</w:t>
      </w:r>
      <w:r>
        <w:rPr>
          <w:rFonts w:eastAsia="仿宋_GB2312"/>
          <w:sz w:val="32"/>
          <w:szCs w:val="32"/>
        </w:rPr>
        <w:t>项目实施严格按照《四川省人民政府关于印发进一步规范政府采购监管和执行若干规定的通知》文件要求执行。</w:t>
      </w:r>
    </w:p>
    <w:p>
      <w:pPr>
        <w:ind w:firstLine="640" w:firstLineChars="200"/>
        <w:rPr>
          <w:rFonts w:eastAsia="楷体_GB2312"/>
          <w:bCs/>
          <w:sz w:val="32"/>
          <w:szCs w:val="32"/>
        </w:rPr>
      </w:pPr>
      <w:r>
        <w:rPr>
          <w:rFonts w:eastAsia="楷体_GB2312"/>
          <w:bCs/>
          <w:sz w:val="32"/>
          <w:szCs w:val="32"/>
        </w:rPr>
        <w:t>（三）项目监管情况。</w:t>
      </w:r>
    </w:p>
    <w:p>
      <w:pPr>
        <w:ind w:firstLine="640" w:firstLineChars="200"/>
        <w:rPr>
          <w:rFonts w:eastAsia="仿宋_GB2312"/>
          <w:sz w:val="32"/>
          <w:szCs w:val="32"/>
          <w:lang w:val="zh-CN"/>
        </w:rPr>
      </w:pPr>
      <w:r>
        <w:rPr>
          <w:rFonts w:eastAsia="仿宋_GB2312"/>
          <w:sz w:val="32"/>
          <w:szCs w:val="32"/>
          <w:lang w:val="zh-CN"/>
        </w:rPr>
        <w:t>项目采取项目股室负责制，全体成员积极配合、通力合作。</w:t>
      </w:r>
    </w:p>
    <w:p>
      <w:pPr>
        <w:pStyle w:val="2"/>
        <w:spacing w:before="93"/>
        <w:rPr>
          <w:rFonts w:ascii="Times New Roman"/>
          <w:sz w:val="32"/>
          <w:szCs w:val="32"/>
          <w:lang w:val="zh-CN"/>
        </w:rPr>
      </w:pPr>
      <w:r>
        <w:rPr>
          <w:rFonts w:ascii="Times New Roman"/>
          <w:sz w:val="32"/>
          <w:szCs w:val="32"/>
          <w:lang w:val="zh-CN"/>
        </w:rPr>
        <w:t>并对实施项目进行监督，绩效评价。</w:t>
      </w:r>
    </w:p>
    <w:p>
      <w:pPr>
        <w:pStyle w:val="2"/>
        <w:spacing w:before="93"/>
        <w:ind w:firstLine="640" w:firstLineChars="200"/>
        <w:rPr>
          <w:rFonts w:ascii="Times New Roman"/>
          <w:sz w:val="32"/>
          <w:szCs w:val="32"/>
          <w:lang w:val="zh-CN"/>
        </w:rPr>
      </w:pPr>
      <w:r>
        <w:rPr>
          <w:rFonts w:ascii="Times New Roman" w:eastAsia="黑体"/>
          <w:sz w:val="32"/>
          <w:szCs w:val="32"/>
        </w:rPr>
        <w:t>四、项目绩效情况</w:t>
      </w:r>
      <w:r>
        <w:rPr>
          <w:rFonts w:ascii="Times New Roman"/>
          <w:sz w:val="32"/>
          <w:szCs w:val="32"/>
          <w:lang w:val="zh-CN"/>
        </w:rPr>
        <w:tab/>
      </w:r>
      <w:r>
        <w:rPr>
          <w:rFonts w:ascii="Times New Roman"/>
          <w:sz w:val="32"/>
          <w:szCs w:val="32"/>
          <w:lang w:val="zh-CN"/>
        </w:rPr>
        <w:tab/>
      </w:r>
    </w:p>
    <w:p>
      <w:pPr>
        <w:ind w:firstLine="640" w:firstLineChars="200"/>
        <w:rPr>
          <w:rFonts w:eastAsia="楷体_GB2312"/>
          <w:bCs/>
          <w:sz w:val="32"/>
          <w:szCs w:val="32"/>
        </w:rPr>
      </w:pPr>
      <w:r>
        <w:rPr>
          <w:rFonts w:eastAsia="楷体_GB2312"/>
          <w:bCs/>
          <w:sz w:val="32"/>
          <w:szCs w:val="32"/>
        </w:rPr>
        <w:t>（一）项目完成情况。</w:t>
      </w:r>
    </w:p>
    <w:p>
      <w:pPr>
        <w:spacing w:line="560" w:lineRule="exact"/>
        <w:ind w:firstLine="640" w:firstLineChars="200"/>
        <w:rPr>
          <w:rFonts w:eastAsia="仿宋_GB2312"/>
          <w:sz w:val="32"/>
          <w:szCs w:val="32"/>
        </w:rPr>
      </w:pPr>
      <w:r>
        <w:rPr>
          <w:rFonts w:eastAsia="仿宋_GB2312"/>
          <w:sz w:val="32"/>
          <w:szCs w:val="32"/>
        </w:rPr>
        <w:t>已完成河门口菜市场内部墙、柱、天棚刷乳胶漆，菜台瓷砖更换，台阶地砖恢复，彩钢棚立柱刷油漆，增设公示牌，对三防设施进行维修，增加整体微型消防站，规范停车线。</w:t>
      </w:r>
      <w:r>
        <w:rPr>
          <w:rFonts w:eastAsia="仿宋_GB2312"/>
          <w:sz w:val="32"/>
          <w:szCs w:val="32"/>
          <w:lang w:val="zh-CN"/>
        </w:rPr>
        <w:t>项目执行均按照合同约定的期限内完成项目验收和资金支付，项目成本与采购中标金额一致，已投入运营。</w:t>
      </w:r>
    </w:p>
    <w:p>
      <w:pPr>
        <w:ind w:firstLine="640" w:firstLineChars="200"/>
        <w:rPr>
          <w:rFonts w:eastAsia="楷体_GB2312"/>
          <w:bCs/>
          <w:sz w:val="32"/>
          <w:szCs w:val="32"/>
        </w:rPr>
      </w:pPr>
      <w:r>
        <w:rPr>
          <w:rFonts w:eastAsia="楷体_GB2312"/>
          <w:bCs/>
          <w:sz w:val="32"/>
          <w:szCs w:val="32"/>
        </w:rPr>
        <w:t>（二）项目效益情况。</w:t>
      </w:r>
    </w:p>
    <w:p>
      <w:pPr>
        <w:adjustRightInd w:val="0"/>
        <w:snapToGrid w:val="0"/>
        <w:spacing w:line="560" w:lineRule="exact"/>
        <w:ind w:firstLine="720"/>
        <w:rPr>
          <w:rFonts w:eastAsia="仿宋_GB2312"/>
          <w:sz w:val="32"/>
          <w:szCs w:val="32"/>
        </w:rPr>
      </w:pPr>
      <w:r>
        <w:rPr>
          <w:rFonts w:eastAsia="仿宋_GB2312"/>
          <w:sz w:val="32"/>
          <w:szCs w:val="32"/>
        </w:rPr>
        <w:t>该项目建成后，市场及其周边环境卫生状况大为改观，为全市创建全国文明城市提供保障，也以实际行动服务人民群众。</w:t>
      </w:r>
    </w:p>
    <w:p>
      <w:pPr>
        <w:spacing w:line="353" w:lineRule="auto"/>
        <w:rPr>
          <w:rFonts w:eastAsia="仿宋_GB2312"/>
          <w:sz w:val="32"/>
          <w:szCs w:val="32"/>
        </w:rPr>
      </w:pPr>
      <w:r>
        <w:rPr>
          <w:rFonts w:eastAsia="仿宋_GB2312"/>
          <w:sz w:val="32"/>
          <w:szCs w:val="32"/>
        </w:rPr>
        <w:t>促进服务与需求无缝对接，提升城乡社区综合管理水平，增强辖区居民的满意度及幸福感。</w:t>
      </w:r>
    </w:p>
    <w:p>
      <w:pPr>
        <w:spacing w:line="353" w:lineRule="auto"/>
        <w:ind w:firstLine="640" w:firstLineChars="200"/>
        <w:rPr>
          <w:rFonts w:eastAsia="仿宋_GB2312"/>
          <w:sz w:val="32"/>
          <w:szCs w:val="32"/>
        </w:rPr>
      </w:pPr>
      <w:r>
        <w:rPr>
          <w:rFonts w:eastAsia="黑体"/>
          <w:sz w:val="32"/>
          <w:szCs w:val="32"/>
        </w:rPr>
        <w:t>五、评价结论及建议</w:t>
      </w:r>
    </w:p>
    <w:p>
      <w:pPr>
        <w:ind w:firstLine="640" w:firstLineChars="200"/>
        <w:rPr>
          <w:rFonts w:eastAsia="楷体_GB2312"/>
          <w:bCs/>
          <w:sz w:val="32"/>
          <w:szCs w:val="32"/>
        </w:rPr>
      </w:pPr>
      <w:r>
        <w:rPr>
          <w:rFonts w:eastAsia="楷体_GB2312"/>
          <w:bCs/>
          <w:sz w:val="32"/>
          <w:szCs w:val="32"/>
        </w:rPr>
        <w:t>（一）评价结论。</w:t>
      </w:r>
    </w:p>
    <w:p>
      <w:pPr>
        <w:ind w:firstLine="640" w:firstLineChars="200"/>
        <w:rPr>
          <w:rFonts w:eastAsia="仿宋_GB2312"/>
          <w:kern w:val="0"/>
          <w:sz w:val="32"/>
          <w:szCs w:val="32"/>
        </w:rPr>
      </w:pPr>
      <w:r>
        <w:rPr>
          <w:rFonts w:eastAsia="仿宋_GB2312"/>
          <w:kern w:val="0"/>
          <w:sz w:val="32"/>
          <w:szCs w:val="32"/>
        </w:rPr>
        <w:t>街道严格遵守专项资金管理办法，对申报项目资金进行严管严控，将专项资金有计划有目标的用于能够提高社会管理水平的项目。</w:t>
      </w:r>
      <w:r>
        <w:rPr>
          <w:rFonts w:eastAsia="仿宋_GB2312"/>
          <w:sz w:val="32"/>
          <w:szCs w:val="32"/>
        </w:rPr>
        <w:t>着力破解辖区基础设施老旧，居民服务需求多样化等难题</w:t>
      </w:r>
      <w:r>
        <w:rPr>
          <w:rFonts w:eastAsia="仿宋_GB2312"/>
          <w:kern w:val="0"/>
          <w:sz w:val="32"/>
          <w:szCs w:val="32"/>
        </w:rPr>
        <w:t>，使人民群众满意度提升，社会效果良好。</w:t>
      </w:r>
    </w:p>
    <w:p>
      <w:pPr>
        <w:ind w:firstLine="640" w:firstLineChars="200"/>
        <w:rPr>
          <w:rFonts w:eastAsia="楷体_GB2312"/>
          <w:bCs/>
          <w:sz w:val="32"/>
          <w:szCs w:val="32"/>
        </w:rPr>
      </w:pPr>
      <w:r>
        <w:rPr>
          <w:rFonts w:eastAsia="楷体_GB2312"/>
          <w:bCs/>
          <w:sz w:val="32"/>
          <w:szCs w:val="32"/>
        </w:rPr>
        <w:t>（二）存在的问题。</w:t>
      </w:r>
    </w:p>
    <w:p>
      <w:pPr>
        <w:adjustRightInd w:val="0"/>
        <w:snapToGrid w:val="0"/>
        <w:ind w:firstLine="640" w:firstLineChars="200"/>
        <w:rPr>
          <w:rFonts w:eastAsia="仿宋_GB2312"/>
          <w:sz w:val="32"/>
          <w:szCs w:val="32"/>
          <w:lang w:val="zh-CN"/>
        </w:rPr>
      </w:pPr>
      <w:r>
        <w:rPr>
          <w:rFonts w:eastAsia="仿宋_GB2312"/>
          <w:sz w:val="32"/>
          <w:szCs w:val="32"/>
          <w:lang w:val="zh-CN"/>
        </w:rPr>
        <w:t>无</w:t>
      </w:r>
    </w:p>
    <w:p>
      <w:pPr>
        <w:ind w:firstLine="640" w:firstLineChars="200"/>
        <w:rPr>
          <w:rFonts w:eastAsia="楷体_GB2312"/>
          <w:bCs/>
          <w:sz w:val="32"/>
          <w:szCs w:val="32"/>
        </w:rPr>
      </w:pPr>
      <w:r>
        <w:rPr>
          <w:rFonts w:eastAsia="楷体_GB2312"/>
          <w:bCs/>
          <w:sz w:val="32"/>
          <w:szCs w:val="32"/>
        </w:rPr>
        <w:t>（三）相关建议。</w:t>
      </w:r>
    </w:p>
    <w:p>
      <w:pPr>
        <w:pStyle w:val="2"/>
        <w:spacing w:before="93"/>
        <w:ind w:firstLine="640" w:firstLineChars="200"/>
        <w:rPr>
          <w:rFonts w:ascii="Times New Roman"/>
          <w:sz w:val="32"/>
          <w:szCs w:val="32"/>
          <w:lang w:val="zh-CN"/>
        </w:rPr>
      </w:pPr>
      <w:r>
        <w:rPr>
          <w:rFonts w:ascii="Times New Roman"/>
          <w:sz w:val="32"/>
          <w:szCs w:val="32"/>
          <w:lang w:val="zh-CN"/>
        </w:rPr>
        <w:t>无</w:t>
      </w: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方正小标宋_GBK"/>
        </w:rPr>
      </w:pPr>
      <w:r>
        <w:rPr>
          <w:rFonts w:eastAsia="方正小标宋_GBK"/>
          <w:sz w:val="44"/>
          <w:szCs w:val="44"/>
        </w:rPr>
        <w:t>第</w:t>
      </w:r>
      <w:r>
        <w:rPr>
          <w:rStyle w:val="27"/>
          <w:rFonts w:eastAsia="方正小标宋_GBK"/>
          <w:b w:val="0"/>
        </w:rPr>
        <w:t>五部分 附表</w:t>
      </w:r>
      <w:bookmarkEnd w:id="58"/>
    </w:p>
    <w:p>
      <w:pPr>
        <w:pStyle w:val="4"/>
        <w:rPr>
          <w:rFonts w:ascii="Times New Roman" w:hAnsi="Times New Roman" w:eastAsia="黑体" w:cs="Times New Roman"/>
        </w:rPr>
      </w:pPr>
      <w:bookmarkStart w:id="59" w:name="_Toc15396619"/>
      <w:r>
        <w:rPr>
          <w:rFonts w:ascii="Times New Roman" w:hAnsi="Times New Roman" w:eastAsia="黑体" w:cs="Times New Roman"/>
          <w:b w:val="0"/>
        </w:rPr>
        <w:t>一、收</w:t>
      </w:r>
      <w:r>
        <w:rPr>
          <w:rStyle w:val="28"/>
          <w:rFonts w:ascii="Times New Roman" w:hAnsi="Times New Roman" w:eastAsia="黑体" w:cs="Times New Roman"/>
          <w:b w:val="0"/>
          <w:bCs w:val="0"/>
        </w:rPr>
        <w:t>入支出决算总表</w:t>
      </w:r>
      <w:bookmarkEnd w:id="59"/>
    </w:p>
    <w:p>
      <w:pPr>
        <w:pStyle w:val="4"/>
        <w:rPr>
          <w:rFonts w:ascii="Times New Roman" w:hAnsi="Times New Roman" w:eastAsia="黑体" w:cs="Times New Roman"/>
          <w:b w:val="0"/>
        </w:rPr>
      </w:pPr>
      <w:bookmarkStart w:id="60" w:name="_Toc15396620"/>
      <w:r>
        <w:rPr>
          <w:rFonts w:ascii="Times New Roman" w:hAnsi="Times New Roman" w:eastAsia="黑体" w:cs="Times New Roman"/>
          <w:b w:val="0"/>
        </w:rPr>
        <w:t>二、收入决算表</w:t>
      </w:r>
      <w:bookmarkEnd w:id="60"/>
    </w:p>
    <w:p>
      <w:pPr>
        <w:pStyle w:val="4"/>
        <w:rPr>
          <w:rFonts w:ascii="Times New Roman" w:hAnsi="Times New Roman" w:eastAsia="黑体" w:cs="Times New Roman"/>
          <w:b w:val="0"/>
        </w:rPr>
      </w:pPr>
      <w:bookmarkStart w:id="61" w:name="_Toc15396621"/>
      <w:r>
        <w:rPr>
          <w:rFonts w:ascii="Times New Roman" w:hAnsi="Times New Roman" w:eastAsia="黑体" w:cs="Times New Roman"/>
          <w:b w:val="0"/>
        </w:rPr>
        <w:t>三、支出决算表</w:t>
      </w:r>
      <w:bookmarkEnd w:id="61"/>
    </w:p>
    <w:p>
      <w:pPr>
        <w:pStyle w:val="4"/>
        <w:rPr>
          <w:rFonts w:ascii="Times New Roman" w:hAnsi="Times New Roman" w:eastAsia="黑体" w:cs="Times New Roman"/>
          <w:b w:val="0"/>
        </w:rPr>
      </w:pPr>
      <w:bookmarkStart w:id="62" w:name="_Toc15396622"/>
      <w:r>
        <w:rPr>
          <w:rFonts w:ascii="Times New Roman" w:hAnsi="Times New Roman" w:eastAsia="黑体" w:cs="Times New Roman"/>
          <w:b w:val="0"/>
        </w:rPr>
        <w:t>四、财政拨款收入支出决算总表</w:t>
      </w:r>
      <w:bookmarkEnd w:id="62"/>
    </w:p>
    <w:p>
      <w:pPr>
        <w:pStyle w:val="4"/>
        <w:rPr>
          <w:rFonts w:ascii="Times New Roman" w:hAnsi="Times New Roman" w:eastAsia="黑体" w:cs="Times New Roman"/>
          <w:b w:val="0"/>
        </w:rPr>
      </w:pPr>
      <w:bookmarkStart w:id="63" w:name="_Toc15396623"/>
      <w:r>
        <w:rPr>
          <w:rFonts w:ascii="Times New Roman" w:hAnsi="Times New Roman" w:eastAsia="黑体" w:cs="Times New Roman"/>
          <w:b w:val="0"/>
        </w:rPr>
        <w:t>五、财政拨款支出决算明细表</w:t>
      </w:r>
      <w:bookmarkEnd w:id="63"/>
      <w:bookmarkStart w:id="64" w:name="_Toc15396624"/>
    </w:p>
    <w:p>
      <w:pPr>
        <w:pStyle w:val="4"/>
        <w:rPr>
          <w:rFonts w:ascii="Times New Roman" w:hAnsi="Times New Roman" w:eastAsia="黑体" w:cs="Times New Roman"/>
          <w:b w:val="0"/>
        </w:rPr>
      </w:pPr>
      <w:r>
        <w:rPr>
          <w:rFonts w:ascii="Times New Roman" w:hAnsi="Times New Roman" w:eastAsia="黑体" w:cs="Times New Roman"/>
          <w:b w:val="0"/>
        </w:rPr>
        <w:t>六、一般公共预算财政拨款支出决算表</w:t>
      </w:r>
      <w:bookmarkEnd w:id="64"/>
    </w:p>
    <w:p>
      <w:pPr>
        <w:pStyle w:val="4"/>
        <w:rPr>
          <w:rFonts w:ascii="Times New Roman" w:hAnsi="Times New Roman" w:eastAsia="黑体" w:cs="Times New Roman"/>
          <w:b w:val="0"/>
        </w:rPr>
      </w:pPr>
      <w:bookmarkStart w:id="65" w:name="_Toc15396625"/>
      <w:r>
        <w:rPr>
          <w:rFonts w:ascii="Times New Roman" w:hAnsi="Times New Roman" w:eastAsia="黑体" w:cs="Times New Roman"/>
          <w:b w:val="0"/>
        </w:rPr>
        <w:t>七、一般公共预算财政拨款支出决算明细表</w:t>
      </w:r>
      <w:bookmarkEnd w:id="65"/>
    </w:p>
    <w:p>
      <w:pPr>
        <w:pStyle w:val="4"/>
        <w:rPr>
          <w:rFonts w:ascii="Times New Roman" w:hAnsi="Times New Roman" w:eastAsia="黑体" w:cs="Times New Roman"/>
          <w:b w:val="0"/>
        </w:rPr>
      </w:pPr>
      <w:bookmarkStart w:id="66" w:name="_Toc15396626"/>
      <w:r>
        <w:rPr>
          <w:rFonts w:ascii="Times New Roman" w:hAnsi="Times New Roman" w:eastAsia="黑体" w:cs="Times New Roman"/>
          <w:b w:val="0"/>
        </w:rPr>
        <w:t>八、一般公共预算财政拨款基本支出决算表</w:t>
      </w:r>
      <w:bookmarkEnd w:id="66"/>
    </w:p>
    <w:p>
      <w:pPr>
        <w:pStyle w:val="4"/>
        <w:rPr>
          <w:rFonts w:ascii="Times New Roman" w:hAnsi="Times New Roman" w:eastAsia="黑体" w:cs="Times New Roman"/>
          <w:b w:val="0"/>
        </w:rPr>
      </w:pPr>
      <w:bookmarkStart w:id="67" w:name="_Toc15396627"/>
      <w:r>
        <w:rPr>
          <w:rFonts w:ascii="Times New Roman" w:hAnsi="Times New Roman" w:eastAsia="黑体" w:cs="Times New Roman"/>
          <w:b w:val="0"/>
        </w:rPr>
        <w:t>九、一般公共预算财政拨款项目支出决算表</w:t>
      </w:r>
      <w:bookmarkEnd w:id="67"/>
    </w:p>
    <w:p>
      <w:pPr>
        <w:pStyle w:val="4"/>
        <w:rPr>
          <w:rFonts w:ascii="Times New Roman" w:hAnsi="Times New Roman" w:eastAsia="黑体" w:cs="Times New Roman"/>
          <w:b w:val="0"/>
        </w:rPr>
      </w:pPr>
      <w:bookmarkStart w:id="68" w:name="_Toc15396628"/>
      <w:r>
        <w:rPr>
          <w:rFonts w:ascii="Times New Roman" w:hAnsi="Times New Roman" w:eastAsia="黑体" w:cs="Times New Roman"/>
          <w:b w:val="0"/>
        </w:rPr>
        <w:t>十、</w:t>
      </w:r>
      <w:bookmarkEnd w:id="68"/>
      <w:r>
        <w:rPr>
          <w:rFonts w:ascii="Times New Roman" w:hAnsi="Times New Roman" w:eastAsia="黑体" w:cs="Times New Roman"/>
          <w:b w:val="0"/>
        </w:rPr>
        <w:t>政府性基金预算财政拨款收入支出决算表</w:t>
      </w:r>
    </w:p>
    <w:p>
      <w:pPr>
        <w:pStyle w:val="4"/>
        <w:rPr>
          <w:rFonts w:ascii="Times New Roman" w:hAnsi="Times New Roman" w:eastAsia="黑体" w:cs="Times New Roman"/>
          <w:b w:val="0"/>
        </w:rPr>
      </w:pPr>
      <w:bookmarkStart w:id="69" w:name="_Toc15396629"/>
      <w:r>
        <w:rPr>
          <w:rFonts w:ascii="Times New Roman" w:hAnsi="Times New Roman" w:eastAsia="黑体" w:cs="Times New Roman"/>
          <w:b w:val="0"/>
        </w:rPr>
        <w:t>十一、</w:t>
      </w:r>
      <w:bookmarkEnd w:id="69"/>
      <w:r>
        <w:rPr>
          <w:rFonts w:ascii="Times New Roman" w:hAnsi="Times New Roman" w:eastAsia="黑体" w:cs="Times New Roman"/>
          <w:b w:val="0"/>
        </w:rPr>
        <w:t>国有资本经营预算财政拨款收入支出决算表</w:t>
      </w:r>
    </w:p>
    <w:p>
      <w:pPr>
        <w:pStyle w:val="4"/>
        <w:rPr>
          <w:rFonts w:ascii="Times New Roman" w:hAnsi="Times New Roman" w:eastAsia="黑体" w:cs="Times New Roman"/>
          <w:b w:val="0"/>
        </w:rPr>
      </w:pPr>
      <w:bookmarkStart w:id="70" w:name="_Toc15396630"/>
      <w:r>
        <w:rPr>
          <w:rFonts w:ascii="Times New Roman" w:hAnsi="Times New Roman" w:eastAsia="黑体" w:cs="Times New Roman"/>
          <w:b w:val="0"/>
        </w:rPr>
        <w:t>十二、</w:t>
      </w:r>
      <w:bookmarkEnd w:id="70"/>
      <w:r>
        <w:rPr>
          <w:rFonts w:ascii="Times New Roman" w:hAnsi="Times New Roman" w:eastAsia="黑体" w:cs="Times New Roman"/>
          <w:b w:val="0"/>
        </w:rPr>
        <w:t>国有资本经营预算财政拨款支出决算表</w:t>
      </w:r>
    </w:p>
    <w:p>
      <w:pPr>
        <w:pStyle w:val="4"/>
        <w:rPr>
          <w:rFonts w:ascii="Times New Roman" w:hAnsi="Times New Roman" w:eastAsia="黑体" w:cs="Times New Roman"/>
          <w:b w:val="0"/>
        </w:rPr>
      </w:pPr>
      <w:bookmarkStart w:id="71" w:name="_Toc15396631"/>
      <w:r>
        <w:rPr>
          <w:rFonts w:ascii="Times New Roman" w:hAnsi="Times New Roman" w:eastAsia="黑体" w:cs="Times New Roman"/>
          <w:b w:val="0"/>
        </w:rPr>
        <w:t>十三、</w:t>
      </w:r>
      <w:bookmarkEnd w:id="71"/>
      <w:r>
        <w:rPr>
          <w:rFonts w:ascii="Times New Roman" w:hAnsi="Times New Roman" w:eastAsia="黑体" w:cs="Times New Roman"/>
          <w:b w:val="0"/>
        </w:rPr>
        <w:t>财政拨款“三公”经费支出决算表</w:t>
      </w:r>
    </w:p>
    <w:sectPr>
      <w:headerReference r:id="rId3" w:type="default"/>
      <w:footerReference r:id="rId4" w:type="default"/>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46D3E0C"/>
    <w:multiLevelType w:val="multilevel"/>
    <w:tmpl w:val="146D3E0C"/>
    <w:lvl w:ilvl="0" w:tentative="0">
      <w:start w:val="1"/>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wNjk1ZDEzYWQ2MzkxYWI4OTY5MGUzMWE2M2YyYjUifQ=="/>
  </w:docVars>
  <w:rsids>
    <w:rsidRoot w:val="00F1361C"/>
    <w:rsid w:val="0000114E"/>
    <w:rsid w:val="00001B42"/>
    <w:rsid w:val="000028E9"/>
    <w:rsid w:val="000050B3"/>
    <w:rsid w:val="000055E9"/>
    <w:rsid w:val="000222C6"/>
    <w:rsid w:val="0002549F"/>
    <w:rsid w:val="00025CCE"/>
    <w:rsid w:val="000263F8"/>
    <w:rsid w:val="00026CC0"/>
    <w:rsid w:val="00034BFA"/>
    <w:rsid w:val="000369E7"/>
    <w:rsid w:val="00036FD9"/>
    <w:rsid w:val="00040FBB"/>
    <w:rsid w:val="000467F9"/>
    <w:rsid w:val="000468DB"/>
    <w:rsid w:val="0005279E"/>
    <w:rsid w:val="000552C6"/>
    <w:rsid w:val="0006487A"/>
    <w:rsid w:val="00065F8F"/>
    <w:rsid w:val="00070A43"/>
    <w:rsid w:val="000768F2"/>
    <w:rsid w:val="000804A5"/>
    <w:rsid w:val="0008657E"/>
    <w:rsid w:val="000913B5"/>
    <w:rsid w:val="0009184B"/>
    <w:rsid w:val="00094236"/>
    <w:rsid w:val="00094528"/>
    <w:rsid w:val="0009593C"/>
    <w:rsid w:val="00097177"/>
    <w:rsid w:val="00097322"/>
    <w:rsid w:val="000A6A92"/>
    <w:rsid w:val="000A7236"/>
    <w:rsid w:val="000B047F"/>
    <w:rsid w:val="000B1C18"/>
    <w:rsid w:val="000B1D2D"/>
    <w:rsid w:val="000B5923"/>
    <w:rsid w:val="000B5A48"/>
    <w:rsid w:val="000B6FF3"/>
    <w:rsid w:val="000C1B65"/>
    <w:rsid w:val="000C3467"/>
    <w:rsid w:val="000C3CA6"/>
    <w:rsid w:val="000D1128"/>
    <w:rsid w:val="000D1267"/>
    <w:rsid w:val="000D1D50"/>
    <w:rsid w:val="000D5782"/>
    <w:rsid w:val="000E3DC0"/>
    <w:rsid w:val="000E6613"/>
    <w:rsid w:val="000E7119"/>
    <w:rsid w:val="00101F71"/>
    <w:rsid w:val="001037EC"/>
    <w:rsid w:val="00107C9D"/>
    <w:rsid w:val="0011304C"/>
    <w:rsid w:val="00114E9B"/>
    <w:rsid w:val="00117BA1"/>
    <w:rsid w:val="001206C8"/>
    <w:rsid w:val="00122965"/>
    <w:rsid w:val="00123969"/>
    <w:rsid w:val="00124655"/>
    <w:rsid w:val="00142216"/>
    <w:rsid w:val="00144D6A"/>
    <w:rsid w:val="00145F75"/>
    <w:rsid w:val="0014729F"/>
    <w:rsid w:val="00157BAB"/>
    <w:rsid w:val="001654D1"/>
    <w:rsid w:val="00167067"/>
    <w:rsid w:val="00173143"/>
    <w:rsid w:val="00174518"/>
    <w:rsid w:val="00175990"/>
    <w:rsid w:val="00177342"/>
    <w:rsid w:val="0018106D"/>
    <w:rsid w:val="00182055"/>
    <w:rsid w:val="001877A7"/>
    <w:rsid w:val="00191536"/>
    <w:rsid w:val="001939C3"/>
    <w:rsid w:val="00193EBF"/>
    <w:rsid w:val="00196687"/>
    <w:rsid w:val="001A3303"/>
    <w:rsid w:val="001A387D"/>
    <w:rsid w:val="001A73CE"/>
    <w:rsid w:val="001C0962"/>
    <w:rsid w:val="001C6860"/>
    <w:rsid w:val="001D3233"/>
    <w:rsid w:val="001D5D39"/>
    <w:rsid w:val="001D7531"/>
    <w:rsid w:val="001E737D"/>
    <w:rsid w:val="001E7D4F"/>
    <w:rsid w:val="001F0592"/>
    <w:rsid w:val="001F7506"/>
    <w:rsid w:val="002006CD"/>
    <w:rsid w:val="00202B36"/>
    <w:rsid w:val="00204B7A"/>
    <w:rsid w:val="00204CDE"/>
    <w:rsid w:val="0021101A"/>
    <w:rsid w:val="00211808"/>
    <w:rsid w:val="00220536"/>
    <w:rsid w:val="00235629"/>
    <w:rsid w:val="00243E7F"/>
    <w:rsid w:val="00246314"/>
    <w:rsid w:val="00246C9A"/>
    <w:rsid w:val="00254A83"/>
    <w:rsid w:val="00260C38"/>
    <w:rsid w:val="002616C0"/>
    <w:rsid w:val="002647CD"/>
    <w:rsid w:val="00265372"/>
    <w:rsid w:val="002661B4"/>
    <w:rsid w:val="002662AA"/>
    <w:rsid w:val="00280496"/>
    <w:rsid w:val="00283A86"/>
    <w:rsid w:val="002844F2"/>
    <w:rsid w:val="00287C92"/>
    <w:rsid w:val="00294DC9"/>
    <w:rsid w:val="00295495"/>
    <w:rsid w:val="00295C34"/>
    <w:rsid w:val="002A31DE"/>
    <w:rsid w:val="002A70B5"/>
    <w:rsid w:val="002B2613"/>
    <w:rsid w:val="002B3AD5"/>
    <w:rsid w:val="002B6ACF"/>
    <w:rsid w:val="002B790E"/>
    <w:rsid w:val="002B7C7B"/>
    <w:rsid w:val="002D3FAB"/>
    <w:rsid w:val="002D4F40"/>
    <w:rsid w:val="002D6D05"/>
    <w:rsid w:val="002E0529"/>
    <w:rsid w:val="002F1818"/>
    <w:rsid w:val="002F3E38"/>
    <w:rsid w:val="002F4E4F"/>
    <w:rsid w:val="002F567B"/>
    <w:rsid w:val="002F7378"/>
    <w:rsid w:val="00311CC4"/>
    <w:rsid w:val="003161F3"/>
    <w:rsid w:val="003216A9"/>
    <w:rsid w:val="00323C08"/>
    <w:rsid w:val="00324E2B"/>
    <w:rsid w:val="00330B6C"/>
    <w:rsid w:val="00335A74"/>
    <w:rsid w:val="00341DE5"/>
    <w:rsid w:val="0035436E"/>
    <w:rsid w:val="0036561B"/>
    <w:rsid w:val="00365FEB"/>
    <w:rsid w:val="0037013F"/>
    <w:rsid w:val="00376D4B"/>
    <w:rsid w:val="0038038A"/>
    <w:rsid w:val="00380C92"/>
    <w:rsid w:val="0038415B"/>
    <w:rsid w:val="00391DCE"/>
    <w:rsid w:val="0039523D"/>
    <w:rsid w:val="003A0428"/>
    <w:rsid w:val="003A484F"/>
    <w:rsid w:val="003A4883"/>
    <w:rsid w:val="003B0BE0"/>
    <w:rsid w:val="003B0C1B"/>
    <w:rsid w:val="003B688C"/>
    <w:rsid w:val="003C0291"/>
    <w:rsid w:val="003C39AE"/>
    <w:rsid w:val="003C7B60"/>
    <w:rsid w:val="003D0C0F"/>
    <w:rsid w:val="003D1FB2"/>
    <w:rsid w:val="003D5174"/>
    <w:rsid w:val="003D66DA"/>
    <w:rsid w:val="003D6DDB"/>
    <w:rsid w:val="003E1310"/>
    <w:rsid w:val="003E4A8D"/>
    <w:rsid w:val="003E6F55"/>
    <w:rsid w:val="003F7BE4"/>
    <w:rsid w:val="00404C3C"/>
    <w:rsid w:val="00406254"/>
    <w:rsid w:val="00416C2A"/>
    <w:rsid w:val="004223DE"/>
    <w:rsid w:val="00422809"/>
    <w:rsid w:val="00434489"/>
    <w:rsid w:val="00437085"/>
    <w:rsid w:val="00443880"/>
    <w:rsid w:val="004464F4"/>
    <w:rsid w:val="004572AC"/>
    <w:rsid w:val="004630CA"/>
    <w:rsid w:val="00466BD1"/>
    <w:rsid w:val="00471401"/>
    <w:rsid w:val="00473BCF"/>
    <w:rsid w:val="00473F31"/>
    <w:rsid w:val="004748DB"/>
    <w:rsid w:val="0048263A"/>
    <w:rsid w:val="00487E5D"/>
    <w:rsid w:val="00493040"/>
    <w:rsid w:val="00495A5E"/>
    <w:rsid w:val="004A711F"/>
    <w:rsid w:val="004B199D"/>
    <w:rsid w:val="004B4690"/>
    <w:rsid w:val="004C6195"/>
    <w:rsid w:val="004E0A2D"/>
    <w:rsid w:val="004E206B"/>
    <w:rsid w:val="004E24EF"/>
    <w:rsid w:val="004E6DF7"/>
    <w:rsid w:val="004F0FBD"/>
    <w:rsid w:val="004F283C"/>
    <w:rsid w:val="00504037"/>
    <w:rsid w:val="00505A47"/>
    <w:rsid w:val="00512FDA"/>
    <w:rsid w:val="00520DA0"/>
    <w:rsid w:val="005216DE"/>
    <w:rsid w:val="00526232"/>
    <w:rsid w:val="005304A3"/>
    <w:rsid w:val="00534226"/>
    <w:rsid w:val="0053689B"/>
    <w:rsid w:val="0055214B"/>
    <w:rsid w:val="00561236"/>
    <w:rsid w:val="005664BB"/>
    <w:rsid w:val="00566FFA"/>
    <w:rsid w:val="0057481D"/>
    <w:rsid w:val="00582A64"/>
    <w:rsid w:val="0058486E"/>
    <w:rsid w:val="00585B33"/>
    <w:rsid w:val="0059014D"/>
    <w:rsid w:val="005917FF"/>
    <w:rsid w:val="00592146"/>
    <w:rsid w:val="005A0B3F"/>
    <w:rsid w:val="005A1072"/>
    <w:rsid w:val="005A7820"/>
    <w:rsid w:val="005B0CD1"/>
    <w:rsid w:val="005B16EF"/>
    <w:rsid w:val="005B5C64"/>
    <w:rsid w:val="005C1356"/>
    <w:rsid w:val="005C1AAF"/>
    <w:rsid w:val="005C5337"/>
    <w:rsid w:val="005C5531"/>
    <w:rsid w:val="005C6BD0"/>
    <w:rsid w:val="005C7555"/>
    <w:rsid w:val="005D1C8B"/>
    <w:rsid w:val="005D266F"/>
    <w:rsid w:val="005D468D"/>
    <w:rsid w:val="005D5CED"/>
    <w:rsid w:val="005D6B00"/>
    <w:rsid w:val="005E42F1"/>
    <w:rsid w:val="005F1A4C"/>
    <w:rsid w:val="005F21EA"/>
    <w:rsid w:val="00605688"/>
    <w:rsid w:val="00606D8C"/>
    <w:rsid w:val="006070AF"/>
    <w:rsid w:val="00607E6C"/>
    <w:rsid w:val="006101B1"/>
    <w:rsid w:val="006116A0"/>
    <w:rsid w:val="00611D44"/>
    <w:rsid w:val="0061415B"/>
    <w:rsid w:val="00614E44"/>
    <w:rsid w:val="006158B5"/>
    <w:rsid w:val="0062270A"/>
    <w:rsid w:val="00622830"/>
    <w:rsid w:val="00623DA0"/>
    <w:rsid w:val="00623F0C"/>
    <w:rsid w:val="00624A4F"/>
    <w:rsid w:val="00630AEF"/>
    <w:rsid w:val="006325F8"/>
    <w:rsid w:val="00633463"/>
    <w:rsid w:val="00634320"/>
    <w:rsid w:val="00634C9A"/>
    <w:rsid w:val="006440E4"/>
    <w:rsid w:val="00654F37"/>
    <w:rsid w:val="0066343B"/>
    <w:rsid w:val="00664777"/>
    <w:rsid w:val="00666936"/>
    <w:rsid w:val="00672CD8"/>
    <w:rsid w:val="006748A4"/>
    <w:rsid w:val="00677724"/>
    <w:rsid w:val="00681A31"/>
    <w:rsid w:val="00683E73"/>
    <w:rsid w:val="00697A4F"/>
    <w:rsid w:val="006A285A"/>
    <w:rsid w:val="006A3141"/>
    <w:rsid w:val="006A4AA8"/>
    <w:rsid w:val="006A5E34"/>
    <w:rsid w:val="006B08E7"/>
    <w:rsid w:val="006B2422"/>
    <w:rsid w:val="006B2B9A"/>
    <w:rsid w:val="006B456E"/>
    <w:rsid w:val="006C1937"/>
    <w:rsid w:val="006C61C6"/>
    <w:rsid w:val="006C6226"/>
    <w:rsid w:val="006D1E55"/>
    <w:rsid w:val="006E0BB4"/>
    <w:rsid w:val="006E251F"/>
    <w:rsid w:val="006E4460"/>
    <w:rsid w:val="006F020C"/>
    <w:rsid w:val="00705BFF"/>
    <w:rsid w:val="00707669"/>
    <w:rsid w:val="007127B7"/>
    <w:rsid w:val="00714485"/>
    <w:rsid w:val="00714C4D"/>
    <w:rsid w:val="0071798E"/>
    <w:rsid w:val="007401A9"/>
    <w:rsid w:val="007416B6"/>
    <w:rsid w:val="00746F48"/>
    <w:rsid w:val="00750882"/>
    <w:rsid w:val="0075404D"/>
    <w:rsid w:val="0076182A"/>
    <w:rsid w:val="00761A08"/>
    <w:rsid w:val="00763852"/>
    <w:rsid w:val="0076788D"/>
    <w:rsid w:val="00767B7E"/>
    <w:rsid w:val="007734CE"/>
    <w:rsid w:val="007770C3"/>
    <w:rsid w:val="00784D24"/>
    <w:rsid w:val="00785FBA"/>
    <w:rsid w:val="00786E4A"/>
    <w:rsid w:val="007875EB"/>
    <w:rsid w:val="00792A1A"/>
    <w:rsid w:val="0079426B"/>
    <w:rsid w:val="007B030F"/>
    <w:rsid w:val="007B49F8"/>
    <w:rsid w:val="007B52A8"/>
    <w:rsid w:val="007B674D"/>
    <w:rsid w:val="007C0776"/>
    <w:rsid w:val="007D1682"/>
    <w:rsid w:val="007D312A"/>
    <w:rsid w:val="007D3F19"/>
    <w:rsid w:val="007D7B3F"/>
    <w:rsid w:val="007E23B0"/>
    <w:rsid w:val="007E23E5"/>
    <w:rsid w:val="007F1991"/>
    <w:rsid w:val="007F2C2F"/>
    <w:rsid w:val="007F55FC"/>
    <w:rsid w:val="007F5665"/>
    <w:rsid w:val="007F5AAB"/>
    <w:rsid w:val="00800112"/>
    <w:rsid w:val="0080171F"/>
    <w:rsid w:val="008120EE"/>
    <w:rsid w:val="008122DA"/>
    <w:rsid w:val="0081283A"/>
    <w:rsid w:val="00813348"/>
    <w:rsid w:val="00820566"/>
    <w:rsid w:val="008253BB"/>
    <w:rsid w:val="00832115"/>
    <w:rsid w:val="00835E6A"/>
    <w:rsid w:val="0083706E"/>
    <w:rsid w:val="008408F6"/>
    <w:rsid w:val="008423A5"/>
    <w:rsid w:val="00850625"/>
    <w:rsid w:val="008521E9"/>
    <w:rsid w:val="00852AB6"/>
    <w:rsid w:val="00853718"/>
    <w:rsid w:val="008537D1"/>
    <w:rsid w:val="00854DC5"/>
    <w:rsid w:val="00855221"/>
    <w:rsid w:val="008577D5"/>
    <w:rsid w:val="00860645"/>
    <w:rsid w:val="00860DD0"/>
    <w:rsid w:val="00863162"/>
    <w:rsid w:val="00867AA0"/>
    <w:rsid w:val="00871F71"/>
    <w:rsid w:val="00872FD8"/>
    <w:rsid w:val="00873728"/>
    <w:rsid w:val="008815AD"/>
    <w:rsid w:val="008818DF"/>
    <w:rsid w:val="00882EBD"/>
    <w:rsid w:val="00884CEF"/>
    <w:rsid w:val="00885AF4"/>
    <w:rsid w:val="008912B4"/>
    <w:rsid w:val="008939CD"/>
    <w:rsid w:val="00893B7F"/>
    <w:rsid w:val="008A0AA1"/>
    <w:rsid w:val="008A6A5F"/>
    <w:rsid w:val="008B4F91"/>
    <w:rsid w:val="008B5A22"/>
    <w:rsid w:val="008B768C"/>
    <w:rsid w:val="008C12FB"/>
    <w:rsid w:val="008C2C06"/>
    <w:rsid w:val="008C33B5"/>
    <w:rsid w:val="008C4DB1"/>
    <w:rsid w:val="008C4EAF"/>
    <w:rsid w:val="008C5176"/>
    <w:rsid w:val="008C6F52"/>
    <w:rsid w:val="008C7FD0"/>
    <w:rsid w:val="008D4B89"/>
    <w:rsid w:val="008D6385"/>
    <w:rsid w:val="008E1903"/>
    <w:rsid w:val="008E1DE7"/>
    <w:rsid w:val="008E50CD"/>
    <w:rsid w:val="008E707C"/>
    <w:rsid w:val="008F59EF"/>
    <w:rsid w:val="00900B08"/>
    <w:rsid w:val="00901B92"/>
    <w:rsid w:val="00902155"/>
    <w:rsid w:val="00902457"/>
    <w:rsid w:val="00902FA3"/>
    <w:rsid w:val="00905BB1"/>
    <w:rsid w:val="009146E1"/>
    <w:rsid w:val="00923564"/>
    <w:rsid w:val="0092392E"/>
    <w:rsid w:val="00924CC6"/>
    <w:rsid w:val="009315F9"/>
    <w:rsid w:val="009324BF"/>
    <w:rsid w:val="00933499"/>
    <w:rsid w:val="00935C98"/>
    <w:rsid w:val="00946945"/>
    <w:rsid w:val="00946D82"/>
    <w:rsid w:val="00951248"/>
    <w:rsid w:val="0095152F"/>
    <w:rsid w:val="00954C49"/>
    <w:rsid w:val="00955CB8"/>
    <w:rsid w:val="00955E37"/>
    <w:rsid w:val="00967827"/>
    <w:rsid w:val="0097099F"/>
    <w:rsid w:val="00971997"/>
    <w:rsid w:val="00971DF8"/>
    <w:rsid w:val="00971FFC"/>
    <w:rsid w:val="0098329B"/>
    <w:rsid w:val="00985584"/>
    <w:rsid w:val="0098660A"/>
    <w:rsid w:val="00990E13"/>
    <w:rsid w:val="00992C27"/>
    <w:rsid w:val="009931C3"/>
    <w:rsid w:val="009A3F7A"/>
    <w:rsid w:val="009B1D6A"/>
    <w:rsid w:val="009B2C43"/>
    <w:rsid w:val="009B4E4C"/>
    <w:rsid w:val="009B4EAE"/>
    <w:rsid w:val="009B6074"/>
    <w:rsid w:val="009B7573"/>
    <w:rsid w:val="009C22F4"/>
    <w:rsid w:val="009C2A4B"/>
    <w:rsid w:val="009C2E98"/>
    <w:rsid w:val="009D3447"/>
    <w:rsid w:val="009D4711"/>
    <w:rsid w:val="009F1185"/>
    <w:rsid w:val="009F18CD"/>
    <w:rsid w:val="009F2A13"/>
    <w:rsid w:val="009F365F"/>
    <w:rsid w:val="009F7527"/>
    <w:rsid w:val="00A03D66"/>
    <w:rsid w:val="00A04EB0"/>
    <w:rsid w:val="00A063D9"/>
    <w:rsid w:val="00A078B4"/>
    <w:rsid w:val="00A12AFA"/>
    <w:rsid w:val="00A13CC1"/>
    <w:rsid w:val="00A15B8A"/>
    <w:rsid w:val="00A15F27"/>
    <w:rsid w:val="00A16847"/>
    <w:rsid w:val="00A237D8"/>
    <w:rsid w:val="00A268C4"/>
    <w:rsid w:val="00A307CD"/>
    <w:rsid w:val="00A331C8"/>
    <w:rsid w:val="00A33ED7"/>
    <w:rsid w:val="00A34971"/>
    <w:rsid w:val="00A36301"/>
    <w:rsid w:val="00A40A00"/>
    <w:rsid w:val="00A4142F"/>
    <w:rsid w:val="00A422EB"/>
    <w:rsid w:val="00A45A48"/>
    <w:rsid w:val="00A45BB7"/>
    <w:rsid w:val="00A47943"/>
    <w:rsid w:val="00A51802"/>
    <w:rsid w:val="00A54918"/>
    <w:rsid w:val="00A56410"/>
    <w:rsid w:val="00A56DF2"/>
    <w:rsid w:val="00A56E6E"/>
    <w:rsid w:val="00A60B8F"/>
    <w:rsid w:val="00A67AB5"/>
    <w:rsid w:val="00A733B2"/>
    <w:rsid w:val="00A741C2"/>
    <w:rsid w:val="00A75560"/>
    <w:rsid w:val="00A75F05"/>
    <w:rsid w:val="00A76868"/>
    <w:rsid w:val="00A806E7"/>
    <w:rsid w:val="00A834CC"/>
    <w:rsid w:val="00A8705A"/>
    <w:rsid w:val="00A91760"/>
    <w:rsid w:val="00A924D8"/>
    <w:rsid w:val="00A93B00"/>
    <w:rsid w:val="00A93C21"/>
    <w:rsid w:val="00A97950"/>
    <w:rsid w:val="00AB1E37"/>
    <w:rsid w:val="00AB467D"/>
    <w:rsid w:val="00AB64C9"/>
    <w:rsid w:val="00AB722B"/>
    <w:rsid w:val="00AC1F8A"/>
    <w:rsid w:val="00AC3C6A"/>
    <w:rsid w:val="00AC730B"/>
    <w:rsid w:val="00AD1091"/>
    <w:rsid w:val="00AD436C"/>
    <w:rsid w:val="00AD5620"/>
    <w:rsid w:val="00AD5DBB"/>
    <w:rsid w:val="00AD656B"/>
    <w:rsid w:val="00AD7C1B"/>
    <w:rsid w:val="00AE16BA"/>
    <w:rsid w:val="00AE1EBE"/>
    <w:rsid w:val="00AF16A7"/>
    <w:rsid w:val="00AF3226"/>
    <w:rsid w:val="00AF46DC"/>
    <w:rsid w:val="00B03C9D"/>
    <w:rsid w:val="00B060AE"/>
    <w:rsid w:val="00B10517"/>
    <w:rsid w:val="00B14E76"/>
    <w:rsid w:val="00B161B8"/>
    <w:rsid w:val="00B2048C"/>
    <w:rsid w:val="00B30312"/>
    <w:rsid w:val="00B310B9"/>
    <w:rsid w:val="00B332E0"/>
    <w:rsid w:val="00B35F3F"/>
    <w:rsid w:val="00B36CBB"/>
    <w:rsid w:val="00B4249D"/>
    <w:rsid w:val="00B425E0"/>
    <w:rsid w:val="00B440AA"/>
    <w:rsid w:val="00B44B70"/>
    <w:rsid w:val="00B47366"/>
    <w:rsid w:val="00B53C56"/>
    <w:rsid w:val="00B54522"/>
    <w:rsid w:val="00B54FF7"/>
    <w:rsid w:val="00B55D98"/>
    <w:rsid w:val="00B565C8"/>
    <w:rsid w:val="00B57DAF"/>
    <w:rsid w:val="00B74349"/>
    <w:rsid w:val="00B7740E"/>
    <w:rsid w:val="00B77EA6"/>
    <w:rsid w:val="00B81210"/>
    <w:rsid w:val="00B81598"/>
    <w:rsid w:val="00B828FA"/>
    <w:rsid w:val="00B841F1"/>
    <w:rsid w:val="00B854E3"/>
    <w:rsid w:val="00B944D6"/>
    <w:rsid w:val="00B94FEC"/>
    <w:rsid w:val="00BA60E4"/>
    <w:rsid w:val="00BB4DF0"/>
    <w:rsid w:val="00BC100C"/>
    <w:rsid w:val="00BC289F"/>
    <w:rsid w:val="00BC2D50"/>
    <w:rsid w:val="00BC5361"/>
    <w:rsid w:val="00BC5460"/>
    <w:rsid w:val="00BC6B50"/>
    <w:rsid w:val="00BD0E25"/>
    <w:rsid w:val="00BD148C"/>
    <w:rsid w:val="00BD406D"/>
    <w:rsid w:val="00BD5C30"/>
    <w:rsid w:val="00BE19ED"/>
    <w:rsid w:val="00BF5BD6"/>
    <w:rsid w:val="00BF6287"/>
    <w:rsid w:val="00BF6FB6"/>
    <w:rsid w:val="00C03E31"/>
    <w:rsid w:val="00C055D9"/>
    <w:rsid w:val="00C10B52"/>
    <w:rsid w:val="00C24158"/>
    <w:rsid w:val="00C322F7"/>
    <w:rsid w:val="00C33E72"/>
    <w:rsid w:val="00C34810"/>
    <w:rsid w:val="00C354B2"/>
    <w:rsid w:val="00C35554"/>
    <w:rsid w:val="00C42709"/>
    <w:rsid w:val="00C5024C"/>
    <w:rsid w:val="00C51713"/>
    <w:rsid w:val="00C533CC"/>
    <w:rsid w:val="00C5751C"/>
    <w:rsid w:val="00C61BFC"/>
    <w:rsid w:val="00C62B85"/>
    <w:rsid w:val="00C65438"/>
    <w:rsid w:val="00C819A2"/>
    <w:rsid w:val="00C83480"/>
    <w:rsid w:val="00C850D2"/>
    <w:rsid w:val="00C87FD8"/>
    <w:rsid w:val="00C9071F"/>
    <w:rsid w:val="00C90BCD"/>
    <w:rsid w:val="00C91381"/>
    <w:rsid w:val="00C91CBB"/>
    <w:rsid w:val="00C9290B"/>
    <w:rsid w:val="00C92EC5"/>
    <w:rsid w:val="00CA78CB"/>
    <w:rsid w:val="00CB4E70"/>
    <w:rsid w:val="00CB5103"/>
    <w:rsid w:val="00CB74D6"/>
    <w:rsid w:val="00CC09B6"/>
    <w:rsid w:val="00CC666F"/>
    <w:rsid w:val="00CD1E3F"/>
    <w:rsid w:val="00CE1390"/>
    <w:rsid w:val="00CE44F6"/>
    <w:rsid w:val="00CE49DA"/>
    <w:rsid w:val="00CE7B61"/>
    <w:rsid w:val="00CE7D96"/>
    <w:rsid w:val="00CF2383"/>
    <w:rsid w:val="00D00095"/>
    <w:rsid w:val="00D02F43"/>
    <w:rsid w:val="00D114F0"/>
    <w:rsid w:val="00D12C89"/>
    <w:rsid w:val="00D17043"/>
    <w:rsid w:val="00D203FC"/>
    <w:rsid w:val="00D20620"/>
    <w:rsid w:val="00D22E6C"/>
    <w:rsid w:val="00D254F7"/>
    <w:rsid w:val="00D26091"/>
    <w:rsid w:val="00D2685C"/>
    <w:rsid w:val="00D26ED5"/>
    <w:rsid w:val="00D30B68"/>
    <w:rsid w:val="00D34E7C"/>
    <w:rsid w:val="00D35489"/>
    <w:rsid w:val="00D36AFE"/>
    <w:rsid w:val="00D51276"/>
    <w:rsid w:val="00D536CF"/>
    <w:rsid w:val="00D55283"/>
    <w:rsid w:val="00D57BEE"/>
    <w:rsid w:val="00D618E2"/>
    <w:rsid w:val="00D64988"/>
    <w:rsid w:val="00D7035F"/>
    <w:rsid w:val="00D77F80"/>
    <w:rsid w:val="00D83DF7"/>
    <w:rsid w:val="00D86E44"/>
    <w:rsid w:val="00D90F81"/>
    <w:rsid w:val="00D96D89"/>
    <w:rsid w:val="00DA4B8A"/>
    <w:rsid w:val="00DA634F"/>
    <w:rsid w:val="00DA65AC"/>
    <w:rsid w:val="00DB1913"/>
    <w:rsid w:val="00DB422E"/>
    <w:rsid w:val="00DB5094"/>
    <w:rsid w:val="00DB74FA"/>
    <w:rsid w:val="00DC410D"/>
    <w:rsid w:val="00DC510E"/>
    <w:rsid w:val="00DC5A81"/>
    <w:rsid w:val="00DC661E"/>
    <w:rsid w:val="00DC68CA"/>
    <w:rsid w:val="00DC7CBA"/>
    <w:rsid w:val="00DD73B7"/>
    <w:rsid w:val="00DE0ECE"/>
    <w:rsid w:val="00DE3164"/>
    <w:rsid w:val="00DF0941"/>
    <w:rsid w:val="00DF0E71"/>
    <w:rsid w:val="00DF19A9"/>
    <w:rsid w:val="00DF1E10"/>
    <w:rsid w:val="00DF28BC"/>
    <w:rsid w:val="00DF34B9"/>
    <w:rsid w:val="00E01053"/>
    <w:rsid w:val="00E024F7"/>
    <w:rsid w:val="00E03A58"/>
    <w:rsid w:val="00E05F70"/>
    <w:rsid w:val="00E062EC"/>
    <w:rsid w:val="00E07ACF"/>
    <w:rsid w:val="00E07CB0"/>
    <w:rsid w:val="00E124FB"/>
    <w:rsid w:val="00E16599"/>
    <w:rsid w:val="00E20F2C"/>
    <w:rsid w:val="00E2227E"/>
    <w:rsid w:val="00E2628E"/>
    <w:rsid w:val="00E331A1"/>
    <w:rsid w:val="00E33202"/>
    <w:rsid w:val="00E336A9"/>
    <w:rsid w:val="00E35438"/>
    <w:rsid w:val="00E472B1"/>
    <w:rsid w:val="00E47FB8"/>
    <w:rsid w:val="00E50624"/>
    <w:rsid w:val="00E52F67"/>
    <w:rsid w:val="00E568DF"/>
    <w:rsid w:val="00E56F1C"/>
    <w:rsid w:val="00E64269"/>
    <w:rsid w:val="00E65B2B"/>
    <w:rsid w:val="00E72FBA"/>
    <w:rsid w:val="00E82267"/>
    <w:rsid w:val="00E8280E"/>
    <w:rsid w:val="00E83D60"/>
    <w:rsid w:val="00E853CE"/>
    <w:rsid w:val="00E867B6"/>
    <w:rsid w:val="00E91E56"/>
    <w:rsid w:val="00EA00F7"/>
    <w:rsid w:val="00EA010F"/>
    <w:rsid w:val="00EA2658"/>
    <w:rsid w:val="00EB37BE"/>
    <w:rsid w:val="00EB3D86"/>
    <w:rsid w:val="00EB434E"/>
    <w:rsid w:val="00EB66B6"/>
    <w:rsid w:val="00EC072E"/>
    <w:rsid w:val="00ED1390"/>
    <w:rsid w:val="00ED1B63"/>
    <w:rsid w:val="00ED3C1F"/>
    <w:rsid w:val="00ED4085"/>
    <w:rsid w:val="00ED420E"/>
    <w:rsid w:val="00ED6FBE"/>
    <w:rsid w:val="00EE1362"/>
    <w:rsid w:val="00EE2F57"/>
    <w:rsid w:val="00EE4E21"/>
    <w:rsid w:val="00EF4C34"/>
    <w:rsid w:val="00EF77C6"/>
    <w:rsid w:val="00F00F47"/>
    <w:rsid w:val="00F02F76"/>
    <w:rsid w:val="00F04DF2"/>
    <w:rsid w:val="00F05438"/>
    <w:rsid w:val="00F064F3"/>
    <w:rsid w:val="00F12A33"/>
    <w:rsid w:val="00F1361C"/>
    <w:rsid w:val="00F156F0"/>
    <w:rsid w:val="00F160C7"/>
    <w:rsid w:val="00F2408F"/>
    <w:rsid w:val="00F240E9"/>
    <w:rsid w:val="00F24B77"/>
    <w:rsid w:val="00F27148"/>
    <w:rsid w:val="00F2722B"/>
    <w:rsid w:val="00F34B6A"/>
    <w:rsid w:val="00F34CA6"/>
    <w:rsid w:val="00F359FA"/>
    <w:rsid w:val="00F35F0F"/>
    <w:rsid w:val="00F36D8F"/>
    <w:rsid w:val="00F417B1"/>
    <w:rsid w:val="00F45853"/>
    <w:rsid w:val="00F47372"/>
    <w:rsid w:val="00F602DF"/>
    <w:rsid w:val="00F754A1"/>
    <w:rsid w:val="00F766D0"/>
    <w:rsid w:val="00F81CDC"/>
    <w:rsid w:val="00F81FD9"/>
    <w:rsid w:val="00F825C5"/>
    <w:rsid w:val="00F841AA"/>
    <w:rsid w:val="00F84A94"/>
    <w:rsid w:val="00F87E96"/>
    <w:rsid w:val="00F93AFA"/>
    <w:rsid w:val="00FA23E8"/>
    <w:rsid w:val="00FB1243"/>
    <w:rsid w:val="00FB39CA"/>
    <w:rsid w:val="00FB60F6"/>
    <w:rsid w:val="00FB6BE8"/>
    <w:rsid w:val="00FB70F1"/>
    <w:rsid w:val="00FC22B2"/>
    <w:rsid w:val="00FC32E9"/>
    <w:rsid w:val="00FC5302"/>
    <w:rsid w:val="00FC698F"/>
    <w:rsid w:val="00FD3CC1"/>
    <w:rsid w:val="00FE366A"/>
    <w:rsid w:val="00FE6E51"/>
    <w:rsid w:val="00FF0581"/>
    <w:rsid w:val="00FF1E02"/>
    <w:rsid w:val="00FF30B4"/>
    <w:rsid w:val="00FF569E"/>
    <w:rsid w:val="012A0F21"/>
    <w:rsid w:val="029613F1"/>
    <w:rsid w:val="066E0107"/>
    <w:rsid w:val="067C6FD8"/>
    <w:rsid w:val="07603024"/>
    <w:rsid w:val="07996F6E"/>
    <w:rsid w:val="0A2032A3"/>
    <w:rsid w:val="0D9F12EA"/>
    <w:rsid w:val="101860EC"/>
    <w:rsid w:val="10C055FF"/>
    <w:rsid w:val="118107EC"/>
    <w:rsid w:val="13D50BC4"/>
    <w:rsid w:val="14E26729"/>
    <w:rsid w:val="16BB723D"/>
    <w:rsid w:val="19F01230"/>
    <w:rsid w:val="1A475C95"/>
    <w:rsid w:val="1B0302E1"/>
    <w:rsid w:val="1BE8440E"/>
    <w:rsid w:val="1CA3450A"/>
    <w:rsid w:val="1CFB0960"/>
    <w:rsid w:val="1D155CEE"/>
    <w:rsid w:val="200266EC"/>
    <w:rsid w:val="23860B96"/>
    <w:rsid w:val="240371BF"/>
    <w:rsid w:val="24C644BF"/>
    <w:rsid w:val="29FD04D3"/>
    <w:rsid w:val="2C8A61B5"/>
    <w:rsid w:val="2DF04E50"/>
    <w:rsid w:val="319F7F4E"/>
    <w:rsid w:val="36AA5135"/>
    <w:rsid w:val="37E16F03"/>
    <w:rsid w:val="3ADD023E"/>
    <w:rsid w:val="3D98207C"/>
    <w:rsid w:val="44E268DA"/>
    <w:rsid w:val="4A627F82"/>
    <w:rsid w:val="4B4F25DA"/>
    <w:rsid w:val="4BE068DB"/>
    <w:rsid w:val="4C6035A7"/>
    <w:rsid w:val="4D577224"/>
    <w:rsid w:val="4EAB630A"/>
    <w:rsid w:val="4ECE2238"/>
    <w:rsid w:val="51A97066"/>
    <w:rsid w:val="5AF92295"/>
    <w:rsid w:val="5C6B141E"/>
    <w:rsid w:val="5CD71FC4"/>
    <w:rsid w:val="5DC945EB"/>
    <w:rsid w:val="5E693542"/>
    <w:rsid w:val="664624B3"/>
    <w:rsid w:val="6C4A05C8"/>
    <w:rsid w:val="6E7E3605"/>
    <w:rsid w:val="6FF5CC65"/>
    <w:rsid w:val="715C0E4B"/>
    <w:rsid w:val="72734D90"/>
    <w:rsid w:val="73AD73D5"/>
    <w:rsid w:val="73B6EB34"/>
    <w:rsid w:val="79EE5BA4"/>
    <w:rsid w:val="7A894339"/>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link w:val="35"/>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w:basedOn w:val="2"/>
    <w:link w:val="34"/>
    <w:unhideWhenUsed/>
    <w:qFormat/>
    <w:uiPriority w:val="99"/>
    <w:pPr>
      <w:spacing w:beforeLines="0" w:after="120"/>
      <w:ind w:firstLine="420" w:firstLineChars="100"/>
    </w:pPr>
    <w:rPr>
      <w:rFonts w:ascii="Times New Roman" w:eastAsia="宋体"/>
      <w:kern w:val="2"/>
      <w:sz w:val="21"/>
    </w:rPr>
  </w:style>
  <w:style w:type="paragraph" w:styleId="14">
    <w:name w:val="Body Text First Indent 2"/>
    <w:basedOn w:val="6"/>
    <w:link w:val="36"/>
    <w:semiHidden/>
    <w:unhideWhenUsed/>
    <w:qFormat/>
    <w:uiPriority w:val="0"/>
    <w:pPr>
      <w:ind w:firstLine="420" w:firstLineChars="200"/>
    </w:pPr>
    <w:rPr>
      <w:rFonts w:eastAsia="Times New Roman"/>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无间隔1"/>
    <w:qFormat/>
    <w:uiPriority w:val="1"/>
    <w:pPr>
      <w:widowControl w:val="0"/>
      <w:jc w:val="both"/>
    </w:pPr>
    <w:rPr>
      <w:rFonts w:ascii="Calibri" w:hAnsi="Calibri" w:eastAsia="宋体" w:cs="Times New Roman"/>
      <w:kern w:val="2"/>
      <w:sz w:val="21"/>
      <w:szCs w:val="24"/>
      <w:lang w:val="en-US" w:eastAsia="zh-CN" w:bidi="ar-SA"/>
    </w:rPr>
  </w:style>
  <w:style w:type="character" w:customStyle="1" w:styleId="34">
    <w:name w:val="正文首行缩进 Char"/>
    <w:basedOn w:val="24"/>
    <w:link w:val="13"/>
    <w:uiPriority w:val="99"/>
    <w:rPr>
      <w:rFonts w:ascii="Times New Roman" w:hAnsi="Times New Roman" w:eastAsia="宋体" w:cs="Times New Roman"/>
      <w:kern w:val="2"/>
      <w:sz w:val="21"/>
      <w:szCs w:val="24"/>
    </w:rPr>
  </w:style>
  <w:style w:type="character" w:customStyle="1" w:styleId="35">
    <w:name w:val="正文文本缩进 Char"/>
    <w:basedOn w:val="16"/>
    <w:link w:val="6"/>
    <w:semiHidden/>
    <w:uiPriority w:val="99"/>
    <w:rPr>
      <w:rFonts w:ascii="Times New Roman" w:hAnsi="Times New Roman" w:eastAsia="宋体" w:cs="Times New Roman"/>
      <w:kern w:val="2"/>
      <w:sz w:val="21"/>
      <w:szCs w:val="24"/>
    </w:rPr>
  </w:style>
  <w:style w:type="character" w:customStyle="1" w:styleId="36">
    <w:name w:val="正文首行缩进 2 Char"/>
    <w:basedOn w:val="35"/>
    <w:link w:val="14"/>
    <w:semiHidden/>
    <w:uiPriority w:val="0"/>
    <w:rPr>
      <w:rFonts w:ascii="Times New Roman" w:hAnsi="Times New Roman" w:eastAsia="Times New Roman" w:cs="Times New Roman"/>
      <w:kern w:val="2"/>
      <w:sz w:val="21"/>
      <w:szCs w:val="24"/>
    </w:rPr>
  </w:style>
  <w:style w:type="paragraph" w:customStyle="1" w:styleId="37">
    <w:name w:val="样式1"/>
    <w:basedOn w:val="1"/>
    <w:qFormat/>
    <w:uiPriority w:val="0"/>
    <w:rPr>
      <w:b/>
      <w:color w:val="538135"/>
      <w:sz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收入总计</c:v>
                </c:pt>
                <c:pt idx="1">
                  <c:v>支出总计</c:v>
                </c:pt>
              </c:strCache>
            </c:strRef>
          </c:cat>
          <c:val>
            <c:numRef>
              <c:f>Sheet1!$B$2:$B$3</c:f>
              <c:numCache>
                <c:formatCode>General</c:formatCode>
                <c:ptCount val="2"/>
                <c:pt idx="0">
                  <c:v>834.12</c:v>
                </c:pt>
                <c:pt idx="1">
                  <c:v>991.94</c:v>
                </c:pt>
              </c:numCache>
            </c:numRef>
          </c:val>
        </c:ser>
        <c:ser>
          <c:idx val="1"/>
          <c:order val="1"/>
          <c:tx>
            <c:strRef>
              <c:f>Sheet1!$C$1</c:f>
              <c:strCache>
                <c:ptCount val="1"/>
                <c:pt idx="0">
                  <c:v>2021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收入总计</c:v>
                </c:pt>
                <c:pt idx="1">
                  <c:v>支出总计</c:v>
                </c:pt>
              </c:strCache>
            </c:strRef>
          </c:cat>
          <c:val>
            <c:numRef>
              <c:f>Sheet1!$C$2:$C$3</c:f>
              <c:numCache>
                <c:formatCode>General</c:formatCode>
                <c:ptCount val="2"/>
                <c:pt idx="0">
                  <c:v>562.56</c:v>
                </c:pt>
                <c:pt idx="1">
                  <c:v>591.45</c:v>
                </c:pt>
              </c:numCache>
            </c:numRef>
          </c:val>
        </c:ser>
        <c:dLbls>
          <c:showLegendKey val="0"/>
          <c:showVal val="1"/>
          <c:showCatName val="0"/>
          <c:showSerName val="0"/>
          <c:showPercent val="0"/>
          <c:showBubbleSize val="0"/>
        </c:dLbls>
        <c:gapWidth val="150"/>
        <c:axId val="172369792"/>
        <c:axId val="172373120"/>
      </c:barChart>
      <c:catAx>
        <c:axId val="1723697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373120"/>
        <c:crosses val="autoZero"/>
        <c:auto val="1"/>
        <c:lblAlgn val="ctr"/>
        <c:lblOffset val="100"/>
        <c:noMultiLvlLbl val="0"/>
      </c:catAx>
      <c:valAx>
        <c:axId val="1723731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3697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752.25</c:v>
                </c:pt>
                <c:pt idx="1">
                  <c:v>81.87</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446.97</c:v>
                </c:pt>
                <c:pt idx="1">
                  <c:v>544.97</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政拨款收入总计</c:v>
                </c:pt>
                <c:pt idx="1">
                  <c:v>财政拨款支出总计</c:v>
                </c:pt>
              </c:strCache>
            </c:strRef>
          </c:cat>
          <c:val>
            <c:numRef>
              <c:f>Sheet1!$B$2:$B$3</c:f>
              <c:numCache>
                <c:formatCode>General</c:formatCode>
                <c:ptCount val="2"/>
                <c:pt idx="0">
                  <c:v>834.12</c:v>
                </c:pt>
                <c:pt idx="1">
                  <c:v>991.94</c:v>
                </c:pt>
              </c:numCache>
            </c:numRef>
          </c:val>
        </c:ser>
        <c:ser>
          <c:idx val="1"/>
          <c:order val="1"/>
          <c:tx>
            <c:strRef>
              <c:f>Sheet1!$C$1</c:f>
              <c:strCache>
                <c:ptCount val="1"/>
                <c:pt idx="0">
                  <c:v>2021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政拨款收入总计</c:v>
                </c:pt>
                <c:pt idx="1">
                  <c:v>财政拨款支出总计</c:v>
                </c:pt>
              </c:strCache>
            </c:strRef>
          </c:cat>
          <c:val>
            <c:numRef>
              <c:f>Sheet1!$C$2:$C$3</c:f>
              <c:numCache>
                <c:formatCode>General</c:formatCode>
                <c:ptCount val="2"/>
                <c:pt idx="0">
                  <c:v>562.56</c:v>
                </c:pt>
                <c:pt idx="1">
                  <c:v>591.45</c:v>
                </c:pt>
              </c:numCache>
            </c:numRef>
          </c:val>
        </c:ser>
        <c:dLbls>
          <c:showLegendKey val="0"/>
          <c:showVal val="1"/>
          <c:showCatName val="0"/>
          <c:showSerName val="0"/>
          <c:showPercent val="0"/>
          <c:showBubbleSize val="0"/>
        </c:dLbls>
        <c:gapWidth val="150"/>
        <c:axId val="221755648"/>
        <c:axId val="218292224"/>
      </c:barChart>
      <c:catAx>
        <c:axId val="2217556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8292224"/>
        <c:crosses val="autoZero"/>
        <c:auto val="1"/>
        <c:lblAlgn val="ctr"/>
        <c:lblOffset val="100"/>
        <c:noMultiLvlLbl val="0"/>
      </c:catAx>
      <c:valAx>
        <c:axId val="2182922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17556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910.07</c:v>
                </c:pt>
              </c:numCache>
            </c:numRef>
          </c:val>
        </c:ser>
        <c:ser>
          <c:idx val="1"/>
          <c:order val="1"/>
          <c:tx>
            <c:strRef>
              <c:f>Sheet1!$C$1</c:f>
              <c:strCache>
                <c:ptCount val="1"/>
                <c:pt idx="0">
                  <c:v>2021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585.05</c:v>
                </c:pt>
              </c:numCache>
            </c:numRef>
          </c:val>
        </c:ser>
        <c:dLbls>
          <c:showLegendKey val="0"/>
          <c:showVal val="1"/>
          <c:showCatName val="0"/>
          <c:showSerName val="0"/>
          <c:showPercent val="0"/>
          <c:showBubbleSize val="0"/>
        </c:dLbls>
        <c:gapWidth val="150"/>
        <c:axId val="220578560"/>
        <c:axId val="220580096"/>
      </c:barChart>
      <c:catAx>
        <c:axId val="2205785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0580096"/>
        <c:crosses val="autoZero"/>
        <c:auto val="1"/>
        <c:lblAlgn val="ctr"/>
        <c:lblOffset val="100"/>
        <c:noMultiLvlLbl val="0"/>
      </c:catAx>
      <c:valAx>
        <c:axId val="2205800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05785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一般公共服务支出</c:v>
                </c:pt>
                <c:pt idx="1">
                  <c:v>文化旅游体育与传媒支出</c:v>
                </c:pt>
                <c:pt idx="2">
                  <c:v>社会保障和就业支出</c:v>
                </c:pt>
                <c:pt idx="3">
                  <c:v>卫生健康支出</c:v>
                </c:pt>
                <c:pt idx="4">
                  <c:v>住房保障支出</c:v>
                </c:pt>
                <c:pt idx="5">
                  <c:v>农林水支出</c:v>
                </c:pt>
              </c:strCache>
            </c:strRef>
          </c:cat>
          <c:val>
            <c:numRef>
              <c:f>Sheet1!$B$2:$B$7</c:f>
              <c:numCache>
                <c:formatCode>General</c:formatCode>
                <c:ptCount val="6"/>
                <c:pt idx="0">
                  <c:v>602.75</c:v>
                </c:pt>
                <c:pt idx="1">
                  <c:v>5</c:v>
                </c:pt>
                <c:pt idx="2">
                  <c:v>263.3</c:v>
                </c:pt>
                <c:pt idx="3">
                  <c:v>15.83</c:v>
                </c:pt>
                <c:pt idx="4">
                  <c:v>20.49</c:v>
                </c:pt>
                <c:pt idx="5">
                  <c:v>2.7</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1.16</c:v>
                </c:pt>
                <c:pt idx="2">
                  <c:v>0</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E708-A420-4E2E-95DD-DA0AD1EE0B2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2750</Words>
  <Characters>15677</Characters>
  <Lines>130</Lines>
  <Paragraphs>36</Paragraphs>
  <TotalTime>0</TotalTime>
  <ScaleCrop>false</ScaleCrop>
  <LinksUpToDate>false</LinksUpToDate>
  <CharactersWithSpaces>18391</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2022-10-09T08:20:00Z</dcterms:created>
  <dc:creator>曹颖</dc:creator>
  <cp:lastModifiedBy>河门口街道收发文</cp:lastModifiedBy>
  <cp:lastPrinted>2023-10-30T10:16:00Z</cp:lastPrinted>
  <dcterms:modified xsi:type="dcterms:W3CDTF">2024-10-16T02:23:53Z</dcterms:modified>
  <dc:title>四川省***</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B823359815B74CE88EB7162492517624</vt:lpwstr>
  </property>
</Properties>
</file>