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56B77">
      <w:pPr>
        <w:spacing w:line="0" w:lineRule="atLeas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年预算绩效管理情况说明</w:t>
      </w:r>
    </w:p>
    <w:p w14:paraId="38C5598B">
      <w:pPr>
        <w:spacing w:line="0" w:lineRule="atLeast"/>
        <w:jc w:val="center"/>
        <w:rPr>
          <w:rFonts w:ascii="方正小标宋_GBK" w:eastAsia="方正小标宋_GBK"/>
          <w:sz w:val="44"/>
          <w:szCs w:val="44"/>
        </w:rPr>
      </w:pPr>
    </w:p>
    <w:p w14:paraId="018F7B9C">
      <w:pPr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年，西区财政预算绩效管理工作在区委、区政府的正确领导下，在省、市财政部门的指导下，认真</w:t>
      </w:r>
      <w:r>
        <w:rPr>
          <w:rFonts w:ascii="Times New Roman" w:hAnsi="Times New Roman" w:eastAsia="仿宋_GB2312" w:cs="Times New Roman"/>
          <w:sz w:val="32"/>
          <w:szCs w:val="32"/>
        </w:rPr>
        <w:t>贯彻落实《中共四川省委 四川省人民政府关于全面实施预算绩效管理的实施意见》（川委发〔2019〕8号），积极推进预算绩效管理工作，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不断提高预算绩效管理工作的质量和水平，着力以提升财政资金绩效为主线，建立了</w:t>
      </w:r>
      <w:r>
        <w:rPr>
          <w:rFonts w:ascii="Times New Roman" w:hAnsi="Times New Roman" w:eastAsia="仿宋_GB2312" w:cs="Times New Roman"/>
          <w:sz w:val="32"/>
          <w:szCs w:val="32"/>
        </w:rPr>
        <w:t>全过程的预算绩效管理机制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，提升了财政资金使用效益，现将202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年预算绩效管理工作情况总结如下。</w:t>
      </w:r>
    </w:p>
    <w:p w14:paraId="402CEA61">
      <w:pPr>
        <w:numPr>
          <w:ilvl w:val="0"/>
          <w:numId w:val="1"/>
        </w:numPr>
        <w:spacing w:line="353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加强预算绩效管理体系建设</w:t>
      </w:r>
    </w:p>
    <w:p w14:paraId="4CC0D550">
      <w:pPr>
        <w:spacing w:line="353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作为推动和引领西区预算绩效管理的先锋部门，区财政局高度重视上级关于全面推进预算绩效管理的重大决策。我们从顶层制度建设、制定工作细则、加强宣传等几个方面入手，筑牢预算绩效管理根基，为预算绩效管理提供强有力的保障与指引，做好绩效管理的“行动指南”。</w:t>
      </w:r>
    </w:p>
    <w:p w14:paraId="21308E24">
      <w:pPr>
        <w:pStyle w:val="4"/>
        <w:widowControl/>
        <w:shd w:val="clear" w:color="auto" w:fill="FFFFFF"/>
        <w:spacing w:beforeAutospacing="0" w:afterAutospacing="0" w:line="353" w:lineRule="auto"/>
        <w:ind w:firstLine="504"/>
        <w:jc w:val="both"/>
        <w:rPr>
          <w:rFonts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（一）逐步完善和健全预算绩效管理制度</w:t>
      </w:r>
    </w:p>
    <w:p w14:paraId="77F51BE7">
      <w:pPr>
        <w:pStyle w:val="4"/>
        <w:widowControl/>
        <w:shd w:val="clear" w:color="auto" w:fill="FFFFFF"/>
        <w:spacing w:beforeAutospacing="0" w:afterAutospacing="0" w:line="353" w:lineRule="auto"/>
        <w:ind w:firstLine="516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为加强全区各部门预算绩效运行监控管理，提高预算执行效率和资金使用效益，我们通过了解上级部门的业务导向，并结合西区财政的工作基础和绩效管理工作实际情况，西区制定印发《关于贯彻落实四川省全面实施预算绩效管理实施意见的工作方案》，对各主体职责分工、工作程序等内容进行了规范和明确，切实促进绩效管理与预算编制、执行、监督的有机融合，健全全过程的预算绩效管理机制。</w:t>
      </w:r>
    </w:p>
    <w:p w14:paraId="22EDC686"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353" w:lineRule="auto"/>
        <w:ind w:firstLine="516"/>
        <w:jc w:val="both"/>
        <w:rPr>
          <w:rFonts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加强宣传培训</w:t>
      </w:r>
    </w:p>
    <w:p w14:paraId="2CD48B69">
      <w:pPr>
        <w:pStyle w:val="4"/>
        <w:widowControl/>
        <w:shd w:val="clear" w:color="auto" w:fill="FFFFFF"/>
        <w:spacing w:beforeAutospacing="0" w:afterAutospacing="0" w:line="353" w:lineRule="auto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为更好地推进绩效管理工作，汇聚各方合力，在培训中反复强调、讲解，使绩效管理主体对做什么、怎么做、做到什么程度心中有数。在202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年部门预算绩效管理培训会上，对各部门预算绩效管理人员1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0余人进行了绩效管理专题培训，强调了预算绩效管理工作的重要性，并对预算绩效目标编制工作进行了讲解和案例分析，为西区绩效评价工作提供了很大的借鉴。</w:t>
      </w:r>
    </w:p>
    <w:p w14:paraId="48AFD083">
      <w:pPr>
        <w:pStyle w:val="4"/>
        <w:widowControl/>
        <w:shd w:val="clear" w:color="auto" w:fill="FFFFFF"/>
        <w:spacing w:beforeAutospacing="0" w:afterAutospacing="0" w:line="353" w:lineRule="auto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二、全面实施预算项目绩效目标管理</w:t>
      </w:r>
    </w:p>
    <w:p w14:paraId="04A7ADD5">
      <w:pPr>
        <w:pStyle w:val="4"/>
        <w:widowControl/>
        <w:shd w:val="clear" w:color="auto" w:fill="FFFFFF"/>
        <w:spacing w:beforeAutospacing="0" w:afterAutospacing="0" w:line="353" w:lineRule="auto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绩效目标管理是预算绩效管理的源头，是绩效管理的前提和基础，科学的绩效目标是过程监控和结果评价的重要依据。充分发挥绩效目标在绩效管理中的前置作用，从源头上增强预算编制的科学性和预算执行的可行性，促进绩效目标的实现，提高财政资金的使用效益。</w:t>
      </w:r>
    </w:p>
    <w:p w14:paraId="12A26B68">
      <w:pPr>
        <w:pStyle w:val="4"/>
        <w:widowControl/>
        <w:shd w:val="clear" w:color="auto" w:fill="FFFFFF"/>
        <w:spacing w:beforeAutospacing="0" w:afterAutospacing="0" w:line="353" w:lineRule="auto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202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年，应编制绩效目标的项目全部完成编制，</w:t>
      </w:r>
      <w:r>
        <w:rPr>
          <w:rFonts w:hint="eastAsia" w:ascii="Times New Roman" w:hAnsi="Times New Roman" w:eastAsia="仿宋_GB2312"/>
          <w:kern w:val="2"/>
          <w:sz w:val="32"/>
          <w:szCs w:val="32"/>
          <w:highlight w:val="none"/>
        </w:rPr>
        <w:t>共</w:t>
      </w:r>
      <w:r>
        <w:rPr>
          <w:rFonts w:hint="eastAsia" w:ascii="Times New Roman" w:hAnsi="Times New Roman" w:eastAsia="仿宋_GB2312"/>
          <w:kern w:val="2"/>
          <w:sz w:val="32"/>
          <w:szCs w:val="32"/>
          <w:highlight w:val="none"/>
          <w:lang w:val="en-US" w:eastAsia="zh-CN"/>
        </w:rPr>
        <w:t>73</w:t>
      </w:r>
      <w:r>
        <w:rPr>
          <w:rFonts w:hint="eastAsia" w:ascii="Times New Roman" w:hAnsi="Times New Roman" w:eastAsia="仿宋_GB2312"/>
          <w:kern w:val="2"/>
          <w:sz w:val="32"/>
          <w:szCs w:val="32"/>
          <w:highlight w:val="none"/>
        </w:rPr>
        <w:t>个单位申报绩效目标</w:t>
      </w:r>
      <w:r>
        <w:rPr>
          <w:rFonts w:hint="eastAsia" w:ascii="Times New Roman" w:hAnsi="Times New Roman" w:eastAsia="仿宋_GB2312"/>
          <w:kern w:val="2"/>
          <w:sz w:val="32"/>
          <w:szCs w:val="32"/>
          <w:highlight w:val="none"/>
          <w:lang w:val="en-US" w:eastAsia="zh-CN"/>
        </w:rPr>
        <w:t>295</w:t>
      </w:r>
      <w:r>
        <w:rPr>
          <w:rFonts w:hint="eastAsia" w:ascii="Times New Roman" w:hAnsi="Times New Roman" w:eastAsia="仿宋_GB2312"/>
          <w:kern w:val="2"/>
          <w:sz w:val="32"/>
          <w:szCs w:val="32"/>
          <w:highlight w:val="none"/>
        </w:rPr>
        <w:t>个。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通过绩效目标编报，强化绩效管理与预算管理的有机融合，进一步压实区级部门的主体责任，提高区级预算绩效管理水平。一是规范目标申报。把预算绩效目标管理作为预算管理的必要前置和约束条件，所有符合绩效目标管理要求的项目支出都要设定绩效目标。二是强化目标审核。对单位申报的预算绩效项目进行全面梳理和审核，包括立项依据、项目内容、投入金额、年度绩效目标、绩效指标等。三是规范目标批复。与预算批复同步下达绩效目标，将单位上报的项目绩效目标批复给各单位，明确部门单位是预算执行主体，负责实现项目绩效目标。</w:t>
      </w:r>
    </w:p>
    <w:p w14:paraId="2A94FA33">
      <w:pPr>
        <w:pStyle w:val="4"/>
        <w:widowControl/>
        <w:shd w:val="clear" w:color="auto" w:fill="FFFFFF"/>
        <w:spacing w:beforeAutospacing="0" w:afterAutospacing="0" w:line="353" w:lineRule="auto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三、开展绩效运行监控保证预算绩效目标不跑偏</w:t>
      </w:r>
    </w:p>
    <w:p w14:paraId="3EEFB4A2">
      <w:pPr>
        <w:pStyle w:val="4"/>
        <w:widowControl/>
        <w:shd w:val="clear" w:color="auto" w:fill="FFFFFF"/>
        <w:spacing w:beforeAutospacing="0" w:afterAutospacing="0" w:line="353" w:lineRule="auto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绩效运行监控是全过程预算绩效管理的重要环节，也是确保预算部门实现绩效目标、落实绩效主体责任的重要抓手。今年以来，我们加强对财政资金项目管理情况、资金使用情况和目标完成情况的绩效运行监控，进而确保财政资金安全、高效运行。9月，单位对1—8月预算执行情况和绩效目标实施情况开展“双监控”，严格对照年初预算确定的项目绩效信息，监控预算执行进度是否及时、合理，项目是否按照既定绩效目标进行等，确保了财政支出按照已批复的绩效目标执行，及时发现项目运行是否偏离既定的绩效目标，同时确保绩效目标如期实现。</w:t>
      </w:r>
      <w:r>
        <w:rPr>
          <w:rFonts w:hint="eastAsia" w:ascii="Times New Roman" w:hAnsi="Times New Roman" w:eastAsia="仿宋_GB2312"/>
          <w:kern w:val="2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2"/>
          <w:sz w:val="32"/>
          <w:szCs w:val="32"/>
          <w:highlight w:val="none"/>
        </w:rPr>
        <w:t>年绩效监控覆盖年初纳入绩效目标管理的全部项目，涉及资金121,955.31万元。各单位均能在发现问题后，有针对性地制定下一步计划和措施。</w:t>
      </w:r>
    </w:p>
    <w:p w14:paraId="1E7B6756">
      <w:pPr>
        <w:pStyle w:val="4"/>
        <w:widowControl/>
        <w:shd w:val="clear" w:color="auto" w:fill="FFFFFF"/>
        <w:spacing w:beforeAutospacing="0" w:afterAutospacing="0" w:line="353" w:lineRule="auto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四、深化绩效评价工作突出预算绩效管理重点</w:t>
      </w:r>
    </w:p>
    <w:p w14:paraId="686EBEA7">
      <w:pPr>
        <w:pStyle w:val="4"/>
        <w:widowControl/>
        <w:shd w:val="clear" w:color="auto" w:fill="FFFFFF"/>
        <w:spacing w:beforeAutospacing="0" w:afterAutospacing="0" w:line="353" w:lineRule="auto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绩效评价是预算绩效管理实施的有效手段，在全过程预算绩效管理中处于核心地位。从项目支出到财政政策绩效评价，再到部门整体支出，绩效评价范围逐步扩大。我们按照“先易后难、由点及面、稳步实施”的原则，通过积极创新评价方式，开展重点领域资金重点绩效评价，发挥示范作用，带动预算绩效管理工作的整体推进；全面展开财政资金绩效自评，推进绩效评价工作广深发展。</w:t>
      </w:r>
      <w:r>
        <w:rPr>
          <w:rFonts w:hint="eastAsia" w:ascii="Times New Roman" w:hAnsi="Times New Roman" w:eastAsia="仿宋_GB2312"/>
          <w:kern w:val="2"/>
          <w:sz w:val="32"/>
          <w:szCs w:val="32"/>
          <w:highlight w:val="none"/>
        </w:rPr>
        <w:t>区级各预算单位（除涉密单位外）均开展了</w:t>
      </w:r>
      <w:r>
        <w:rPr>
          <w:rFonts w:hint="eastAsia" w:ascii="Times New Roman" w:hAnsi="Times New Roman" w:eastAsia="仿宋_GB2312"/>
          <w:kern w:val="2"/>
          <w:sz w:val="32"/>
          <w:szCs w:val="32"/>
          <w:highlight w:val="none"/>
          <w:lang w:val="en-US" w:eastAsia="zh-CN"/>
        </w:rPr>
        <w:t>2022年度</w:t>
      </w:r>
      <w:r>
        <w:rPr>
          <w:rFonts w:hint="eastAsia" w:ascii="Times New Roman" w:hAnsi="Times New Roman" w:eastAsia="仿宋_GB2312"/>
          <w:kern w:val="2"/>
          <w:sz w:val="32"/>
          <w:szCs w:val="32"/>
          <w:highlight w:val="none"/>
        </w:rPr>
        <w:t>部门整体支出绩效自评工作，自评参与率100%。重点抽取10家单位进行整体绩效评价，涉及财政资金14</w:t>
      </w:r>
      <w:r>
        <w:rPr>
          <w:rFonts w:hint="eastAsia" w:ascii="Times New Roman" w:hAnsi="Times New Roman" w:eastAsia="仿宋_GB2312"/>
          <w:kern w:val="2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Times New Roman" w:hAnsi="Times New Roman" w:eastAsia="仿宋_GB2312"/>
          <w:kern w:val="2"/>
          <w:sz w:val="32"/>
          <w:szCs w:val="32"/>
          <w:highlight w:val="none"/>
        </w:rPr>
        <w:t>482.31万元，综合反映部门整体支出绩效情况。选取15个重点项目开展绩效评价，涉及资金2</w:t>
      </w:r>
      <w:r>
        <w:rPr>
          <w:rFonts w:hint="eastAsia" w:ascii="Times New Roman" w:hAnsi="Times New Roman" w:eastAsia="仿宋_GB2312"/>
          <w:kern w:val="2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Times New Roman" w:hAnsi="Times New Roman" w:eastAsia="仿宋_GB2312"/>
          <w:kern w:val="2"/>
          <w:sz w:val="32"/>
          <w:szCs w:val="32"/>
          <w:highlight w:val="none"/>
        </w:rPr>
        <w:t>794.39万元，切实规范资金使用。</w:t>
      </w:r>
      <w:bookmarkStart w:id="0" w:name="_GoBack"/>
      <w:bookmarkEnd w:id="0"/>
    </w:p>
    <w:p w14:paraId="14DC6604">
      <w:pPr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区财政局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将</w:t>
      </w:r>
      <w:r>
        <w:rPr>
          <w:rFonts w:ascii="Times New Roman" w:hAnsi="Times New Roman" w:eastAsia="仿宋_GB2312" w:cs="Times New Roman"/>
          <w:sz w:val="32"/>
          <w:szCs w:val="32"/>
        </w:rPr>
        <w:t>年度绩效评价结果，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作为下年度安排预算、完善政策、改进管理的重要依据。</w:t>
      </w:r>
      <w:r>
        <w:rPr>
          <w:rFonts w:ascii="Times New Roman" w:hAnsi="Times New Roman" w:eastAsia="仿宋_GB2312" w:cs="Times New Roman"/>
          <w:sz w:val="32"/>
          <w:szCs w:val="32"/>
        </w:rPr>
        <w:t>对于绩效评价结果较差的项目（政策）资金，将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适度</w:t>
      </w:r>
      <w:r>
        <w:rPr>
          <w:rFonts w:ascii="Times New Roman" w:hAnsi="Times New Roman" w:eastAsia="仿宋_GB2312" w:cs="Times New Roman"/>
          <w:sz w:val="32"/>
          <w:szCs w:val="32"/>
        </w:rPr>
        <w:t>调减预算规模，对于政策效果不明显或较差的，将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建议部门</w:t>
      </w:r>
      <w:r>
        <w:rPr>
          <w:rFonts w:ascii="Times New Roman" w:hAnsi="Times New Roman" w:eastAsia="仿宋_GB2312" w:cs="Times New Roman"/>
          <w:sz w:val="32"/>
          <w:szCs w:val="32"/>
        </w:rPr>
        <w:t>修改完善政策或取消支出政策。</w:t>
      </w:r>
    </w:p>
    <w:p w14:paraId="321BFB67">
      <w:pPr>
        <w:spacing w:line="580" w:lineRule="exact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</w:p>
    <w:p w14:paraId="05539BCA"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20748A0"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4464894"/>
    </w:sdtPr>
    <w:sdtEndPr>
      <w:rPr>
        <w:rFonts w:ascii="宋体" w:hAnsi="宋体" w:eastAsia="宋体"/>
        <w:sz w:val="28"/>
        <w:szCs w:val="28"/>
      </w:rPr>
    </w:sdtEndPr>
    <w:sdtContent>
      <w:p w14:paraId="34A32156"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47457CE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2697747"/>
    </w:sdtPr>
    <w:sdtEndPr>
      <w:rPr>
        <w:rFonts w:ascii="宋体" w:hAnsi="宋体" w:eastAsia="宋体"/>
        <w:sz w:val="28"/>
        <w:szCs w:val="28"/>
      </w:rPr>
    </w:sdtEndPr>
    <w:sdtContent>
      <w:p w14:paraId="274BE368"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4CCF5BA0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29FE27"/>
    <w:multiLevelType w:val="singleLevel"/>
    <w:tmpl w:val="D229FE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1DBA9DD"/>
    <w:multiLevelType w:val="singleLevel"/>
    <w:tmpl w:val="21DBA9D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YTYxNzc4NDYwZmMxNDkyMDFiMzVmZDRlMTYxZmQifQ=="/>
  </w:docVars>
  <w:rsids>
    <w:rsidRoot w:val="30736E69"/>
    <w:rsid w:val="00061B53"/>
    <w:rsid w:val="00ED5533"/>
    <w:rsid w:val="19817526"/>
    <w:rsid w:val="30736E69"/>
    <w:rsid w:val="3A7369DA"/>
    <w:rsid w:val="4C564BFC"/>
    <w:rsid w:val="612C6D8C"/>
    <w:rsid w:val="69CA0B20"/>
    <w:rsid w:val="735535BC"/>
    <w:rsid w:val="7836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1843</Words>
  <Characters>1896</Characters>
  <Lines>1</Lines>
  <Paragraphs>3</Paragraphs>
  <TotalTime>6</TotalTime>
  <ScaleCrop>false</ScaleCrop>
  <LinksUpToDate>false</LinksUpToDate>
  <CharactersWithSpaces>1897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2022-09-27T08:57:00Z</dcterms:created>
  <dc:creator>谢紫秋</dc:creator>
  <cp:lastModifiedBy>杨晶</cp:lastModifiedBy>
  <dcterms:modified xsi:type="dcterms:W3CDTF">2024-10-11T07:23:48Z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ADC74AD4BFD34014AA14C0EE5FF0BF11_13</vt:lpwstr>
  </property>
</Properties>
</file>