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96475"/>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78442"/>
      <w:bookmarkStart w:id="9" w:name="_Toc15396598"/>
      <w:bookmarkStart w:id="10" w:name="_Toc15396476"/>
      <w:r>
        <w:rPr>
          <w:rFonts w:hint="eastAsia" w:ascii="方正小标宋简体" w:hAnsi="宋体" w:eastAsia="方正小标宋简体"/>
          <w:color w:val="000000"/>
          <w:sz w:val="72"/>
          <w:szCs w:val="72"/>
        </w:rPr>
        <w:t>四川</w:t>
      </w:r>
      <w:bookmarkEnd w:id="0"/>
      <w:bookmarkStart w:id="11" w:name="_Toc15306268"/>
      <w:r>
        <w:rPr>
          <w:rFonts w:hint="eastAsia" w:ascii="方正小标宋简体" w:hAnsi="宋体" w:eastAsia="方正小标宋简体"/>
          <w:color w:val="000000"/>
          <w:sz w:val="72"/>
          <w:szCs w:val="72"/>
        </w:rPr>
        <w:t>省攀枝花市西区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1"/>
      </w:pPr>
      <w:r>
        <w:rPr>
          <w:rFonts w:hint="eastAsia"/>
        </w:rPr>
        <w:t>公开时间：2020年11月18日</w:t>
      </w:r>
    </w:p>
    <w:p>
      <w:pPr>
        <w:pStyle w:val="11"/>
        <w:adjustRightInd w:val="0"/>
        <w:snapToGrid w:val="0"/>
        <w:spacing w:before="0" w:line="700" w:lineRule="exact"/>
        <w:jc w:val="left"/>
        <w:rPr>
          <w:rFonts w:cstheme="minorBidi"/>
          <w:sz w:val="24"/>
          <w:szCs w:val="24"/>
        </w:rPr>
      </w:pPr>
      <w:r>
        <w:rPr>
          <w:rFonts w:hint="eastAsia"/>
          <w:sz w:val="24"/>
        </w:rPr>
        <w:t>第一部分</w:t>
      </w:r>
      <w:r>
        <w:rPr>
          <w:sz w:val="24"/>
        </w:rPr>
        <w:t xml:space="preserve"> </w:t>
      </w:r>
      <w:r>
        <w:rPr>
          <w:rFonts w:hint="eastAsia"/>
          <w:sz w:val="24"/>
        </w:rPr>
        <w:t>部门概况…………………………………………………………………4</w:t>
      </w:r>
    </w:p>
    <w:p>
      <w:pPr>
        <w:pStyle w:val="12"/>
        <w:numPr>
          <w:ilvl w:val="0"/>
          <w:numId w:val="1"/>
        </w:numPr>
        <w:adjustRightInd w:val="0"/>
        <w:snapToGrid w:val="0"/>
        <w:spacing w:line="700" w:lineRule="exact"/>
        <w:ind w:leftChars="0"/>
        <w:jc w:val="left"/>
        <w:rPr>
          <w:sz w:val="24"/>
        </w:rPr>
      </w:pPr>
      <w:r>
        <w:rPr>
          <w:rFonts w:hint="eastAsia"/>
          <w:sz w:val="24"/>
        </w:rPr>
        <w:t>基本职能及主要工作………………………………………………………4</w:t>
      </w:r>
    </w:p>
    <w:p>
      <w:pPr>
        <w:pStyle w:val="12"/>
        <w:adjustRightInd w:val="0"/>
        <w:snapToGrid w:val="0"/>
        <w:spacing w:line="700" w:lineRule="exact"/>
        <w:ind w:left="0" w:leftChars="0" w:firstLine="360" w:firstLineChars="150"/>
        <w:jc w:val="left"/>
        <w:rPr>
          <w:sz w:val="24"/>
        </w:rPr>
      </w:pPr>
      <w:r>
        <w:rPr>
          <w:rFonts w:hint="eastAsia" w:asciiTheme="minorEastAsia" w:hAnsiTheme="minorEastAsia" w:eastAsiaTheme="minorEastAsia"/>
          <w:sz w:val="24"/>
        </w:rPr>
        <w:t>二、</w:t>
      </w:r>
      <w:r>
        <w:rPr>
          <w:rFonts w:hint="eastAsia"/>
          <w:sz w:val="24"/>
        </w:rPr>
        <w:t>机构设置 ……………………………………………………………………5</w:t>
      </w:r>
    </w:p>
    <w:p>
      <w:pPr>
        <w:pStyle w:val="11"/>
        <w:adjustRightInd w:val="0"/>
        <w:snapToGrid w:val="0"/>
        <w:spacing w:before="0" w:line="700" w:lineRule="exact"/>
        <w:jc w:val="left"/>
        <w:rPr>
          <w:sz w:val="24"/>
          <w:szCs w:val="24"/>
        </w:rPr>
      </w:pPr>
      <w:r>
        <w:rPr>
          <w:rFonts w:hint="eastAsia"/>
          <w:sz w:val="24"/>
        </w:rPr>
        <w:t>第二部分2019年度部门决算情况说明……………………………………………6</w:t>
      </w:r>
    </w:p>
    <w:p>
      <w:pPr>
        <w:pStyle w:val="12"/>
        <w:adjustRightInd w:val="0"/>
        <w:snapToGrid w:val="0"/>
        <w:spacing w:line="700" w:lineRule="exact"/>
        <w:jc w:val="left"/>
        <w:rPr>
          <w:rFonts w:ascii="仿宋" w:hAnsi="仿宋" w:eastAsia="仿宋" w:cstheme="minorBidi"/>
          <w:sz w:val="24"/>
        </w:rPr>
      </w:pPr>
      <w:r>
        <w:rPr>
          <w:rFonts w:hint="eastAsia"/>
          <w:sz w:val="24"/>
        </w:rPr>
        <w:t>一、收入支出决算总体情况说明………………………………………………6</w:t>
      </w:r>
    </w:p>
    <w:p>
      <w:pPr>
        <w:pStyle w:val="12"/>
        <w:adjustRightInd w:val="0"/>
        <w:snapToGrid w:val="0"/>
        <w:spacing w:line="700" w:lineRule="exact"/>
        <w:jc w:val="left"/>
        <w:rPr>
          <w:rFonts w:ascii="仿宋" w:hAnsi="仿宋" w:eastAsia="仿宋" w:cstheme="minorBidi"/>
          <w:sz w:val="24"/>
        </w:rPr>
      </w:pPr>
      <w:r>
        <w:rPr>
          <w:rFonts w:hint="eastAsia"/>
          <w:sz w:val="24"/>
        </w:rPr>
        <w:t>二、收入决算情况说明…………………………………………………………7</w:t>
      </w:r>
    </w:p>
    <w:p>
      <w:pPr>
        <w:pStyle w:val="12"/>
        <w:adjustRightInd w:val="0"/>
        <w:snapToGrid w:val="0"/>
        <w:spacing w:line="700" w:lineRule="exact"/>
        <w:jc w:val="left"/>
        <w:rPr>
          <w:rFonts w:ascii="仿宋" w:hAnsi="仿宋" w:eastAsia="仿宋" w:cstheme="minorBidi"/>
          <w:sz w:val="24"/>
        </w:rPr>
      </w:pPr>
      <w:r>
        <w:rPr>
          <w:rFonts w:hint="eastAsia"/>
          <w:sz w:val="24"/>
        </w:rPr>
        <w:t>三、支出决算情况说明…………………………………………………………7</w:t>
      </w:r>
    </w:p>
    <w:p>
      <w:pPr>
        <w:pStyle w:val="12"/>
        <w:adjustRightInd w:val="0"/>
        <w:snapToGrid w:val="0"/>
        <w:spacing w:line="700" w:lineRule="exact"/>
        <w:jc w:val="left"/>
        <w:rPr>
          <w:rFonts w:ascii="仿宋" w:hAnsi="仿宋" w:eastAsia="仿宋" w:cstheme="minorBidi"/>
          <w:sz w:val="24"/>
        </w:rPr>
      </w:pPr>
      <w:r>
        <w:rPr>
          <w:rFonts w:hint="eastAsia"/>
          <w:sz w:val="24"/>
        </w:rPr>
        <w:t>四、财政拨款收入支出决算总体情况说明……………………………………7</w:t>
      </w:r>
    </w:p>
    <w:p>
      <w:pPr>
        <w:pStyle w:val="12"/>
        <w:adjustRightInd w:val="0"/>
        <w:snapToGrid w:val="0"/>
        <w:spacing w:line="700" w:lineRule="exact"/>
        <w:jc w:val="left"/>
        <w:rPr>
          <w:rFonts w:ascii="仿宋" w:hAnsi="仿宋" w:eastAsia="仿宋" w:cstheme="minorBidi"/>
          <w:sz w:val="24"/>
        </w:rPr>
      </w:pPr>
      <w:r>
        <w:rPr>
          <w:rFonts w:hint="eastAsia"/>
          <w:sz w:val="24"/>
        </w:rPr>
        <w:t>五、一般公共预算财政拨款支出决算情况说明………………………………8</w:t>
      </w:r>
    </w:p>
    <w:p>
      <w:pPr>
        <w:pStyle w:val="12"/>
        <w:adjustRightInd w:val="0"/>
        <w:snapToGrid w:val="0"/>
        <w:spacing w:line="700" w:lineRule="exact"/>
        <w:jc w:val="left"/>
        <w:rPr>
          <w:rFonts w:ascii="仿宋" w:hAnsi="仿宋" w:eastAsia="仿宋" w:cstheme="minorBidi"/>
          <w:sz w:val="24"/>
        </w:rPr>
      </w:pPr>
      <w:r>
        <w:rPr>
          <w:rFonts w:hint="eastAsia"/>
          <w:sz w:val="24"/>
        </w:rPr>
        <w:t>六、一般公共预算财政拨款基本支出决算情况说明…………………………11</w:t>
      </w:r>
    </w:p>
    <w:p>
      <w:pPr>
        <w:pStyle w:val="12"/>
        <w:adjustRightInd w:val="0"/>
        <w:snapToGrid w:val="0"/>
        <w:spacing w:line="70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 ………………………………12</w:t>
      </w:r>
    </w:p>
    <w:p>
      <w:pPr>
        <w:pStyle w:val="12"/>
        <w:adjustRightInd w:val="0"/>
        <w:snapToGrid w:val="0"/>
        <w:spacing w:line="700" w:lineRule="exact"/>
        <w:jc w:val="left"/>
        <w:rPr>
          <w:rFonts w:ascii="仿宋" w:hAnsi="仿宋" w:eastAsia="仿宋" w:cstheme="minorBidi"/>
          <w:sz w:val="24"/>
        </w:rPr>
      </w:pPr>
      <w:r>
        <w:rPr>
          <w:rFonts w:hint="eastAsia"/>
          <w:sz w:val="24"/>
        </w:rPr>
        <w:t>八、政府性基金预算支出决算情况说明………………………………………14</w:t>
      </w:r>
    </w:p>
    <w:p>
      <w:pPr>
        <w:pStyle w:val="12"/>
        <w:adjustRightInd w:val="0"/>
        <w:snapToGrid w:val="0"/>
        <w:spacing w:line="700" w:lineRule="exact"/>
        <w:ind w:leftChars="0"/>
        <w:jc w:val="left"/>
        <w:rPr>
          <w:rFonts w:asciiTheme="minorEastAsia" w:hAnsiTheme="minorEastAsia" w:eastAsiaTheme="minorEastAsia"/>
          <w:sz w:val="24"/>
        </w:rPr>
      </w:pPr>
      <w:r>
        <w:rPr>
          <w:rFonts w:hint="eastAsia" w:asciiTheme="minorEastAsia" w:hAnsiTheme="minorEastAsia" w:eastAsiaTheme="minorEastAsia"/>
          <w:sz w:val="24"/>
        </w:rPr>
        <w:t>九、</w:t>
      </w:r>
      <w:r>
        <w:rPr>
          <w:rFonts w:asciiTheme="minorEastAsia" w:hAnsiTheme="minorEastAsia" w:eastAsiaTheme="minorEastAsia"/>
          <w:sz w:val="24"/>
        </w:rPr>
        <w:t xml:space="preserve"> 国</w:t>
      </w:r>
      <w:r>
        <w:rPr>
          <w:rFonts w:hint="eastAsia" w:asciiTheme="minorEastAsia" w:hAnsiTheme="minorEastAsia" w:eastAsiaTheme="minorEastAsia"/>
          <w:sz w:val="24"/>
        </w:rPr>
        <w:t>有资本经营预算支出决算情况说明 …………………………………</w:t>
      </w:r>
      <w:r>
        <w:rPr>
          <w:rFonts w:hint="eastAsia"/>
          <w:sz w:val="24"/>
        </w:rPr>
        <w:t>14</w:t>
      </w:r>
    </w:p>
    <w:p>
      <w:pPr>
        <w:adjustRightInd w:val="0"/>
        <w:snapToGrid w:val="0"/>
        <w:spacing w:line="700" w:lineRule="exact"/>
        <w:ind w:firstLine="480" w:firstLineChars="200"/>
        <w:jc w:val="left"/>
        <w:rPr>
          <w:rFonts w:ascii="仿宋" w:hAnsi="仿宋" w:eastAsia="仿宋" w:cstheme="minorBidi"/>
          <w:sz w:val="24"/>
        </w:rPr>
      </w:pPr>
      <w:r>
        <w:rPr>
          <w:rStyle w:val="16"/>
          <w:rFonts w:hint="eastAsia" w:asciiTheme="minorEastAsia" w:hAnsiTheme="minorEastAsia" w:eastAsiaTheme="minorEastAsia"/>
          <w:color w:val="000000" w:themeColor="text1"/>
          <w:sz w:val="24"/>
          <w:u w:val="none"/>
        </w:rPr>
        <w:t>十、</w:t>
      </w:r>
      <w:r>
        <w:rPr>
          <w:rFonts w:hint="eastAsia" w:asciiTheme="minorEastAsia" w:hAnsiTheme="minorEastAsia" w:eastAsiaTheme="minorEastAsia"/>
          <w:sz w:val="24"/>
        </w:rPr>
        <w:t>其他</w:t>
      </w:r>
      <w:r>
        <w:rPr>
          <w:rFonts w:hint="eastAsia"/>
          <w:sz w:val="24"/>
        </w:rPr>
        <w:t>重要事项的情况说明</w:t>
      </w:r>
      <w:r>
        <w:rPr>
          <w:rFonts w:hint="eastAsia" w:ascii="仿宋" w:hAnsi="仿宋" w:eastAsia="仿宋"/>
          <w:sz w:val="24"/>
        </w:rPr>
        <w:t>…………………………………………………</w:t>
      </w:r>
      <w:r>
        <w:rPr>
          <w:rFonts w:hint="eastAsia"/>
          <w:sz w:val="24"/>
        </w:rPr>
        <w:t>14</w:t>
      </w:r>
    </w:p>
    <w:p>
      <w:pPr>
        <w:pStyle w:val="11"/>
        <w:adjustRightInd w:val="0"/>
        <w:snapToGrid w:val="0"/>
        <w:spacing w:before="0" w:line="70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ascii="Times New Roman" w:hAnsi="Times New Roman" w:eastAsia="宋体"/>
          <w:sz w:val="24"/>
          <w:szCs w:val="24"/>
        </w:rPr>
        <w:t>23</w:t>
      </w:r>
    </w:p>
    <w:p>
      <w:pPr>
        <w:pStyle w:val="11"/>
        <w:adjustRightInd w:val="0"/>
        <w:snapToGrid w:val="0"/>
        <w:spacing w:before="0" w:line="70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ascii="Times New Roman" w:hAnsi="Times New Roman" w:eastAsia="宋体"/>
          <w:sz w:val="24"/>
          <w:szCs w:val="24"/>
        </w:rPr>
        <w:t>26</w:t>
      </w:r>
    </w:p>
    <w:p>
      <w:pPr>
        <w:pStyle w:val="12"/>
        <w:adjustRightInd w:val="0"/>
        <w:snapToGrid w:val="0"/>
        <w:spacing w:line="700" w:lineRule="exact"/>
        <w:jc w:val="left"/>
        <w:rPr>
          <w:rFonts w:ascii="仿宋" w:hAnsi="仿宋" w:eastAsia="仿宋" w:cstheme="minorBidi"/>
          <w:sz w:val="24"/>
        </w:rPr>
      </w:pPr>
      <w:r>
        <w:rPr>
          <w:rFonts w:hint="eastAsia"/>
          <w:sz w:val="24"/>
        </w:rPr>
        <w:t>附件</w:t>
      </w:r>
      <w:r>
        <w:rPr>
          <w:sz w:val="24"/>
        </w:rPr>
        <w:t>1</w:t>
      </w:r>
      <w:r>
        <w:rPr>
          <w:rFonts w:hint="eastAsia"/>
          <w:sz w:val="24"/>
        </w:rPr>
        <w:t>……………………………………………………………………………26</w:t>
      </w:r>
    </w:p>
    <w:p>
      <w:pPr>
        <w:pStyle w:val="12"/>
        <w:adjustRightInd w:val="0"/>
        <w:snapToGrid w:val="0"/>
        <w:spacing w:line="700" w:lineRule="exact"/>
        <w:jc w:val="left"/>
        <w:rPr>
          <w:rFonts w:ascii="仿宋" w:hAnsi="仿宋" w:eastAsia="仿宋" w:cstheme="minorBidi"/>
          <w:sz w:val="24"/>
        </w:rPr>
      </w:pPr>
      <w:r>
        <w:rPr>
          <w:rFonts w:hint="eastAsia"/>
          <w:sz w:val="24"/>
        </w:rPr>
        <w:t>附件</w:t>
      </w:r>
      <w:r>
        <w:rPr>
          <w:sz w:val="24"/>
        </w:rPr>
        <w:t>2</w:t>
      </w:r>
      <w:r>
        <w:rPr>
          <w:rFonts w:hint="eastAsia"/>
          <w:sz w:val="24"/>
        </w:rPr>
        <w:t>……………………………………………………………………………29</w:t>
      </w:r>
    </w:p>
    <w:p>
      <w:pPr>
        <w:pStyle w:val="11"/>
        <w:adjustRightInd w:val="0"/>
        <w:snapToGrid w:val="0"/>
        <w:spacing w:before="0" w:line="700" w:lineRule="exact"/>
        <w:jc w:val="left"/>
        <w:rPr>
          <w:rFonts w:cstheme="minorBidi"/>
          <w:sz w:val="24"/>
          <w:szCs w:val="24"/>
        </w:rPr>
      </w:pPr>
      <w:r>
        <w:rPr>
          <w:rFonts w:hint="eastAsia"/>
          <w:sz w:val="24"/>
        </w:rPr>
        <w:t>第五部分</w:t>
      </w:r>
      <w:r>
        <w:rPr>
          <w:sz w:val="24"/>
        </w:rPr>
        <w:t xml:space="preserve"> </w:t>
      </w:r>
      <w:r>
        <w:rPr>
          <w:rFonts w:hint="eastAsia"/>
          <w:sz w:val="24"/>
        </w:rPr>
        <w:t>附表………………………………………………………………………34</w:t>
      </w:r>
    </w:p>
    <w:p>
      <w:pPr>
        <w:pStyle w:val="12"/>
        <w:adjustRightInd w:val="0"/>
        <w:snapToGrid w:val="0"/>
        <w:spacing w:line="70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收入支出决算总表…………………………………………………………34</w:t>
      </w:r>
    </w:p>
    <w:p>
      <w:pPr>
        <w:pStyle w:val="12"/>
        <w:adjustRightInd w:val="0"/>
        <w:snapToGrid w:val="0"/>
        <w:spacing w:line="700" w:lineRule="exact"/>
        <w:jc w:val="left"/>
        <w:rPr>
          <w:sz w:val="24"/>
        </w:rPr>
      </w:pPr>
      <w:r>
        <w:rPr>
          <w:rFonts w:hint="eastAsia" w:ascii="仿宋" w:hAnsi="仿宋" w:eastAsia="仿宋"/>
          <w:sz w:val="24"/>
        </w:rPr>
        <w:t>二、</w:t>
      </w:r>
      <w:r>
        <w:rPr>
          <w:rFonts w:hint="eastAsia"/>
          <w:sz w:val="24"/>
        </w:rPr>
        <w:t>收入决算表…………………………………………………………………34</w:t>
      </w:r>
    </w:p>
    <w:p>
      <w:pPr>
        <w:pStyle w:val="12"/>
        <w:adjustRightInd w:val="0"/>
        <w:snapToGrid w:val="0"/>
        <w:spacing w:line="700" w:lineRule="exact"/>
        <w:jc w:val="left"/>
        <w:rPr>
          <w:sz w:val="24"/>
        </w:rPr>
      </w:pPr>
      <w:r>
        <w:rPr>
          <w:rFonts w:hint="eastAsia"/>
          <w:sz w:val="24"/>
        </w:rPr>
        <w:t>三、支出决算表…………………………………………………………………34</w:t>
      </w:r>
    </w:p>
    <w:p>
      <w:pPr>
        <w:pStyle w:val="12"/>
        <w:adjustRightInd w:val="0"/>
        <w:snapToGrid w:val="0"/>
        <w:spacing w:line="700" w:lineRule="exact"/>
        <w:jc w:val="left"/>
        <w:rPr>
          <w:sz w:val="24"/>
        </w:rPr>
      </w:pPr>
      <w:r>
        <w:rPr>
          <w:rFonts w:hint="eastAsia"/>
          <w:sz w:val="24"/>
        </w:rPr>
        <w:t>四、财政拨款收入支出决算总表………………………………………………34</w:t>
      </w:r>
    </w:p>
    <w:p>
      <w:pPr>
        <w:pStyle w:val="12"/>
        <w:adjustRightInd w:val="0"/>
        <w:snapToGrid w:val="0"/>
        <w:spacing w:line="700" w:lineRule="exact"/>
        <w:jc w:val="left"/>
        <w:rPr>
          <w:sz w:val="24"/>
        </w:rPr>
      </w:pPr>
      <w:r>
        <w:rPr>
          <w:rFonts w:hint="eastAsia"/>
          <w:sz w:val="24"/>
        </w:rPr>
        <w:t>五、财政拨款支出决算明细表…………………………………………………34</w:t>
      </w:r>
    </w:p>
    <w:p>
      <w:pPr>
        <w:pStyle w:val="12"/>
        <w:adjustRightInd w:val="0"/>
        <w:snapToGrid w:val="0"/>
        <w:spacing w:line="700" w:lineRule="exact"/>
        <w:jc w:val="left"/>
        <w:rPr>
          <w:sz w:val="24"/>
        </w:rPr>
      </w:pPr>
      <w:r>
        <w:rPr>
          <w:rFonts w:hint="eastAsia"/>
          <w:sz w:val="24"/>
        </w:rPr>
        <w:t>六、一般公共预算财政拨款支出决算表………………………………………34</w:t>
      </w:r>
    </w:p>
    <w:p>
      <w:pPr>
        <w:pStyle w:val="12"/>
        <w:adjustRightInd w:val="0"/>
        <w:snapToGrid w:val="0"/>
        <w:spacing w:line="700" w:lineRule="exact"/>
        <w:jc w:val="left"/>
        <w:rPr>
          <w:sz w:val="24"/>
        </w:rPr>
      </w:pPr>
      <w:r>
        <w:rPr>
          <w:rFonts w:hint="eastAsia"/>
          <w:sz w:val="24"/>
        </w:rPr>
        <w:t>七、一般公共预算财政拨款支出决算明细表…………………………………34</w:t>
      </w:r>
    </w:p>
    <w:p>
      <w:pPr>
        <w:pStyle w:val="12"/>
        <w:adjustRightInd w:val="0"/>
        <w:snapToGrid w:val="0"/>
        <w:spacing w:line="700" w:lineRule="exact"/>
        <w:jc w:val="left"/>
        <w:rPr>
          <w:sz w:val="24"/>
        </w:rPr>
      </w:pPr>
      <w:r>
        <w:rPr>
          <w:rFonts w:hint="eastAsia"/>
          <w:sz w:val="24"/>
        </w:rPr>
        <w:t>八、一般公共预算财政拨款基本支出决算表…………………………………34</w:t>
      </w:r>
    </w:p>
    <w:p>
      <w:pPr>
        <w:pStyle w:val="12"/>
        <w:adjustRightInd w:val="0"/>
        <w:snapToGrid w:val="0"/>
        <w:spacing w:line="700" w:lineRule="exact"/>
        <w:jc w:val="left"/>
        <w:rPr>
          <w:rFonts w:ascii="仿宋" w:hAnsi="仿宋" w:eastAsia="仿宋" w:cstheme="minorBidi"/>
          <w:sz w:val="24"/>
        </w:rPr>
      </w:pPr>
      <w:r>
        <w:rPr>
          <w:rFonts w:hint="eastAsia"/>
          <w:sz w:val="24"/>
        </w:rPr>
        <w:t>九、一般公共预算财政拨款项目支出决算表…………………………………34</w:t>
      </w:r>
    </w:p>
    <w:p>
      <w:pPr>
        <w:pStyle w:val="12"/>
        <w:adjustRightInd w:val="0"/>
        <w:snapToGrid w:val="0"/>
        <w:spacing w:line="70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一般公共预算财政拨款“三公”经费支出决算表………………………34</w:t>
      </w:r>
    </w:p>
    <w:p>
      <w:pPr>
        <w:pStyle w:val="12"/>
        <w:adjustRightInd w:val="0"/>
        <w:snapToGrid w:val="0"/>
        <w:spacing w:line="70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政府性基金预算财政拨款收入支出决算表……………………………34</w:t>
      </w:r>
    </w:p>
    <w:p>
      <w:pPr>
        <w:pStyle w:val="12"/>
        <w:adjustRightInd w:val="0"/>
        <w:snapToGrid w:val="0"/>
        <w:spacing w:line="70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政府性基金预算财政拨款“三公”经费支出决算表…………………34</w:t>
      </w:r>
    </w:p>
    <w:p>
      <w:pPr>
        <w:pStyle w:val="12"/>
        <w:adjustRightInd w:val="0"/>
        <w:snapToGrid w:val="0"/>
        <w:spacing w:line="70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国有资本经营预算支出决算表…………………………………………34</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Fonts w:ascii="黑体" w:hAnsi="黑体" w:eastAsia="黑体"/>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ind w:firstLine="630"/>
        <w:rPr>
          <w:rFonts w:ascii="仿宋_GB2312" w:eastAsia="仿宋_GB2312"/>
          <w:sz w:val="32"/>
          <w:szCs w:val="32"/>
        </w:rPr>
      </w:pPr>
      <w:bookmarkStart w:id="18" w:name="_Toc15378446"/>
      <w:bookmarkStart w:id="19" w:name="_Toc15377199"/>
      <w:r>
        <w:rPr>
          <w:rFonts w:hint="eastAsia" w:ascii="仿宋_GB2312" w:eastAsia="仿宋_GB2312"/>
          <w:sz w:val="32"/>
          <w:szCs w:val="32"/>
        </w:rPr>
        <w:t>1、贯彻执行党和国家有关社会保险的路线、方针、政策和法律、法规。</w:t>
      </w:r>
    </w:p>
    <w:p>
      <w:pPr>
        <w:ind w:firstLine="630"/>
        <w:rPr>
          <w:rFonts w:ascii="仿宋_GB2312" w:eastAsia="仿宋_GB2312"/>
          <w:sz w:val="32"/>
          <w:szCs w:val="32"/>
        </w:rPr>
      </w:pPr>
      <w:r>
        <w:rPr>
          <w:rFonts w:hint="eastAsia" w:ascii="仿宋_GB2312" w:eastAsia="仿宋_GB2312"/>
          <w:sz w:val="32"/>
          <w:szCs w:val="32"/>
        </w:rPr>
        <w:t>2、负责辖区内参保单位和个人养老、工伤、生育、失业、医疗保险基金的征收、管理、拨付等工作；</w:t>
      </w:r>
    </w:p>
    <w:p>
      <w:pPr>
        <w:ind w:firstLine="630"/>
        <w:rPr>
          <w:rFonts w:ascii="仿宋_GB2312" w:eastAsia="仿宋_GB2312"/>
          <w:sz w:val="32"/>
          <w:szCs w:val="32"/>
        </w:rPr>
      </w:pPr>
      <w:r>
        <w:rPr>
          <w:rFonts w:hint="eastAsia" w:ascii="仿宋_GB2312" w:eastAsia="仿宋_GB2312"/>
          <w:sz w:val="32"/>
          <w:szCs w:val="32"/>
        </w:rPr>
        <w:t>3、承办辖区参保单位社会保险登记、变更、注销，职工保险关系转移，灵活就业人员参保、续保工作；</w:t>
      </w:r>
    </w:p>
    <w:p>
      <w:pPr>
        <w:ind w:firstLine="630"/>
        <w:rPr>
          <w:rFonts w:ascii="仿宋_GB2312" w:eastAsia="仿宋_GB2312"/>
          <w:sz w:val="32"/>
          <w:szCs w:val="32"/>
        </w:rPr>
      </w:pPr>
      <w:r>
        <w:rPr>
          <w:rFonts w:hint="eastAsia" w:ascii="仿宋_GB2312" w:eastAsia="仿宋_GB2312"/>
          <w:sz w:val="32"/>
          <w:szCs w:val="32"/>
        </w:rPr>
        <w:t>4、审核参保职工待遇享受条件、计算其待遇，按时足额发放各类社会保险金。指导、督促协调街镇搞好社会保险工作；</w:t>
      </w:r>
    </w:p>
    <w:p>
      <w:pPr>
        <w:ind w:firstLine="630"/>
        <w:rPr>
          <w:rFonts w:ascii="仿宋_GB2312" w:eastAsia="仿宋_GB2312"/>
          <w:sz w:val="32"/>
          <w:szCs w:val="32"/>
        </w:rPr>
      </w:pPr>
      <w:r>
        <w:rPr>
          <w:rFonts w:hint="eastAsia" w:ascii="仿宋_GB2312" w:eastAsia="仿宋_GB2312"/>
          <w:sz w:val="32"/>
          <w:szCs w:val="32"/>
        </w:rPr>
        <w:t>5、负责社会保险数据、信息的处理和管理；</w:t>
      </w:r>
    </w:p>
    <w:p>
      <w:pPr>
        <w:ind w:firstLine="630"/>
        <w:rPr>
          <w:rFonts w:ascii="仿宋_GB2312" w:eastAsia="仿宋_GB2312"/>
          <w:sz w:val="32"/>
          <w:szCs w:val="32"/>
        </w:rPr>
      </w:pPr>
      <w:r>
        <w:rPr>
          <w:rFonts w:hint="eastAsia" w:ascii="仿宋_GB2312" w:eastAsia="仿宋_GB2312"/>
          <w:sz w:val="32"/>
          <w:szCs w:val="32"/>
        </w:rPr>
        <w:t>6、为参保单位和个人提供有关社会保险政策宣传咨询服务，受理群众来信来访；</w:t>
      </w:r>
    </w:p>
    <w:p>
      <w:pPr>
        <w:pStyle w:val="5"/>
        <w:adjustRightInd w:val="0"/>
        <w:snapToGrid w:val="0"/>
        <w:spacing w:before="93" w:line="600" w:lineRule="exact"/>
        <w:ind w:firstLine="672" w:firstLineChars="210"/>
        <w:outlineLvl w:val="2"/>
        <w:rPr>
          <w:sz w:val="32"/>
          <w:szCs w:val="32"/>
        </w:rPr>
      </w:pPr>
      <w:r>
        <w:rPr>
          <w:rFonts w:hint="eastAsia"/>
          <w:sz w:val="32"/>
          <w:szCs w:val="32"/>
        </w:rPr>
        <w:t>7、负责完成区委、区政府和上级部门交办的各项工作任务。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napToGrid w:val="0"/>
        <w:spacing w:line="588" w:lineRule="exact"/>
        <w:ind w:firstLine="640" w:firstLineChars="200"/>
        <w:rPr>
          <w:rFonts w:ascii="仿宋_GB2312" w:hAnsi="宋体" w:eastAsia="仿宋_GB2312"/>
          <w:sz w:val="32"/>
          <w:szCs w:val="32"/>
        </w:rPr>
      </w:pPr>
      <w:r>
        <w:rPr>
          <w:rFonts w:hint="eastAsia" w:ascii="仿宋_GB2312" w:hAnsi="仿宋" w:eastAsia="仿宋_GB2312"/>
          <w:sz w:val="32"/>
          <w:szCs w:val="32"/>
        </w:rPr>
        <w:t xml:space="preserve">1、 </w:t>
      </w:r>
      <w:r>
        <w:rPr>
          <w:rFonts w:hint="eastAsia" w:ascii="仿宋_GB2312" w:hAnsi="宋体" w:eastAsia="仿宋_GB2312"/>
          <w:sz w:val="32"/>
          <w:szCs w:val="32"/>
        </w:rPr>
        <w:t>重点围绕规模以上企业、征地农转非人员、私营企业、个体工商户、灵活就业人员等参保群体扩面征缴；加强与国土局等部门的沟通联系，做好失地农转非人员社会保险费测算及参保工作，圆满完成全年工作任务。</w:t>
      </w:r>
    </w:p>
    <w:p>
      <w:pPr>
        <w:snapToGrid w:val="0"/>
        <w:spacing w:line="588" w:lineRule="exact"/>
        <w:ind w:firstLine="640" w:firstLineChars="200"/>
        <w:rPr>
          <w:rFonts w:ascii="仿宋_GB2312" w:hAnsi="宋体" w:eastAsia="仿宋_GB2312"/>
          <w:spacing w:val="-4"/>
          <w:sz w:val="32"/>
          <w:szCs w:val="32"/>
        </w:rPr>
      </w:pPr>
      <w:r>
        <w:rPr>
          <w:rFonts w:hint="eastAsia" w:ascii="仿宋_GB2312" w:hAnsi="宋体" w:eastAsia="仿宋_GB2312"/>
          <w:sz w:val="32"/>
          <w:szCs w:val="32"/>
        </w:rPr>
        <w:t>2、</w:t>
      </w:r>
      <w:r>
        <w:rPr>
          <w:rFonts w:hint="eastAsia" w:ascii="仿宋_GB2312" w:eastAsia="仿宋_GB2312"/>
          <w:sz w:val="32"/>
        </w:rPr>
        <w:t>全面开展社会化管理服务工作，确保基金的安全和完整，</w:t>
      </w:r>
      <w:r>
        <w:rPr>
          <w:rFonts w:hint="eastAsia" w:ascii="仿宋_GB2312" w:hAnsi="宋体-18030" w:eastAsia="仿宋_GB2312" w:cs="宋体-18030"/>
          <w:bCs/>
          <w:spacing w:val="-4"/>
          <w:sz w:val="32"/>
        </w:rPr>
        <w:t>严格按照政策规定及时、足额发放各项补贴资金；</w:t>
      </w:r>
      <w:r>
        <w:rPr>
          <w:rFonts w:hint="eastAsia" w:ascii="仿宋_GB2312" w:hAnsi="宋体" w:eastAsia="仿宋_GB2312"/>
          <w:spacing w:val="-4"/>
          <w:sz w:val="32"/>
          <w:szCs w:val="32"/>
        </w:rPr>
        <w:t>认真执行城乡居民养老保险与城镇职工基本养老保险转移办法，进一步解决了两种险种制度上的无缝衔接。</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宋体"/>
          <w:sz w:val="32"/>
          <w:szCs w:val="32"/>
        </w:rPr>
        <w:t>3、顺利完成本年机关事业单位养老保险的征缴及退休待遇的发放工作。</w:t>
      </w: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攀枝花市西区社会保险事业管理局是攀枝花市西区人力资源和社会保障局下属的二级部门，属于参照公务员法管理的事业单位。</w:t>
      </w:r>
    </w:p>
    <w:p>
      <w:pPr>
        <w:widowControl/>
        <w:jc w:val="left"/>
        <w:rPr>
          <w:rFonts w:ascii="仿宋" w:hAnsi="仿宋" w:eastAsia="仿宋"/>
          <w:color w:val="000000"/>
          <w:kern w:val="0"/>
          <w:sz w:val="32"/>
          <w:szCs w:val="32"/>
        </w:rPr>
      </w:pPr>
      <w:r>
        <w:rPr>
          <w:rFonts w:hint="eastAsia" w:ascii="仿宋_GB2312" w:eastAsia="仿宋_GB2312"/>
          <w:sz w:val="32"/>
          <w:szCs w:val="32"/>
        </w:rPr>
        <w:t xml:space="preserve">    参公管理人员编制7人，实有5人（含工勤人员1人）；事业人员编制0人，实有1人（占用区人才交流中心编制）。编内聘用人员编制5人，实有5人;退休人员2人。</w:t>
      </w:r>
      <w:r>
        <w:rPr>
          <w:rFonts w:ascii="仿宋" w:hAnsi="仿宋" w:eastAsia="仿宋"/>
          <w:color w:val="000000"/>
          <w:sz w:val="32"/>
          <w:szCs w:val="32"/>
        </w:rPr>
        <w:br w:type="page"/>
      </w:r>
    </w:p>
    <w:p>
      <w:pPr>
        <w:pStyle w:val="2"/>
        <w:ind w:right="440"/>
        <w:jc w:val="right"/>
        <w:rPr>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Pr>
        <w:pStyle w:val="24"/>
        <w:numPr>
          <w:ilvl w:val="0"/>
          <w:numId w:val="2"/>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pStyle w:val="24"/>
        <w:spacing w:line="600" w:lineRule="exact"/>
        <w:ind w:firstLine="707" w:firstLineChars="221"/>
        <w:rPr>
          <w:rFonts w:ascii="仿宋" w:hAnsi="仿宋" w:eastAsia="仿宋"/>
          <w:color w:val="000000"/>
          <w:sz w:val="32"/>
          <w:szCs w:val="32"/>
        </w:rPr>
      </w:pPr>
      <w:bookmarkStart w:id="26" w:name="_Toc15396604"/>
      <w:bookmarkStart w:id="27" w:name="_Toc15377206"/>
      <w:r>
        <w:rPr>
          <w:rFonts w:hint="eastAsia" w:ascii="仿宋" w:hAnsi="仿宋" w:eastAsia="仿宋"/>
          <w:color w:val="000000"/>
          <w:sz w:val="32"/>
          <w:szCs w:val="32"/>
        </w:rPr>
        <w:t>2019年度收、支总计分别为155.06万元、182.3万元。与2018年相比，收、支总计各减少41.08万元、17.09万元，分别减少20.94</w:t>
      </w:r>
      <w:r>
        <w:rPr>
          <w:rFonts w:ascii="仿宋" w:hAnsi="仿宋" w:eastAsia="仿宋"/>
          <w:color w:val="000000"/>
          <w:sz w:val="32"/>
          <w:szCs w:val="32"/>
        </w:rPr>
        <w:t>%</w:t>
      </w:r>
      <w:r>
        <w:rPr>
          <w:rFonts w:hint="eastAsia" w:ascii="仿宋" w:hAnsi="仿宋" w:eastAsia="仿宋"/>
          <w:color w:val="000000"/>
          <w:sz w:val="32"/>
          <w:szCs w:val="32"/>
        </w:rPr>
        <w:t>、8.57%。</w:t>
      </w:r>
      <w:r>
        <w:rPr>
          <w:rFonts w:hint="eastAsia" w:ascii="仿宋_GB2312" w:hAnsi="宋体" w:eastAsia="仿宋_GB2312"/>
          <w:sz w:val="32"/>
          <w:szCs w:val="32"/>
        </w:rPr>
        <w:t>收入减少的主要原因是本年财政拨款21.37万元改为存量资金,减少财政拨款收入,增加年初结转结余。基本支出减少6.77万元,主要是因为2018年1-5月单位在职人员比2019年多一人,相应增加人员经费。项目经费减少12.89万元,主要是因为离休干部、革命伤残军人医疗费支出减少11.6万元,河门口离休干部津补贴减少1.04万元,都江堰干休所临时工社保单位部分减少0.33万元等。支出减少的主要原因:第一、本单位职工于尚军同志2018年5月不幸去世，2018年1-5月存在于尚军同志工资、社保等支出，还有于尚军同志一次性抚恤金和丧葬费；第二培训费、差旅费增加。项目支出67.18万元，比上年减少13.41%，其主要原因主要是因为离休干部、革命伤残军人医疗费支出减少11.6万元,河门口离休干部津补贴减少1.04万元,都江堰干休所临时工社保单位部分减少0.33万元等。</w:t>
      </w:r>
    </w:p>
    <w:p>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128905</wp:posOffset>
            </wp:positionH>
            <wp:positionV relativeFrom="paragraph">
              <wp:posOffset>238760</wp:posOffset>
            </wp:positionV>
            <wp:extent cx="3188335" cy="1955800"/>
            <wp:effectExtent l="0" t="0" r="0" b="0"/>
            <wp:wrapNone/>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 xml:space="preserve">  （图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left"/>
        <w:rPr>
          <w:rFonts w:ascii="仿宋_GB2312" w:eastAsia="仿宋_GB2312"/>
          <w:color w:val="000000"/>
          <w:sz w:val="32"/>
          <w:szCs w:val="32"/>
        </w:rPr>
      </w:pPr>
    </w:p>
    <w:p>
      <w:pPr>
        <w:pStyle w:val="24"/>
        <w:numPr>
          <w:ilvl w:val="0"/>
          <w:numId w:val="2"/>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pStyle w:val="24"/>
        <w:spacing w:line="600" w:lineRule="exact"/>
        <w:ind w:firstLine="707" w:firstLineChars="221"/>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9年本年收入合计155.06万元，其中：一般公共预算财政拨款收入155.01万元，占99.97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；其他收入0.05万元，占0.03</w:t>
      </w:r>
      <w:r>
        <w:rPr>
          <w:rFonts w:ascii="仿宋" w:hAnsi="仿宋" w:eastAsia="仿宋"/>
          <w:color w:val="000000"/>
          <w:sz w:val="32"/>
          <w:szCs w:val="32"/>
        </w:rPr>
        <w:t>%</w:t>
      </w:r>
      <w:r>
        <w:rPr>
          <w:rFonts w:hint="eastAsia" w:ascii="仿宋" w:hAnsi="仿宋" w:eastAsia="仿宋"/>
          <w:color w:val="000000"/>
          <w:sz w:val="32"/>
          <w:szCs w:val="32"/>
        </w:rPr>
        <w:t>。</w:t>
      </w:r>
    </w:p>
    <w:p>
      <w:pPr>
        <w:pStyle w:val="24"/>
        <w:spacing w:line="600" w:lineRule="exact"/>
        <w:ind w:left="1360" w:firstLine="0" w:firstLineChars="0"/>
        <w:rPr>
          <w:rFonts w:ascii="仿宋" w:hAnsi="仿宋" w:eastAsia="仿宋"/>
          <w:color w:val="000000"/>
          <w:sz w:val="32"/>
          <w:szCs w:val="32"/>
        </w:rPr>
      </w:pPr>
      <w:r>
        <w:rPr>
          <w:rFonts w:hint="eastAsia" w:ascii="仿宋" w:hAnsi="仿宋" w:eastAsia="仿宋"/>
          <w:color w:val="000000"/>
          <w:sz w:val="32"/>
          <w:szCs w:val="32"/>
        </w:rPr>
        <w:t>（图2：收入决算结构图）（饼状图）</w:t>
      </w:r>
    </w:p>
    <w:p>
      <w:pPr>
        <w:spacing w:line="600" w:lineRule="exact"/>
        <w:ind w:left="640"/>
        <w:rPr>
          <w:rFonts w:ascii="仿宋_GB2312" w:eastAsia="仿宋_GB2312"/>
          <w:color w:val="FF0000"/>
          <w:sz w:val="32"/>
          <w:szCs w:val="32"/>
        </w:rPr>
      </w:pPr>
      <w:r>
        <w:rPr>
          <w:rFonts w:ascii="仿宋_GB2312" w:eastAsia="仿宋_GB2312"/>
          <w:color w:val="FF0000"/>
          <w:sz w:val="32"/>
          <w:szCs w:val="32"/>
        </w:rPr>
        <w:drawing>
          <wp:anchor distT="0" distB="0" distL="114300" distR="114300" simplePos="0" relativeHeight="251660288" behindDoc="0" locked="0" layoutInCell="1" allowOverlap="1">
            <wp:simplePos x="0" y="0"/>
            <wp:positionH relativeFrom="column">
              <wp:posOffset>948055</wp:posOffset>
            </wp:positionH>
            <wp:positionV relativeFrom="paragraph">
              <wp:posOffset>40005</wp:posOffset>
            </wp:positionV>
            <wp:extent cx="2838450" cy="1398905"/>
            <wp:effectExtent l="0" t="0" r="0" b="0"/>
            <wp:wrapNone/>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outlineLvl w:val="1"/>
        <w:rPr>
          <w:rFonts w:ascii="仿宋" w:hAnsi="仿宋" w:eastAsia="仿宋"/>
          <w:color w:val="000000"/>
          <w:sz w:val="32"/>
          <w:szCs w:val="32"/>
        </w:rPr>
      </w:pPr>
      <w:bookmarkStart w:id="28" w:name="_Toc15377207"/>
      <w:bookmarkStart w:id="29" w:name="_Toc15396605"/>
    </w:p>
    <w:p>
      <w:pPr>
        <w:spacing w:line="600" w:lineRule="exact"/>
        <w:outlineLvl w:val="1"/>
        <w:rPr>
          <w:rFonts w:ascii="黑体" w:hAnsi="黑体" w:eastAsia="黑体" w:cstheme="majorBidi"/>
          <w:bCs/>
          <w:sz w:val="32"/>
          <w:szCs w:val="32"/>
        </w:rPr>
      </w:pPr>
    </w:p>
    <w:p>
      <w:pPr>
        <w:spacing w:line="600" w:lineRule="exact"/>
        <w:outlineLvl w:val="1"/>
        <w:rPr>
          <w:rFonts w:ascii="黑体" w:hAnsi="黑体" w:eastAsia="黑体" w:cstheme="majorBidi"/>
          <w:bCs/>
          <w:sz w:val="32"/>
          <w:szCs w:val="32"/>
        </w:rPr>
      </w:pPr>
    </w:p>
    <w:p>
      <w:pPr>
        <w:pStyle w:val="24"/>
        <w:numPr>
          <w:ilvl w:val="0"/>
          <w:numId w:val="2"/>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9年本年支出合计182.3万元，其中：基本支出115.12万元，占63.15</w:t>
      </w:r>
      <w:r>
        <w:rPr>
          <w:rFonts w:ascii="仿宋" w:hAnsi="仿宋" w:eastAsia="仿宋"/>
          <w:color w:val="000000"/>
          <w:sz w:val="32"/>
          <w:szCs w:val="32"/>
        </w:rPr>
        <w:t>%</w:t>
      </w:r>
      <w:r>
        <w:rPr>
          <w:rFonts w:hint="eastAsia" w:ascii="仿宋" w:hAnsi="仿宋" w:eastAsia="仿宋"/>
          <w:color w:val="000000"/>
          <w:sz w:val="32"/>
          <w:szCs w:val="32"/>
        </w:rPr>
        <w:t>；项目支出67.18万元，占36.85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drawing>
          <wp:anchor distT="0" distB="0" distL="114300" distR="114300" simplePos="0" relativeHeight="251661312" behindDoc="0" locked="0" layoutInCell="1" allowOverlap="1">
            <wp:simplePos x="0" y="0"/>
            <wp:positionH relativeFrom="column">
              <wp:posOffset>622300</wp:posOffset>
            </wp:positionH>
            <wp:positionV relativeFrom="paragraph">
              <wp:posOffset>38735</wp:posOffset>
            </wp:positionV>
            <wp:extent cx="3164205" cy="1423035"/>
            <wp:effectExtent l="0" t="0" r="0" b="0"/>
            <wp:wrapNone/>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ascii="黑体" w:hAnsi="黑体" w:eastAsia="黑体"/>
          <w:color w:val="000000"/>
          <w:sz w:val="32"/>
          <w:szCs w:val="32"/>
        </w:rPr>
      </w:pPr>
      <w:bookmarkStart w:id="30" w:name="_Toc15377208"/>
      <w:bookmarkStart w:id="31" w:name="_Toc15396606"/>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9年财政拨款收、支总计分别为155.01万元、182.21万元。与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8年相比，财政拨款收、支总计各减少41.03万元、17.12万元，分别减少20.93</w:t>
      </w:r>
      <w:r>
        <w:rPr>
          <w:rFonts w:ascii="仿宋" w:hAnsi="仿宋" w:eastAsia="仿宋"/>
          <w:color w:val="000000"/>
          <w:sz w:val="32"/>
          <w:szCs w:val="32"/>
        </w:rPr>
        <w:t>%</w:t>
      </w:r>
      <w:r>
        <w:rPr>
          <w:rFonts w:hint="eastAsia" w:ascii="仿宋" w:hAnsi="仿宋" w:eastAsia="仿宋"/>
          <w:color w:val="000000"/>
          <w:sz w:val="32"/>
          <w:szCs w:val="32"/>
        </w:rPr>
        <w:t>、8.59%。</w:t>
      </w:r>
      <w:r>
        <w:rPr>
          <w:rFonts w:hint="eastAsia" w:ascii="仿宋_GB2312" w:hAnsi="宋体" w:eastAsia="仿宋_GB2312"/>
          <w:sz w:val="32"/>
          <w:szCs w:val="32"/>
        </w:rPr>
        <w:t>主要是因为2018年1-5月单位在职人员较2019年1-9月多一人,且2018年增加于尚军同志丧葬费和抚恤金；公用经费支出9.64万元，较2018年增加25.03%，原因主要是今年培训增加，导致差旅费、培训费增加；项目支出67.18万元，比2018年减少13.34%，主要是因为离休干部、革命伤残军人医疗费支出减少11.6万元,河门口离休干部津补贴减少1.04万元,都江堰干休所临时工社保单位部分减少0.33万元等,减少上年结转结余支出;增加城乡居民养老保险区级财政补助。</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r>
        <w:rPr>
          <w:rFonts w:hint="eastAsia" w:ascii="仿宋" w:hAnsi="仿宋" w:eastAsia="仿宋"/>
          <w:b/>
          <w:color w:val="00B050"/>
          <w:sz w:val="32"/>
          <w:szCs w:val="32"/>
        </w:rPr>
        <w:drawing>
          <wp:anchor distT="0" distB="0" distL="114300" distR="114300" simplePos="0" relativeHeight="251662336" behindDoc="0" locked="0" layoutInCell="1" allowOverlap="1">
            <wp:simplePos x="0" y="0"/>
            <wp:positionH relativeFrom="column">
              <wp:posOffset>1035050</wp:posOffset>
            </wp:positionH>
            <wp:positionV relativeFrom="paragraph">
              <wp:posOffset>119380</wp:posOffset>
            </wp:positionV>
            <wp:extent cx="3117215" cy="1916430"/>
            <wp:effectExtent l="0" t="0" r="6957" b="0"/>
            <wp:wrapNone/>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9年一般公共预算财政拨款支出182.21万元，占本年支出合计的99.95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8年相比，一般公共预算财政拨款减少17.12万元，下降8.59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宋体" w:eastAsia="仿宋_GB2312"/>
          <w:sz w:val="32"/>
          <w:szCs w:val="32"/>
        </w:rPr>
        <w:t>因为2018年1-5月单位在职人员较2019年1-9月多一人,且2018年增加于尚军同志丧葬费和抚恤金；公用经费支出9.64万元，较2018年增加25.03%，原因主要是今年培训增加，导致差旅费、培训费增加；项目支出67.18万元，比2018年减少13.34%，主要是因为离休干部、革命伤残军人医疗费支出减少11.6万元,河门口离休干部津补贴减少1.04万元,都江堰干休所临时工社保单位部分减少0.33万元等,减少上年结转结余支出;增加城乡居民养老保险区级财政补助。</w:t>
      </w:r>
      <w:r>
        <w:rPr>
          <w:rFonts w:hint="eastAsia" w:ascii="仿宋" w:hAnsi="仿宋" w:eastAsia="仿宋"/>
          <w:color w:val="000000"/>
          <w:sz w:val="32"/>
          <w:szCs w:val="32"/>
        </w:rPr>
        <w:t>2018年单位职工死亡，增加死亡抚恤支出9.88万元；增加2018年省级财政和市级财政困难群众社会保险个人缴费代缴资金出18.54万元。</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9504" behindDoc="0" locked="0" layoutInCell="1" allowOverlap="1">
            <wp:simplePos x="0" y="0"/>
            <wp:positionH relativeFrom="column">
              <wp:posOffset>1130935</wp:posOffset>
            </wp:positionH>
            <wp:positionV relativeFrom="paragraph">
              <wp:posOffset>674370</wp:posOffset>
            </wp:positionV>
            <wp:extent cx="3120390" cy="1916430"/>
            <wp:effectExtent l="0" t="0" r="3782" b="0"/>
            <wp:wrapNone/>
            <wp:docPr id="1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drawing>
          <wp:anchor distT="0" distB="0" distL="114300" distR="114300" simplePos="0" relativeHeight="251667456" behindDoc="0" locked="0" layoutInCell="1" allowOverlap="1">
            <wp:simplePos x="0" y="0"/>
            <wp:positionH relativeFrom="column">
              <wp:posOffset>1905635</wp:posOffset>
            </wp:positionH>
            <wp:positionV relativeFrom="paragraph">
              <wp:posOffset>5068570</wp:posOffset>
            </wp:positionV>
            <wp:extent cx="2941955" cy="1769745"/>
            <wp:effectExtent l="0" t="0" r="0" b="635"/>
            <wp:wrapNone/>
            <wp:docPr id="11" name="对象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drawing>
          <wp:anchor distT="0" distB="0" distL="114300" distR="114300" simplePos="0" relativeHeight="251666432" behindDoc="0" locked="0" layoutInCell="1" allowOverlap="1">
            <wp:simplePos x="0" y="0"/>
            <wp:positionH relativeFrom="column">
              <wp:posOffset>1905635</wp:posOffset>
            </wp:positionH>
            <wp:positionV relativeFrom="paragraph">
              <wp:posOffset>5068570</wp:posOffset>
            </wp:positionV>
            <wp:extent cx="2941955" cy="1769745"/>
            <wp:effectExtent l="0" t="0" r="0" b="635"/>
            <wp:wrapNone/>
            <wp:docPr id="10"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themeColor="text1"/>
          <w:sz w:val="32"/>
          <w:szCs w:val="32"/>
        </w:rPr>
        <w:drawing>
          <wp:anchor distT="0" distB="0" distL="114300" distR="114300" simplePos="0" relativeHeight="251665408" behindDoc="0" locked="0" layoutInCell="1" allowOverlap="1">
            <wp:simplePos x="0" y="0"/>
            <wp:positionH relativeFrom="column">
              <wp:posOffset>1905635</wp:posOffset>
            </wp:positionH>
            <wp:positionV relativeFrom="paragraph">
              <wp:posOffset>5068570</wp:posOffset>
            </wp:positionV>
            <wp:extent cx="2941955" cy="1769745"/>
            <wp:effectExtent l="0" t="0" r="0" b="635"/>
            <wp:wrapNone/>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1905635</wp:posOffset>
            </wp:positionH>
            <wp:positionV relativeFrom="paragraph">
              <wp:posOffset>5068570</wp:posOffset>
            </wp:positionV>
            <wp:extent cx="2941955" cy="1769745"/>
            <wp:effectExtent l="0" t="0" r="0" b="635"/>
            <wp:wrapNone/>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000000" w:themeColor="text1"/>
          <w:sz w:val="32"/>
          <w:szCs w:val="32"/>
        </w:rPr>
        <w:drawing>
          <wp:anchor distT="0" distB="0" distL="114300" distR="114300" simplePos="0" relativeHeight="251663360" behindDoc="0" locked="0" layoutInCell="1" allowOverlap="1">
            <wp:simplePos x="0" y="0"/>
            <wp:positionH relativeFrom="column">
              <wp:posOffset>1905635</wp:posOffset>
            </wp:positionH>
            <wp:positionV relativeFrom="paragraph">
              <wp:posOffset>5068570</wp:posOffset>
            </wp:positionV>
            <wp:extent cx="2941955" cy="1769745"/>
            <wp:effectExtent l="0" t="0" r="0" b="635"/>
            <wp:wrapNone/>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9年一般公共预算财政拨款支出182.21万元，主要用于以下方面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支出166.41万元，占91.33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卫生健康支出</w:t>
      </w:r>
      <w:r>
        <w:rPr>
          <w:rFonts w:hint="eastAsia" w:ascii="仿宋" w:hAnsi="仿宋" w:eastAsia="仿宋"/>
          <w:color w:val="000000"/>
          <w:sz w:val="32"/>
          <w:szCs w:val="32"/>
        </w:rPr>
        <w:t>5.62万元，占3.08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住房保障支出</w:t>
      </w:r>
      <w:r>
        <w:rPr>
          <w:rFonts w:hint="eastAsia" w:ascii="仿宋" w:hAnsi="仿宋" w:eastAsia="仿宋"/>
          <w:color w:val="000000"/>
          <w:sz w:val="32"/>
          <w:szCs w:val="32"/>
        </w:rPr>
        <w:t>9.1万元，占4.99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农林水支出（类）</w:t>
      </w:r>
      <w:r>
        <w:rPr>
          <w:rFonts w:hint="eastAsia" w:ascii="仿宋" w:hAnsi="仿宋" w:eastAsia="仿宋"/>
          <w:color w:val="000000"/>
          <w:sz w:val="32"/>
          <w:szCs w:val="32"/>
        </w:rPr>
        <w:t>支出1.08万元，占0.6%。</w:t>
      </w:r>
      <w:r>
        <w:rPr>
          <w:rFonts w:hint="eastAsia" w:ascii="仿宋" w:hAnsi="仿宋" w:eastAsia="仿宋"/>
          <w:b/>
          <w:color w:val="000000"/>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8480" behindDoc="0" locked="0" layoutInCell="1" allowOverlap="1">
            <wp:simplePos x="0" y="0"/>
            <wp:positionH relativeFrom="column">
              <wp:posOffset>1154430</wp:posOffset>
            </wp:positionH>
            <wp:positionV relativeFrom="paragraph">
              <wp:posOffset>306070</wp:posOffset>
            </wp:positionV>
            <wp:extent cx="2989580" cy="1757045"/>
            <wp:effectExtent l="0" t="0" r="0" b="0"/>
            <wp:wrapNone/>
            <wp:docPr id="12" name="对象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sz w:val="32"/>
          <w:szCs w:val="32"/>
        </w:rPr>
        <w:t>2019年一般公共预算支出决算数为182.21</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完成预算98.56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社会保障和就业（类）人力资源和社会保障管理事务（款）行政运行（项）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支出决算为79.51万元，完成预算100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Cs/>
          <w:color w:val="000000"/>
          <w:sz w:val="32"/>
          <w:szCs w:val="32"/>
        </w:rPr>
        <w:t>社会保障和就业（类）人力资源和社会保障管理事务（款）社会保险经办机构（项）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支出决算为78.05万元，完成预算96.7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，决算数小于预算数的主要原因是部分项目支出截止2019年底未全部完成，结转至2020年完成；</w:t>
      </w:r>
      <w:r>
        <w:rPr>
          <w:rStyle w:val="15"/>
          <w:rFonts w:hint="eastAsia" w:ascii="仿宋" w:hAnsi="仿宋" w:eastAsia="仿宋"/>
          <w:bCs/>
          <w:color w:val="000000"/>
          <w:sz w:val="32"/>
          <w:szCs w:val="32"/>
        </w:rPr>
        <w:t>社会保障和就业（类）行政事业单位离退休（款）未归口管理的行政单位离退休（项）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支出决算为1.63万元，完成预算100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Cs/>
          <w:color w:val="000000"/>
          <w:sz w:val="32"/>
          <w:szCs w:val="32"/>
        </w:rPr>
        <w:t>社会保障和就业（类）行政事业单位离退休（款）机关事业单位基本养老保险缴费支出（项）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支出决算为7.29万元，完成预算100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Fonts w:ascii="仿宋" w:hAnsi="仿宋" w:eastAsia="仿宋"/>
          <w:b/>
          <w:color w:val="000000"/>
          <w:sz w:val="32"/>
          <w:szCs w:val="32"/>
        </w:rPr>
        <w:t xml:space="preserve"> </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 xml:space="preserve"> 卫生健康</w:t>
      </w:r>
      <w:r>
        <w:rPr>
          <w:rStyle w:val="15"/>
          <w:rFonts w:hint="eastAsia" w:ascii="仿宋" w:hAnsi="仿宋" w:eastAsia="仿宋"/>
          <w:bCs/>
          <w:color w:val="000000"/>
          <w:sz w:val="32"/>
          <w:szCs w:val="32"/>
        </w:rPr>
        <w:t>（类）行政事业单位医疗（款）行政单位医疗（项）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支出决算为4.05万元，完成预算100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（类）行政事业单位医疗（款）公务员医疗补助（项）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支出决算为0.66万元，完成预算100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3．农林水支出（类）扶贫（款）社会发展（项）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支出决算为1.08万元，完成预算100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4．住房保障支出（类）住房改革支出（款）住房公积金（项）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支出决算为9.1万元，完成预算100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9年一般公共预算财政拨款基本支出115.02万元，其中：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105.47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9.55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9年“三公”经费财政拨款支出决算为0.17万元，完成预算100</w:t>
      </w:r>
      <w:r>
        <w:rPr>
          <w:rFonts w:ascii="仿宋" w:hAnsi="仿宋" w:eastAsia="仿宋"/>
          <w:color w:val="000000"/>
          <w:sz w:val="32"/>
          <w:szCs w:val="32"/>
        </w:rPr>
        <w:t>%</w:t>
      </w:r>
      <w:r>
        <w:rPr>
          <w:rFonts w:hint="eastAsia" w:ascii="仿宋" w:hAnsi="仿宋" w:eastAsia="仿宋"/>
          <w:color w:val="000000"/>
          <w:sz w:val="32"/>
          <w:szCs w:val="32"/>
        </w:rPr>
        <w:t>，决算数等于预算数。</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；公务接待费支出决算0.17万元，占100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70528" behindDoc="0" locked="0" layoutInCell="1" allowOverlap="1">
            <wp:simplePos x="0" y="0"/>
            <wp:positionH relativeFrom="column">
              <wp:posOffset>447040</wp:posOffset>
            </wp:positionH>
            <wp:positionV relativeFrom="paragraph">
              <wp:posOffset>36195</wp:posOffset>
            </wp:positionV>
            <wp:extent cx="2989580" cy="1582420"/>
            <wp:effectExtent l="19050" t="0" r="20210" b="0"/>
            <wp:wrapNone/>
            <wp:docPr id="19" name="对象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0.17万元，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0.17</w:t>
      </w:r>
      <w:r>
        <w:rPr>
          <w:rFonts w:hint="eastAsia" w:ascii="仿宋_GB2312" w:eastAsia="仿宋_GB2312"/>
          <w:color w:val="000000"/>
          <w:sz w:val="32"/>
          <w:szCs w:val="32"/>
        </w:rPr>
        <w:t>万元，主要用于执行公务、开展业务活动开支的用餐费。国内公务接待1批次，18人次（不包括陪同人员），共计支出0.17万元，具体内容包括：2019年7月12日，攀枝花市社保基金专项检查工作小组对我区社会保险基金风险进行检查，检查小组共14人，陪同人员4人，共18人，检查工作结束后安排就餐，产生餐费0.17万元。</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bookmarkStart w:id="46" w:name="_Toc15396610"/>
      <w:bookmarkStart w:id="47"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3"/>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9年，西区社保局机关运行经费支出9.55万元，比</w:t>
      </w:r>
      <w:r>
        <w:rPr>
          <w:rFonts w:ascii="仿宋_GB2312" w:eastAsia="仿宋_GB2312"/>
          <w:color w:val="000000"/>
          <w:sz w:val="32"/>
          <w:szCs w:val="32"/>
        </w:rPr>
        <w:t>201</w:t>
      </w:r>
      <w:r>
        <w:rPr>
          <w:rFonts w:hint="eastAsia" w:ascii="仿宋_GB2312" w:eastAsia="仿宋_GB2312"/>
          <w:color w:val="000000"/>
          <w:sz w:val="32"/>
          <w:szCs w:val="32"/>
        </w:rPr>
        <w:t>8年增加1.72万元，增长21.97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主要原因是2019年外出培训任务增多，增加相应差旅费、培训费。</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9年，西区社保局政府采购支出总额0万元，其中：政府采购货物支出0万元、政府采购工程支出0万元、政府采购服务支出0万元。授予中小企业合同金额0万元，占政府采购支出总额的0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日，西区社保局共有车辆0辆，其中：主要领导干部用车0辆、机要通信用车0辆、应急保障用车0辆、其他用车0辆。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rPr>
          <w:rFonts w:ascii="仿宋" w:hAnsi="仿宋" w:eastAsia="仿宋"/>
          <w:b/>
          <w:color w:val="FF0000"/>
          <w:sz w:val="32"/>
          <w:szCs w:val="32"/>
        </w:rPr>
      </w:pP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eastAsia="仿宋_GB2312"/>
          <w:sz w:val="32"/>
          <w:szCs w:val="32"/>
        </w:rPr>
        <w:t>城乡居民社会养老保险区级财政补贴”、“都江堰干休所临时工作人员2019年社会保险单位承担部分”、“河门口商场离休人员津补贴”、“建国初期参加革命退休干部医疗补助”、“离休干部、二残、特殊照顾对象医药费、门诊补助”</w:t>
      </w:r>
      <w:r>
        <w:rPr>
          <w:rFonts w:hint="eastAsia" w:ascii="仿宋_GB2312" w:hAnsi="仿宋_GB2312" w:eastAsia="仿宋_GB2312" w:cs="仿宋_GB2312"/>
          <w:sz w:val="32"/>
          <w:szCs w:val="32"/>
        </w:rPr>
        <w:t>项目开展了预算事前绩效评估，对5个项目编制了绩效目标，预算执行过程中，选取5个项目开展绩效监控，年终执行完毕后，对5个项目开展了绩效目标完成情况自评。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本部门按要求对2019年部门整体支出开展绩效自评，从评价情况来看基本按照预算安排支出，完成全部预算的89%。本部门还自行组织了5个项目支出绩效评价，从评价情况来看全部完成年初绩效目标。</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eastAsia="仿宋_GB2312"/>
          <w:sz w:val="32"/>
          <w:szCs w:val="32"/>
        </w:rPr>
        <w:t>城乡居民社会养老保险区级财政补贴”、“都江堰干休所临时工作人员2019年社会保险单位承担部分”、“河门口商场离休人员津补贴”、“建国初期参加革命退休干部医疗补助”、“离休干部、二残、特殊照顾对象医药费、门诊补助”</w:t>
      </w:r>
      <w:r>
        <w:rPr>
          <w:rFonts w:hint="eastAsia" w:ascii="仿宋_GB2312" w:hAnsi="仿宋_GB2312" w:eastAsia="仿宋_GB2312" w:cs="仿宋_GB2312"/>
          <w:sz w:val="32"/>
          <w:szCs w:val="32"/>
        </w:rPr>
        <w:t>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eastAsia="仿宋_GB2312"/>
          <w:sz w:val="32"/>
          <w:szCs w:val="32"/>
        </w:rPr>
        <w:t>城乡居民社会养老保险区级财政补贴”</w:t>
      </w:r>
      <w:r>
        <w:rPr>
          <w:rFonts w:hint="eastAsia" w:ascii="仿宋_GB2312" w:hAnsi="仿宋_GB2312" w:eastAsia="仿宋_GB2312" w:cs="仿宋_GB2312"/>
          <w:sz w:val="32"/>
          <w:szCs w:val="32"/>
        </w:rPr>
        <w:t>项目绩效目标完成情况综述。项目全年预算数36.47万元，执行数为36.47万元，完成预算的100%。通过项目实施，保障了西区城乡居</w:t>
      </w:r>
      <w:r>
        <w:rPr>
          <w:rFonts w:hint="eastAsia" w:ascii="仿宋_GB2312" w:hAnsi="仿宋_GB2312" w:eastAsia="仿宋_GB2312" w:cs="仿宋_GB2312"/>
          <w:sz w:val="32"/>
          <w:szCs w:val="32"/>
          <w:lang w:val="en-US" w:eastAsia="zh-CN"/>
        </w:rPr>
        <w:t>民</w:t>
      </w:r>
      <w:bookmarkStart w:id="73" w:name="_GoBack"/>
      <w:bookmarkEnd w:id="73"/>
      <w:r>
        <w:rPr>
          <w:rFonts w:hint="eastAsia" w:ascii="仿宋_GB2312" w:hAnsi="仿宋_GB2312" w:eastAsia="仿宋_GB2312" w:cs="仿宋_GB2312"/>
          <w:sz w:val="32"/>
          <w:szCs w:val="32"/>
        </w:rPr>
        <w:t>参保人员及时缴费、享受待遇人员按照领取待遇。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eastAsia="仿宋_GB2312"/>
          <w:sz w:val="32"/>
          <w:szCs w:val="32"/>
        </w:rPr>
        <w:t>“都江堰干休所临时工作人员2019年社会保险单位承担部分”</w:t>
      </w:r>
      <w:r>
        <w:rPr>
          <w:rFonts w:hint="eastAsia" w:ascii="仿宋_GB2312" w:hAnsi="仿宋_GB2312" w:eastAsia="仿宋_GB2312" w:cs="仿宋_GB2312"/>
          <w:sz w:val="32"/>
          <w:szCs w:val="32"/>
        </w:rPr>
        <w:t>项目绩效目标完成情况综述。项目全年预算数1.5万元，执行数为1.5万元，完成预算的100%。通过项目实施，保障保障了都江堰干休所两名临时工作人员的权益，保障了都江堰干休所的正常运营。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eastAsia="仿宋_GB2312"/>
          <w:sz w:val="32"/>
          <w:szCs w:val="32"/>
        </w:rPr>
        <w:t>“河门口商场离休人员津补贴”</w:t>
      </w:r>
      <w:r>
        <w:rPr>
          <w:rFonts w:hint="eastAsia" w:ascii="仿宋_GB2312" w:hAnsi="仿宋_GB2312" w:eastAsia="仿宋_GB2312" w:cs="仿宋_GB2312"/>
          <w:sz w:val="32"/>
          <w:szCs w:val="32"/>
        </w:rPr>
        <w:t>项目绩效目标完成情况综述。项目全年预算数6.26万元，执行数为5.22万元，完成预算的83.39%。通过项目实施，保障离休干部的合法权益，维护了社会稳定。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eastAsia="仿宋_GB2312"/>
          <w:sz w:val="32"/>
          <w:szCs w:val="32"/>
        </w:rPr>
        <w:t>“建国初期参加革命退休干部医疗补助”</w:t>
      </w:r>
      <w:r>
        <w:rPr>
          <w:rFonts w:hint="eastAsia" w:ascii="仿宋_GB2312" w:hAnsi="仿宋_GB2312" w:eastAsia="仿宋_GB2312" w:cs="仿宋_GB2312"/>
          <w:sz w:val="32"/>
          <w:szCs w:val="32"/>
        </w:rPr>
        <w:t xml:space="preserve"> 项目绩效目标完成情况综述。项目全年预算数0.4万元，执行数为0.4万元，完成预算的100%。通过项目实施，保障了建国初期参加革命工作的退休干部权益，维护了社会稳定。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eastAsia="仿宋_GB2312"/>
          <w:sz w:val="32"/>
          <w:szCs w:val="32"/>
        </w:rPr>
        <w:t>“离休干部、二残、特殊照顾对象医药费、门诊补助”</w:t>
      </w:r>
      <w:r>
        <w:rPr>
          <w:rFonts w:hint="eastAsia" w:ascii="仿宋_GB2312" w:hAnsi="仿宋_GB2312" w:eastAsia="仿宋_GB2312" w:cs="仿宋_GB2312"/>
          <w:sz w:val="32"/>
          <w:szCs w:val="32"/>
        </w:rPr>
        <w:t xml:space="preserve"> 项目绩效目标完成情况综述。项目全年预算数16.7万元，执行数为16.7万元，完成预算的100%。通过项目实施，保障离休干部、伤残军人的权益，维护了社会稳定。</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723" w:firstLineChars="200"/>
        <w:jc w:val="center"/>
        <w:rPr>
          <w:rFonts w:ascii="宋体" w:hAnsi="宋体" w:cs="宋体"/>
          <w:color w:val="000000"/>
          <w:kern w:val="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p>
      <w:pPr>
        <w:spacing w:line="580" w:lineRule="exact"/>
        <w:ind w:firstLine="640" w:firstLineChars="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（一）</w:t>
      </w:r>
    </w:p>
    <w:tbl>
      <w:tblPr>
        <w:tblStyle w:val="13"/>
        <w:tblpPr w:leftFromText="180" w:rightFromText="180" w:vertAnchor="text" w:horzAnchor="page" w:tblpXSpec="center" w:tblpY="423"/>
        <w:tblOverlap w:val="never"/>
        <w:tblW w:w="10204" w:type="dxa"/>
        <w:tblInd w:w="0" w:type="dxa"/>
        <w:tblLayout w:type="fixed"/>
        <w:tblCellMar>
          <w:top w:w="0" w:type="dxa"/>
          <w:left w:w="0" w:type="dxa"/>
          <w:bottom w:w="0" w:type="dxa"/>
          <w:right w:w="0" w:type="dxa"/>
        </w:tblCellMar>
      </w:tblPr>
      <w:tblGrid>
        <w:gridCol w:w="657"/>
        <w:gridCol w:w="1364"/>
        <w:gridCol w:w="1023"/>
        <w:gridCol w:w="2386"/>
        <w:gridCol w:w="2388"/>
        <w:gridCol w:w="2386"/>
      </w:tblGrid>
      <w:tr>
        <w:tblPrEx>
          <w:tblCellMar>
            <w:top w:w="0" w:type="dxa"/>
            <w:left w:w="0" w:type="dxa"/>
            <w:bottom w:w="0" w:type="dxa"/>
            <w:right w:w="0" w:type="dxa"/>
          </w:tblCellMar>
        </w:tblPrEx>
        <w:trPr>
          <w:trHeight w:val="368" w:hRule="atLeast"/>
        </w:trPr>
        <w:tc>
          <w:tcPr>
            <w:tcW w:w="3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城乡居民养老保险财政补助资金</w:t>
            </w:r>
          </w:p>
        </w:tc>
      </w:tr>
      <w:tr>
        <w:tblPrEx>
          <w:tblCellMar>
            <w:top w:w="0" w:type="dxa"/>
            <w:left w:w="0" w:type="dxa"/>
            <w:bottom w:w="0" w:type="dxa"/>
            <w:right w:w="0" w:type="dxa"/>
          </w:tblCellMar>
        </w:tblPrEx>
        <w:trPr>
          <w:trHeight w:val="368" w:hRule="atLeast"/>
        </w:trPr>
        <w:tc>
          <w:tcPr>
            <w:tcW w:w="3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6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攀枝花市西区社会保险事业管理局</w:t>
            </w:r>
          </w:p>
        </w:tc>
      </w:tr>
      <w:tr>
        <w:tblPrEx>
          <w:tblCellMar>
            <w:top w:w="0" w:type="dxa"/>
            <w:left w:w="0" w:type="dxa"/>
            <w:bottom w:w="0" w:type="dxa"/>
            <w:right w:w="0" w:type="dxa"/>
          </w:tblCellMar>
        </w:tblPrEx>
        <w:trPr>
          <w:trHeight w:val="368" w:hRule="atLeast"/>
        </w:trPr>
        <w:tc>
          <w:tcPr>
            <w:tcW w:w="6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36.47</w:t>
            </w: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36.47</w:t>
            </w:r>
          </w:p>
        </w:tc>
      </w:tr>
      <w:tr>
        <w:tblPrEx>
          <w:tblCellMar>
            <w:top w:w="0" w:type="dxa"/>
            <w:left w:w="0" w:type="dxa"/>
            <w:bottom w:w="0" w:type="dxa"/>
            <w:right w:w="0" w:type="dxa"/>
          </w:tblCellMar>
        </w:tblPrEx>
        <w:trPr>
          <w:trHeight w:val="368"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36.47</w:t>
            </w: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36.47</w:t>
            </w:r>
          </w:p>
        </w:tc>
      </w:tr>
      <w:tr>
        <w:tblPrEx>
          <w:tblCellMar>
            <w:top w:w="0" w:type="dxa"/>
            <w:left w:w="0" w:type="dxa"/>
            <w:bottom w:w="0" w:type="dxa"/>
            <w:right w:w="0" w:type="dxa"/>
          </w:tblCellMar>
        </w:tblPrEx>
        <w:trPr>
          <w:trHeight w:val="1374"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368" w:hRule="atLeast"/>
        </w:trPr>
        <w:tc>
          <w:tcPr>
            <w:tcW w:w="6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214"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7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c>
          <w:tcPr>
            <w:tcW w:w="47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r>
      <w:tr>
        <w:tblPrEx>
          <w:tblCellMar>
            <w:top w:w="0" w:type="dxa"/>
            <w:left w:w="0" w:type="dxa"/>
            <w:bottom w:w="0" w:type="dxa"/>
            <w:right w:w="0" w:type="dxa"/>
          </w:tblCellMar>
        </w:tblPrEx>
        <w:trPr>
          <w:trHeight w:val="1116" w:hRule="atLeast"/>
        </w:trPr>
        <w:tc>
          <w:tcPr>
            <w:tcW w:w="6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04"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按时全额支付36.47万元</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按时全额支付36.47万元</w:t>
            </w:r>
          </w:p>
        </w:tc>
      </w:tr>
      <w:tr>
        <w:tblPrEx>
          <w:tblCellMar>
            <w:top w:w="0" w:type="dxa"/>
            <w:left w:w="0" w:type="dxa"/>
            <w:bottom w:w="0" w:type="dxa"/>
            <w:right w:w="0" w:type="dxa"/>
          </w:tblCellMar>
        </w:tblPrEx>
        <w:trPr>
          <w:trHeight w:val="1106"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r>
      <w:tr>
        <w:tblPrEx>
          <w:tblCellMar>
            <w:top w:w="0" w:type="dxa"/>
            <w:left w:w="0" w:type="dxa"/>
            <w:bottom w:w="0" w:type="dxa"/>
            <w:right w:w="0" w:type="dxa"/>
          </w:tblCellMar>
        </w:tblPrEx>
        <w:trPr>
          <w:trHeight w:val="897"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2019年底前支付</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2019年12月支付</w:t>
            </w:r>
          </w:p>
        </w:tc>
      </w:tr>
      <w:tr>
        <w:tblPrEx>
          <w:tblCellMar>
            <w:top w:w="0" w:type="dxa"/>
            <w:left w:w="0" w:type="dxa"/>
            <w:bottom w:w="0" w:type="dxa"/>
            <w:right w:w="0" w:type="dxa"/>
          </w:tblCellMar>
        </w:tblPrEx>
        <w:trPr>
          <w:trHeight w:val="1098"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城乡居民养老保险中人员财政补助36.47万元</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城乡居民养老保险中人员财政补助36.47万元</w:t>
            </w:r>
          </w:p>
        </w:tc>
      </w:tr>
      <w:tr>
        <w:tblPrEx>
          <w:tblCellMar>
            <w:top w:w="0" w:type="dxa"/>
            <w:left w:w="0" w:type="dxa"/>
            <w:bottom w:w="0" w:type="dxa"/>
            <w:right w:w="0" w:type="dxa"/>
          </w:tblCellMar>
        </w:tblPrEx>
        <w:trPr>
          <w:trHeight w:val="946"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民生工程促进社会和谐稳定</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民生工程促进社会和谐稳定</w:t>
            </w:r>
          </w:p>
        </w:tc>
      </w:tr>
      <w:tr>
        <w:tblPrEx>
          <w:tblCellMar>
            <w:top w:w="0" w:type="dxa"/>
            <w:left w:w="0" w:type="dxa"/>
            <w:bottom w:w="0" w:type="dxa"/>
            <w:right w:w="0" w:type="dxa"/>
          </w:tblCellMar>
        </w:tblPrEx>
        <w:trPr>
          <w:trHeight w:val="922" w:hRule="atLeast"/>
        </w:trPr>
        <w:tc>
          <w:tcPr>
            <w:tcW w:w="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c>
          <w:tcPr>
            <w:tcW w:w="2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r>
    </w:tbl>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w:t>
      </w:r>
    </w:p>
    <w:tbl>
      <w:tblPr>
        <w:tblStyle w:val="13"/>
        <w:tblpPr w:leftFromText="180" w:rightFromText="180" w:vertAnchor="text" w:horzAnchor="page" w:tblpXSpec="center" w:tblpY="423"/>
        <w:tblOverlap w:val="never"/>
        <w:tblW w:w="10229" w:type="dxa"/>
        <w:tblInd w:w="0" w:type="dxa"/>
        <w:tblLayout w:type="fixed"/>
        <w:tblCellMar>
          <w:top w:w="0" w:type="dxa"/>
          <w:left w:w="0" w:type="dxa"/>
          <w:bottom w:w="0" w:type="dxa"/>
          <w:right w:w="0" w:type="dxa"/>
        </w:tblCellMar>
      </w:tblPr>
      <w:tblGrid>
        <w:gridCol w:w="659"/>
        <w:gridCol w:w="1367"/>
        <w:gridCol w:w="1025"/>
        <w:gridCol w:w="2392"/>
        <w:gridCol w:w="2394"/>
        <w:gridCol w:w="2392"/>
      </w:tblGrid>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都江堰干休所临时工作人员社会保险单位承担部分</w:t>
            </w:r>
          </w:p>
        </w:tc>
      </w:tr>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攀枝花市西区社会保险事业管理局</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r>
      <w:tr>
        <w:tblPrEx>
          <w:tblCellMar>
            <w:top w:w="0" w:type="dxa"/>
            <w:left w:w="0" w:type="dxa"/>
            <w:bottom w:w="0" w:type="dxa"/>
            <w:right w:w="0" w:type="dxa"/>
          </w:tblCellMar>
        </w:tblPrEx>
        <w:trPr>
          <w:trHeight w:val="276"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r>
      <w:tr>
        <w:tblPrEx>
          <w:tblCellMar>
            <w:top w:w="0" w:type="dxa"/>
            <w:left w:w="0" w:type="dxa"/>
            <w:bottom w:w="0" w:type="dxa"/>
            <w:right w:w="0" w:type="dxa"/>
          </w:tblCellMar>
        </w:tblPrEx>
        <w:trPr>
          <w:trHeight w:val="1511"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r>
      <w:tr>
        <w:tblPrEx>
          <w:tblCellMar>
            <w:top w:w="0" w:type="dxa"/>
            <w:left w:w="0" w:type="dxa"/>
            <w:bottom w:w="0" w:type="dxa"/>
            <w:right w:w="0" w:type="dxa"/>
          </w:tblCellMar>
        </w:tblPrEx>
        <w:trPr>
          <w:trHeight w:val="1042"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按时全额支付1.5万元</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2019年底前支付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2019年9月支付</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都江堰干休所临时工社保单位部分1.5万元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都江堰干休所临时工社保单位部分1.5万元</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保障工作人员的权益及干休所的正常运营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保障工作人员的权益及干休所的正常运营</w:t>
            </w:r>
          </w:p>
        </w:tc>
      </w:tr>
      <w:tr>
        <w:tblPrEx>
          <w:tblCellMar>
            <w:top w:w="0" w:type="dxa"/>
            <w:left w:w="0" w:type="dxa"/>
            <w:bottom w:w="0" w:type="dxa"/>
            <w:right w:w="0" w:type="dxa"/>
          </w:tblCellMar>
        </w:tblPrEx>
        <w:trPr>
          <w:trHeight w:val="1050"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r>
    </w:tbl>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w:t>
      </w:r>
    </w:p>
    <w:tbl>
      <w:tblPr>
        <w:tblStyle w:val="13"/>
        <w:tblpPr w:leftFromText="180" w:rightFromText="180" w:vertAnchor="text" w:horzAnchor="page" w:tblpXSpec="center" w:tblpY="423"/>
        <w:tblOverlap w:val="never"/>
        <w:tblW w:w="10229" w:type="dxa"/>
        <w:tblInd w:w="0" w:type="dxa"/>
        <w:tblLayout w:type="fixed"/>
        <w:tblCellMar>
          <w:top w:w="0" w:type="dxa"/>
          <w:left w:w="0" w:type="dxa"/>
          <w:bottom w:w="0" w:type="dxa"/>
          <w:right w:w="0" w:type="dxa"/>
        </w:tblCellMar>
      </w:tblPr>
      <w:tblGrid>
        <w:gridCol w:w="659"/>
        <w:gridCol w:w="1367"/>
        <w:gridCol w:w="1025"/>
        <w:gridCol w:w="2392"/>
        <w:gridCol w:w="2394"/>
        <w:gridCol w:w="2392"/>
      </w:tblGrid>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河门口商场离休人员津补贴及护理费</w:t>
            </w:r>
          </w:p>
        </w:tc>
      </w:tr>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攀枝花市西区社会保险事业管理局</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6.26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5.22</w:t>
            </w:r>
          </w:p>
        </w:tc>
      </w:tr>
      <w:tr>
        <w:tblPrEx>
          <w:tblCellMar>
            <w:top w:w="0" w:type="dxa"/>
            <w:left w:w="0" w:type="dxa"/>
            <w:bottom w:w="0" w:type="dxa"/>
            <w:right w:w="0" w:type="dxa"/>
          </w:tblCellMar>
        </w:tblPrEx>
        <w:trPr>
          <w:trHeight w:val="276"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6.26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5.22</w:t>
            </w:r>
          </w:p>
        </w:tc>
      </w:tr>
      <w:tr>
        <w:tblPrEx>
          <w:tblCellMar>
            <w:top w:w="0" w:type="dxa"/>
            <w:left w:w="0" w:type="dxa"/>
            <w:bottom w:w="0" w:type="dxa"/>
            <w:right w:w="0" w:type="dxa"/>
          </w:tblCellMar>
        </w:tblPrEx>
        <w:trPr>
          <w:trHeight w:val="1511"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r>
      <w:tr>
        <w:tblPrEx>
          <w:tblCellMar>
            <w:top w:w="0" w:type="dxa"/>
            <w:left w:w="0" w:type="dxa"/>
            <w:bottom w:w="0" w:type="dxa"/>
            <w:right w:w="0" w:type="dxa"/>
          </w:tblCellMar>
        </w:tblPrEx>
        <w:trPr>
          <w:trHeight w:val="1042"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按时全额支付6.26万元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按时全额支付5.22万元</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2019年底前支付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2019年6月支付</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河门口商场离休干部津补贴6.26万元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河门口商场离休干部津补贴5.22万元</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促进社会和谐稳定</w:t>
            </w:r>
          </w:p>
        </w:tc>
      </w:tr>
      <w:tr>
        <w:tblPrEx>
          <w:tblCellMar>
            <w:top w:w="0" w:type="dxa"/>
            <w:left w:w="0" w:type="dxa"/>
            <w:bottom w:w="0" w:type="dxa"/>
            <w:right w:w="0" w:type="dxa"/>
          </w:tblCellMar>
        </w:tblPrEx>
        <w:trPr>
          <w:trHeight w:val="1050"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r>
    </w:tbl>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（四）</w:t>
      </w:r>
    </w:p>
    <w:tbl>
      <w:tblPr>
        <w:tblStyle w:val="13"/>
        <w:tblpPr w:leftFromText="180" w:rightFromText="180" w:vertAnchor="text" w:horzAnchor="page" w:tblpXSpec="center" w:tblpY="423"/>
        <w:tblOverlap w:val="never"/>
        <w:tblW w:w="10229" w:type="dxa"/>
        <w:tblInd w:w="0" w:type="dxa"/>
        <w:tblLayout w:type="fixed"/>
        <w:tblCellMar>
          <w:top w:w="0" w:type="dxa"/>
          <w:left w:w="0" w:type="dxa"/>
          <w:bottom w:w="0" w:type="dxa"/>
          <w:right w:w="0" w:type="dxa"/>
        </w:tblCellMar>
      </w:tblPr>
      <w:tblGrid>
        <w:gridCol w:w="659"/>
        <w:gridCol w:w="1367"/>
        <w:gridCol w:w="1025"/>
        <w:gridCol w:w="2392"/>
        <w:gridCol w:w="2394"/>
        <w:gridCol w:w="2392"/>
      </w:tblGrid>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建国初期参加革命退休干部医疗补助</w:t>
            </w:r>
          </w:p>
        </w:tc>
      </w:tr>
      <w:tr>
        <w:tblPrEx>
          <w:tblCellMar>
            <w:top w:w="0" w:type="dxa"/>
            <w:left w:w="0" w:type="dxa"/>
            <w:bottom w:w="0" w:type="dxa"/>
            <w:right w:w="0" w:type="dxa"/>
          </w:tblCellMar>
        </w:tblPrEx>
        <w:trPr>
          <w:trHeight w:val="276" w:hRule="atLeast"/>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攀枝花市西区社会保险事业管理局</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0.4</w:t>
            </w:r>
          </w:p>
        </w:tc>
      </w:tr>
      <w:tr>
        <w:tblPrEx>
          <w:tblCellMar>
            <w:top w:w="0" w:type="dxa"/>
            <w:left w:w="0" w:type="dxa"/>
            <w:bottom w:w="0" w:type="dxa"/>
            <w:right w:w="0" w:type="dxa"/>
          </w:tblCellMar>
        </w:tblPrEx>
        <w:trPr>
          <w:trHeight w:val="276"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0.4</w:t>
            </w:r>
          </w:p>
        </w:tc>
      </w:tr>
      <w:tr>
        <w:tblPrEx>
          <w:tblCellMar>
            <w:top w:w="0" w:type="dxa"/>
            <w:left w:w="0" w:type="dxa"/>
            <w:bottom w:w="0" w:type="dxa"/>
            <w:right w:w="0" w:type="dxa"/>
          </w:tblCellMar>
        </w:tblPrEx>
        <w:trPr>
          <w:trHeight w:val="1511"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r>
      <w:tr>
        <w:tblPrEx>
          <w:tblCellMar>
            <w:top w:w="0" w:type="dxa"/>
            <w:left w:w="0" w:type="dxa"/>
            <w:bottom w:w="0" w:type="dxa"/>
            <w:right w:w="0" w:type="dxa"/>
          </w:tblCellMar>
        </w:tblPrEx>
        <w:trPr>
          <w:trHeight w:val="1042" w:hRule="atLeast"/>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按时全额支付0.4万元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按时全额支付0.4万元</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符合补助条件人员全部补助到位</w:t>
            </w:r>
          </w:p>
        </w:tc>
      </w:tr>
      <w:tr>
        <w:tblPrEx>
          <w:tblCellMar>
            <w:top w:w="0" w:type="dxa"/>
            <w:left w:w="0" w:type="dxa"/>
            <w:bottom w:w="0" w:type="dxa"/>
            <w:right w:w="0" w:type="dxa"/>
          </w:tblCellMar>
        </w:tblPrEx>
        <w:trPr>
          <w:trHeight w:val="1042"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2019年9月支付</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建国初期参加革命干部医疗补助0.4万元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建国初期参加革命干部医疗补助0.4万元</w:t>
            </w:r>
          </w:p>
        </w:tc>
      </w:tr>
      <w:tr>
        <w:tblPrEx>
          <w:tblCellMar>
            <w:top w:w="0" w:type="dxa"/>
            <w:left w:w="0" w:type="dxa"/>
            <w:bottom w:w="0" w:type="dxa"/>
            <w:right w:w="0" w:type="dxa"/>
          </w:tblCellMar>
        </w:tblPrEx>
        <w:trPr>
          <w:trHeight w:val="129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保障了建国初期参加革命工作的退休干部权益，维护了社会稳定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保障了建国初期参加革命工作的退休干部权益，维护了社会稳定</w:t>
            </w:r>
          </w:p>
        </w:tc>
      </w:tr>
      <w:tr>
        <w:tblPrEx>
          <w:tblCellMar>
            <w:top w:w="0" w:type="dxa"/>
            <w:left w:w="0" w:type="dxa"/>
            <w:bottom w:w="0" w:type="dxa"/>
            <w:right w:w="0" w:type="dxa"/>
          </w:tblCellMar>
        </w:tblPrEx>
        <w:trPr>
          <w:trHeight w:val="1050"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r>
    </w:tbl>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（五）</w:t>
      </w:r>
    </w:p>
    <w:tbl>
      <w:tblPr>
        <w:tblStyle w:val="13"/>
        <w:tblpPr w:leftFromText="180" w:rightFromText="180" w:vertAnchor="text" w:horzAnchor="page" w:tblpXSpec="center" w:tblpY="423"/>
        <w:tblOverlap w:val="never"/>
        <w:tblW w:w="10245" w:type="dxa"/>
        <w:tblInd w:w="0" w:type="dxa"/>
        <w:tblLayout w:type="fixed"/>
        <w:tblCellMar>
          <w:top w:w="0" w:type="dxa"/>
          <w:left w:w="0" w:type="dxa"/>
          <w:bottom w:w="0" w:type="dxa"/>
          <w:right w:w="0" w:type="dxa"/>
        </w:tblCellMar>
      </w:tblPr>
      <w:tblGrid>
        <w:gridCol w:w="660"/>
        <w:gridCol w:w="1369"/>
        <w:gridCol w:w="1027"/>
        <w:gridCol w:w="1914"/>
        <w:gridCol w:w="2697"/>
        <w:gridCol w:w="182"/>
        <w:gridCol w:w="2396"/>
      </w:tblGrid>
      <w:tr>
        <w:tblPrEx>
          <w:tblCellMar>
            <w:top w:w="0" w:type="dxa"/>
            <w:left w:w="0" w:type="dxa"/>
            <w:bottom w:w="0" w:type="dxa"/>
            <w:right w:w="0" w:type="dxa"/>
          </w:tblCellMar>
        </w:tblPrEx>
        <w:trPr>
          <w:trHeight w:val="285" w:hRule="atLeast"/>
        </w:trPr>
        <w:tc>
          <w:tcPr>
            <w:tcW w:w="30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8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离休干部、二残、特殊照顾对象医药费、门诊补助</w:t>
            </w:r>
          </w:p>
        </w:tc>
      </w:tr>
      <w:tr>
        <w:tblPrEx>
          <w:tblCellMar>
            <w:top w:w="0" w:type="dxa"/>
            <w:left w:w="0" w:type="dxa"/>
            <w:bottom w:w="0" w:type="dxa"/>
            <w:right w:w="0" w:type="dxa"/>
          </w:tblCellMar>
        </w:tblPrEx>
        <w:trPr>
          <w:trHeight w:val="285" w:hRule="atLeast"/>
        </w:trPr>
        <w:tc>
          <w:tcPr>
            <w:tcW w:w="30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8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攀枝花市西区社会保险事业管理局</w:t>
            </w:r>
          </w:p>
        </w:tc>
      </w:tr>
      <w:tr>
        <w:tblPrEx>
          <w:tblCellMar>
            <w:top w:w="0" w:type="dxa"/>
            <w:left w:w="0" w:type="dxa"/>
            <w:bottom w:w="0" w:type="dxa"/>
            <w:right w:w="0" w:type="dxa"/>
          </w:tblCellMar>
        </w:tblPrEx>
        <w:trPr>
          <w:trHeight w:val="285"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16.7</w:t>
            </w:r>
          </w:p>
        </w:tc>
        <w:tc>
          <w:tcPr>
            <w:tcW w:w="28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16.7</w:t>
            </w:r>
          </w:p>
        </w:tc>
      </w:tr>
      <w:tr>
        <w:tblPrEx>
          <w:tblCellMar>
            <w:top w:w="0" w:type="dxa"/>
            <w:left w:w="0" w:type="dxa"/>
            <w:bottom w:w="0" w:type="dxa"/>
            <w:right w:w="0"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16.7</w:t>
            </w:r>
          </w:p>
        </w:tc>
        <w:tc>
          <w:tcPr>
            <w:tcW w:w="28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16.7</w:t>
            </w:r>
          </w:p>
        </w:tc>
      </w:tr>
      <w:tr>
        <w:tblPrEx>
          <w:tblCellMar>
            <w:top w:w="0" w:type="dxa"/>
            <w:left w:w="0" w:type="dxa"/>
            <w:bottom w:w="0" w:type="dxa"/>
            <w:right w:w="0" w:type="dxa"/>
          </w:tblCellMar>
        </w:tblPrEx>
        <w:trPr>
          <w:trHeight w:val="1558"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8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85"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2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9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3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c>
          <w:tcPr>
            <w:tcW w:w="527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w:t>
            </w:r>
          </w:p>
        </w:tc>
      </w:tr>
      <w:tr>
        <w:tblPrEx>
          <w:tblCellMar>
            <w:top w:w="0" w:type="dxa"/>
            <w:left w:w="0" w:type="dxa"/>
            <w:bottom w:w="0" w:type="dxa"/>
            <w:right w:w="0" w:type="dxa"/>
          </w:tblCellMar>
        </w:tblPrEx>
        <w:trPr>
          <w:trHeight w:val="1075"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7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按时全额支付16.7万元</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按时全额支付16.7万元</w:t>
            </w:r>
          </w:p>
        </w:tc>
      </w:tr>
      <w:tr>
        <w:tblPrEx>
          <w:tblCellMar>
            <w:top w:w="0" w:type="dxa"/>
            <w:left w:w="0" w:type="dxa"/>
            <w:bottom w:w="0" w:type="dxa"/>
            <w:right w:w="0" w:type="dxa"/>
          </w:tblCellMar>
        </w:tblPrEx>
        <w:trPr>
          <w:trHeight w:val="107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全员足额支付</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全员足额支付</w:t>
            </w:r>
          </w:p>
        </w:tc>
      </w:tr>
      <w:tr>
        <w:tblPrEx>
          <w:tblCellMar>
            <w:top w:w="0" w:type="dxa"/>
            <w:left w:w="0" w:type="dxa"/>
            <w:bottom w:w="0" w:type="dxa"/>
            <w:right w:w="0" w:type="dxa"/>
          </w:tblCellMar>
        </w:tblPrEx>
        <w:trPr>
          <w:trHeight w:val="107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每月25日前</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每月25日前</w:t>
            </w:r>
          </w:p>
        </w:tc>
      </w:tr>
      <w:tr>
        <w:tblPrEx>
          <w:tblCellMar>
            <w:top w:w="0" w:type="dxa"/>
            <w:left w:w="0" w:type="dxa"/>
            <w:bottom w:w="0" w:type="dxa"/>
            <w:right w:w="0" w:type="dxa"/>
          </w:tblCellMar>
        </w:tblPrEx>
        <w:trPr>
          <w:trHeight w:val="1338"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离休干部、二残、特殊照顾对象医药费、门诊补助16.7万元</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离休干部、二残、特殊照顾对象医药费、门诊补助16.7万元</w:t>
            </w:r>
          </w:p>
        </w:tc>
      </w:tr>
      <w:tr>
        <w:tblPrEx>
          <w:tblCellMar>
            <w:top w:w="0" w:type="dxa"/>
            <w:left w:w="0" w:type="dxa"/>
            <w:bottom w:w="0" w:type="dxa"/>
            <w:right w:w="0" w:type="dxa"/>
          </w:tblCellMar>
        </w:tblPrEx>
        <w:trPr>
          <w:trHeight w:val="1338"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保障离休干部、伤残军人的权益，维护了社会稳定</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保障离休干部、伤残军人的权益，维护了社会稳定</w:t>
            </w:r>
          </w:p>
        </w:tc>
      </w:tr>
      <w:tr>
        <w:tblPrEx>
          <w:tblCellMar>
            <w:top w:w="0" w:type="dxa"/>
            <w:left w:w="0" w:type="dxa"/>
            <w:bottom w:w="0" w:type="dxa"/>
            <w:right w:w="0" w:type="dxa"/>
          </w:tblCellMar>
        </w:tblPrEx>
        <w:trPr>
          <w:trHeight w:val="1083"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c>
          <w:tcPr>
            <w:tcW w:w="25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抽样调查达到基本满意及以上</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本部门按要求对2019年部门整体支出绩效评价情况开展自评，《西区社保局部门2019年部门整体支出绩效评价报告》见附件（附件1）。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eastAsia="仿宋_GB2312"/>
          <w:sz w:val="32"/>
          <w:szCs w:val="32"/>
        </w:rPr>
        <w:t>城乡居民社会养老保险区级财政补贴”、“都江堰干休所临时工作人员2019年社会保险单位承担部分”、“河门口商场离休人员津补贴”、“建国初期参加革命退休干部医疗补助”、“离休干部、二残、特殊照顾对象医药费、门诊补助”</w:t>
      </w:r>
      <w:r>
        <w:rPr>
          <w:rFonts w:hint="eastAsia" w:ascii="仿宋_GB2312" w:hAnsi="仿宋_GB2312" w:eastAsia="仿宋_GB2312" w:cs="仿宋_GB2312"/>
          <w:sz w:val="32"/>
          <w:szCs w:val="32"/>
        </w:rPr>
        <w:t>项目开展了绩效评价，《西区社保局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Fonts w:ascii="黑体" w:hAnsi="黑体" w:eastAsia="黑体"/>
          <w:bCs/>
          <w:kern w:val="44"/>
          <w:sz w:val="44"/>
          <w:szCs w:val="44"/>
        </w:rPr>
      </w:pPr>
      <w:bookmarkStart w:id="55" w:name="_Toc15396613"/>
      <w:bookmarkStart w:id="56"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pStyle w:val="23"/>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财政拨款收入：指单位从同级财政部门取得的财政预算资金。</w:t>
      </w:r>
    </w:p>
    <w:p>
      <w:pPr>
        <w:pStyle w:val="23"/>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事业收入：指事业单位开展专业业务活动及辅助活动取得的收入。</w:t>
      </w:r>
    </w:p>
    <w:p>
      <w:pPr>
        <w:pStyle w:val="23"/>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经营收入：指事业单位在专业业务活动及其辅助活动之外开展非独立核算经营活动取得的收入。</w:t>
      </w:r>
    </w:p>
    <w:p>
      <w:pPr>
        <w:pStyle w:val="23"/>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其他收入：指单位取得的除上述收入以外的各项收入。主要是利息收入（收入类型）等。</w:t>
      </w:r>
    </w:p>
    <w:p>
      <w:pPr>
        <w:pStyle w:val="23"/>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年初结转和结余：指以前年度尚未完成、结转到本年按有关规定继续使用的资金。</w:t>
      </w:r>
    </w:p>
    <w:p>
      <w:pPr>
        <w:pStyle w:val="23"/>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结余分配：指事业单位按照事业单位会计制度的规定从非财政补助结余中分配的事业基金和职工福利基金等。</w:t>
      </w:r>
    </w:p>
    <w:p>
      <w:pPr>
        <w:pStyle w:val="23"/>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、年末结转和结余：指单位按有关规定结转到下年或以后年度继续使用的资金。</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9.社会保障和就业支出：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（1）2080101（行政运行）：指行政单位（包括实行公务员管理的事业单位）的基本支出。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（2）2080109（社会保险经办机构）：指社会保险经办机构开展业务工作的支出。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（3）2080504（未归口管理的行政单位离退休）：指未实行归口管理的行政单位（包括实行公务员管理的事业单位）开支的离退休支出。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（4）2080505（机关事业单位基本养老保险缴费支出）：指机关事业单位实施养老保险制度由单位缴纳的基本养老保险费支出。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（5）2080801（死亡抚恤）：指用于烈士和牺牲、病故人员家属的一次性和定期抚恤金以及丧葬补助费。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10、卫生健康支出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（1）2101101（行政单位医疗）：指财政部门集中安排的行政单位基本医疗保险缴费经费。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（2）2101102（事业单位医疗）：指财政部门集中安排的事业单位基本医疗保险缴费经费。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（3）2101103（公务员医疗补助）：指财政部门集中安排的公务员医疗补助经费。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11、农林水支出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（1）2130506（社会发展）：指用于农村贫困地区中小学教育、文化、广播、电视、医疗、卫生等方面的项目支出。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12．住房保障支出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（1）2210201（住房公积金）：指行政事业单位按人力资源和社会保障部、财政部规定的基本工资和津贴补贴以及规定比例为职工缴纳的住房公积金。</w:t>
      </w:r>
    </w:p>
    <w:p>
      <w:pPr>
        <w:ind w:firstLine="640"/>
        <w:rPr>
          <w:rFonts w:ascii="仿宋" w:hAnsi="仿宋" w:eastAsia="仿宋"/>
          <w:b/>
          <w:color w:val="000000"/>
          <w:sz w:val="28"/>
          <w:szCs w:val="28"/>
        </w:rPr>
      </w:pPr>
      <w:r>
        <w:rPr>
          <w:rFonts w:hint="eastAsia" w:ascii="仿宋" w:hAnsi="仿宋" w:eastAsia="仿宋"/>
          <w:b/>
          <w:color w:val="000000"/>
          <w:sz w:val="28"/>
          <w:szCs w:val="28"/>
        </w:rPr>
        <w:t>（解释本部门决算报表中全部功能分类科目至项级，请参照《</w:t>
      </w:r>
      <w:r>
        <w:rPr>
          <w:rFonts w:ascii="仿宋" w:hAnsi="仿宋" w:eastAsia="仿宋"/>
          <w:b/>
          <w:color w:val="000000"/>
          <w:sz w:val="28"/>
          <w:szCs w:val="28"/>
        </w:rPr>
        <w:t>201</w:t>
      </w:r>
      <w:r>
        <w:rPr>
          <w:rFonts w:hint="eastAsia" w:ascii="仿宋" w:hAnsi="仿宋" w:eastAsia="仿宋"/>
          <w:b/>
          <w:color w:val="000000"/>
          <w:sz w:val="28"/>
          <w:szCs w:val="28"/>
        </w:rPr>
        <w:t>9年政府收支分类科目》增减内容。）</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13</w:t>
      </w:r>
      <w:r>
        <w:rPr>
          <w:rFonts w:ascii="仿宋_GB2312" w:eastAsia="仿宋_GB2312"/>
          <w:color w:val="000000"/>
          <w:sz w:val="28"/>
          <w:szCs w:val="28"/>
        </w:rPr>
        <w:t>.</w:t>
      </w:r>
      <w:r>
        <w:rPr>
          <w:rFonts w:hint="eastAsia" w:ascii="仿宋_GB2312" w:eastAsia="仿宋_GB2312"/>
          <w:color w:val="000000"/>
          <w:sz w:val="28"/>
          <w:szCs w:val="28"/>
        </w:rPr>
        <w:t>基本支出：指为保障机构正常运转、完成日常工作任务而发生的人员支出和公用支出。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14</w:t>
      </w:r>
      <w:r>
        <w:rPr>
          <w:rFonts w:ascii="仿宋_GB2312" w:eastAsia="仿宋_GB2312"/>
          <w:color w:val="000000"/>
          <w:sz w:val="28"/>
          <w:szCs w:val="28"/>
        </w:rPr>
        <w:t>.</w:t>
      </w:r>
      <w:r>
        <w:rPr>
          <w:rFonts w:hint="eastAsia" w:ascii="仿宋_GB2312" w:eastAsia="仿宋_GB2312"/>
          <w:color w:val="000000"/>
          <w:sz w:val="28"/>
          <w:szCs w:val="28"/>
        </w:rPr>
        <w:t>项目支出：指在基本支出之外为完成特定行政任务和事业发展目标所发生的支出。</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15</w:t>
      </w:r>
      <w:r>
        <w:rPr>
          <w:rFonts w:ascii="仿宋_GB2312" w:eastAsia="仿宋_GB2312"/>
          <w:color w:val="000000"/>
          <w:sz w:val="28"/>
          <w:szCs w:val="28"/>
        </w:rPr>
        <w:t>.</w:t>
      </w:r>
      <w:r>
        <w:rPr>
          <w:rFonts w:hint="eastAsia" w:ascii="仿宋_GB2312" w:eastAsia="仿宋_GB2312"/>
          <w:color w:val="000000"/>
          <w:sz w:val="28"/>
          <w:szCs w:val="28"/>
        </w:rPr>
        <w:t>经营支出：指事业单位在专业业务活动及其辅助活动之外开展非独立核算经营活动发生的支出。</w:t>
      </w:r>
    </w:p>
    <w:p>
      <w:pPr>
        <w:pStyle w:val="23"/>
        <w:ind w:firstLine="560" w:firstLineChars="200"/>
        <w:rPr>
          <w:rFonts w:ascii="仿宋_GB2312" w:eastAsia="仿宋_GB2312"/>
          <w:sz w:val="28"/>
          <w:szCs w:val="28"/>
        </w:rPr>
      </w:pPr>
      <w:r>
        <w:rPr>
          <w:rFonts w:hint="eastAsia" w:ascii="仿宋_GB2312" w:eastAsia="仿宋_GB2312"/>
          <w:sz w:val="28"/>
          <w:szCs w:val="28"/>
        </w:rPr>
        <w:t>16</w:t>
      </w:r>
      <w:r>
        <w:rPr>
          <w:rFonts w:ascii="仿宋_GB2312" w:eastAsia="仿宋_GB2312"/>
          <w:sz w:val="28"/>
          <w:szCs w:val="28"/>
        </w:rPr>
        <w:t>.</w:t>
      </w:r>
      <w:r>
        <w:rPr>
          <w:rFonts w:hint="eastAsia" w:ascii="仿宋_GB2312" w:eastAsia="仿宋_GB2312"/>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560" w:firstLineChars="200"/>
        <w:rPr>
          <w:rFonts w:ascii="仿宋_GB2312" w:eastAsia="仿宋_GB2312"/>
          <w:sz w:val="28"/>
          <w:szCs w:val="28"/>
        </w:rPr>
      </w:pPr>
      <w:r>
        <w:rPr>
          <w:rFonts w:hint="eastAsia" w:ascii="仿宋_GB2312" w:eastAsia="仿宋_GB2312"/>
          <w:sz w:val="28"/>
          <w:szCs w:val="28"/>
        </w:rPr>
        <w:t>17</w:t>
      </w:r>
      <w:r>
        <w:rPr>
          <w:rFonts w:ascii="仿宋_GB2312" w:eastAsia="仿宋_GB2312"/>
          <w:sz w:val="28"/>
          <w:szCs w:val="28"/>
        </w:rPr>
        <w:t>.</w:t>
      </w:r>
      <w:r>
        <w:rPr>
          <w:rFonts w:hint="eastAsia" w:ascii="仿宋_GB2312" w:eastAsia="仿宋_GB2312"/>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62" w:firstLineChars="200"/>
        <w:rPr>
          <w:rFonts w:ascii="仿宋" w:hAnsi="仿宋" w:eastAsia="仿宋"/>
          <w:b/>
          <w:color w:val="000000"/>
          <w:sz w:val="32"/>
          <w:szCs w:val="32"/>
        </w:rPr>
      </w:pPr>
      <w:r>
        <w:rPr>
          <w:rFonts w:hint="eastAsia" w:ascii="仿宋" w:hAnsi="仿宋" w:eastAsia="仿宋"/>
          <w:b/>
          <w:color w:val="000000"/>
          <w:sz w:val="28"/>
          <w:szCs w:val="28"/>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西区社保局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攀枝花市西区社会保险事业管理局是攀枝花市西区人力资源和社会保障局下属的二级部门，属于参照公务员法管理的事业单位。</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ind w:firstLine="630"/>
        <w:rPr>
          <w:rFonts w:ascii="仿宋_GB2312" w:eastAsia="仿宋_GB2312"/>
          <w:sz w:val="32"/>
          <w:szCs w:val="32"/>
        </w:rPr>
      </w:pPr>
      <w:r>
        <w:rPr>
          <w:rFonts w:hint="eastAsia" w:ascii="仿宋_GB2312" w:eastAsia="仿宋_GB2312"/>
          <w:sz w:val="32"/>
          <w:szCs w:val="32"/>
        </w:rPr>
        <w:t>1、贯彻执行党和国家有关社会保险的路线、方针、政策和法律、法规。</w:t>
      </w:r>
    </w:p>
    <w:p>
      <w:pPr>
        <w:ind w:firstLine="630"/>
        <w:rPr>
          <w:rFonts w:ascii="仿宋_GB2312" w:eastAsia="仿宋_GB2312"/>
          <w:sz w:val="32"/>
          <w:szCs w:val="32"/>
        </w:rPr>
      </w:pPr>
      <w:r>
        <w:rPr>
          <w:rFonts w:hint="eastAsia" w:ascii="仿宋_GB2312" w:eastAsia="仿宋_GB2312"/>
          <w:sz w:val="32"/>
          <w:szCs w:val="32"/>
        </w:rPr>
        <w:t>2、负责辖区内参保单位和个人养老、工伤、生育、失业、医疗保险基金的征收、管理、拨付等工作；</w:t>
      </w:r>
    </w:p>
    <w:p>
      <w:pPr>
        <w:ind w:firstLine="630"/>
        <w:rPr>
          <w:rFonts w:ascii="仿宋_GB2312" w:eastAsia="仿宋_GB2312"/>
          <w:sz w:val="32"/>
          <w:szCs w:val="32"/>
        </w:rPr>
      </w:pPr>
      <w:r>
        <w:rPr>
          <w:rFonts w:hint="eastAsia" w:ascii="仿宋_GB2312" w:eastAsia="仿宋_GB2312"/>
          <w:sz w:val="32"/>
          <w:szCs w:val="32"/>
        </w:rPr>
        <w:t>3、承办辖区参保单位社会保险登记、变更、注销，职工保险关系转移，灵活就业人员参保、续保工作；</w:t>
      </w:r>
    </w:p>
    <w:p>
      <w:pPr>
        <w:ind w:firstLine="630"/>
        <w:rPr>
          <w:rFonts w:ascii="仿宋_GB2312" w:eastAsia="仿宋_GB2312"/>
          <w:sz w:val="32"/>
          <w:szCs w:val="32"/>
        </w:rPr>
      </w:pPr>
      <w:r>
        <w:rPr>
          <w:rFonts w:hint="eastAsia" w:ascii="仿宋_GB2312" w:eastAsia="仿宋_GB2312"/>
          <w:sz w:val="32"/>
          <w:szCs w:val="32"/>
        </w:rPr>
        <w:t>4、审核参保职工待遇享受条件、计算其待遇，按时足额发放各类社会保险金。指导、督促协调街镇搞好社会保险工作；</w:t>
      </w:r>
    </w:p>
    <w:p>
      <w:pPr>
        <w:ind w:firstLine="630"/>
        <w:rPr>
          <w:rFonts w:ascii="仿宋_GB2312" w:eastAsia="仿宋_GB2312"/>
          <w:sz w:val="32"/>
          <w:szCs w:val="32"/>
        </w:rPr>
      </w:pPr>
      <w:r>
        <w:rPr>
          <w:rFonts w:hint="eastAsia" w:ascii="仿宋_GB2312" w:eastAsia="仿宋_GB2312"/>
          <w:sz w:val="32"/>
          <w:szCs w:val="32"/>
        </w:rPr>
        <w:t>5、负责社会保险数据、信息的处理和管理；</w:t>
      </w:r>
    </w:p>
    <w:p>
      <w:pPr>
        <w:ind w:firstLine="630"/>
        <w:rPr>
          <w:rFonts w:ascii="仿宋_GB2312" w:eastAsia="仿宋_GB2312"/>
          <w:sz w:val="32"/>
          <w:szCs w:val="32"/>
        </w:rPr>
      </w:pPr>
      <w:r>
        <w:rPr>
          <w:rFonts w:hint="eastAsia" w:ascii="仿宋_GB2312" w:eastAsia="仿宋_GB2312"/>
          <w:sz w:val="32"/>
          <w:szCs w:val="32"/>
        </w:rPr>
        <w:t>6、为参保单位和个人提供有关社会保险政策宣传咨询服务，受理群众来信来访；</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7、负责完成区委、区政府和上级部门交办的各项工作任务。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参公管理人员编制7人，实有5人（含工勤人员1人）；事业人员编制0人，实有1人（占用区人才交流中心编制）。退休人员2人；编内聘用人员编制5人，实有5人。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9年本年收入合计155.06万元，其中：一般公共预算财政拨款收入155.01万元，占99.97</w:t>
      </w:r>
      <w:r>
        <w:rPr>
          <w:rFonts w:ascii="仿宋" w:hAnsi="仿宋" w:eastAsia="仿宋"/>
          <w:color w:val="000000"/>
          <w:sz w:val="32"/>
          <w:szCs w:val="32"/>
        </w:rPr>
        <w:t>%</w:t>
      </w:r>
      <w:r>
        <w:rPr>
          <w:rFonts w:hint="eastAsia" w:ascii="仿宋" w:hAnsi="仿宋" w:eastAsia="仿宋"/>
          <w:color w:val="000000"/>
          <w:sz w:val="32"/>
          <w:szCs w:val="32"/>
        </w:rPr>
        <w:t>；其他收入0.05万元，占0.03</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9年本年支出合计182.3万元，其中：基本支出115.12万元，占63.15</w:t>
      </w:r>
      <w:r>
        <w:rPr>
          <w:rFonts w:ascii="仿宋" w:hAnsi="仿宋" w:eastAsia="仿宋"/>
          <w:color w:val="000000"/>
          <w:sz w:val="32"/>
          <w:szCs w:val="32"/>
        </w:rPr>
        <w:t>%</w:t>
      </w:r>
      <w:r>
        <w:rPr>
          <w:rFonts w:hint="eastAsia" w:ascii="仿宋" w:hAnsi="仿宋" w:eastAsia="仿宋"/>
          <w:color w:val="000000"/>
          <w:sz w:val="32"/>
          <w:szCs w:val="32"/>
        </w:rPr>
        <w:t>；项目支出67.18万元，占36.85</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我局在年度预算管理过程中，进一步强化资金的分配、使用、管理等关键环节的事前防范、事中控制、事后监督，努力提高项目资金的配置效率。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在制度建设方面，我局不断建立完善制度体系，围绕预算编制、执行、支付、监督等方面不断完善，建立用制度管人、管事、管财的长效机制，并在实际工作中认真贯彻执行，确保资金使用的安全、合规。</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在预算执行管理方面，我局切实履行预算管理职责，加强预算执行的监督管理，维护预算的严肃性。定期检查预算的执行进度情况，分析解决预算执行中存在的问题和困难，根据预算项目用途，确保专款专用。</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绩效自评结果的应用，是加强资金管理，增强资金绩效意识，合理配置资金，强化资金管理、提高资金使用效益的重要手段，不断补充和完善绩效评价指标，建立激励与约束机制。通过绩效自评，调整预算执行的进度，保障预算项目的全面落实。</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我局2019年绩效目标完成，职责履行良好，履职效益明显，预算配置科学，预算执行有效，预算管理规范，综合绩效指标自评良。</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通过绩效评价，我局存在的问题主要是预算年度工作计划难以细化，导致预算执行进度不均衡。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此问题，我局将进一步强化预算年度工作计划，提高预算编制质量。在编制预算年度工作计划时，要求项目实施科室一起制定工作计划和实施方案，提高工作计划和实施方案的准确性和可操作性。通过抓预算年度细化工作计划，合理科学编制预算，从而有效保障部门预算的执行。</w:t>
      </w: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西区社保局</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项目一：城乡居民养老保险财政补助资金</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因城乡居民养老保险由市局统一收、支，我局作为城乡居民养老保险的经办机构，需要按照要求进行项目预算，并及时将城乡居民养老保险区级财政补贴部分统一上缴至市局。</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宋体"/>
          <w:color w:val="222222"/>
          <w:spacing w:val="2"/>
          <w:kern w:val="0"/>
          <w:sz w:val="32"/>
          <w:szCs w:val="32"/>
        </w:rPr>
        <w:t>按照</w:t>
      </w:r>
      <w:r>
        <w:rPr>
          <w:rFonts w:hint="eastAsia" w:ascii="仿宋_GB2312" w:eastAsia="仿宋_GB2312"/>
          <w:sz w:val="32"/>
          <w:szCs w:val="32"/>
        </w:rPr>
        <w:t>《</w:t>
      </w:r>
      <w:r>
        <w:rPr>
          <w:rFonts w:hint="eastAsia" w:ascii="仿宋_GB2312" w:hAnsi="宋体" w:eastAsia="仿宋_GB2312"/>
          <w:sz w:val="32"/>
          <w:szCs w:val="32"/>
        </w:rPr>
        <w:t>攀枝花市新型农村社会养老保险试点实施办法》（攀府发[2010]1号）、</w:t>
      </w:r>
      <w:r>
        <w:rPr>
          <w:rFonts w:hint="eastAsia" w:ascii="仿宋_GB2312" w:eastAsia="仿宋_GB2312"/>
          <w:sz w:val="32"/>
          <w:szCs w:val="32"/>
        </w:rPr>
        <w:t>《攀枝花市城镇居民社会养老保险试点实施办法》（攀府发[2011]39号）、《关于转发〈省财政厅关于我省城乡居民社会养老保险省级财政补助比例的通知〉的通知》（攀财社[2012]36号）、四川省人力资源和社会保障厅等四部门关于贯彻落实《人力资源社会保障部国务院财政部国务院扶贫办关于切实做好社会保险扶贫工作的意见》的通知（川人社办发〔2017〕984号）确定的补助办法和补助比例，我区财政须对本辖区范围内参加居民养老保险的参保人员进行补助，具体补助人数和金额由市社保局提供。我局必须全额按时将补助资金转入市社保局基金专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宋体"/>
          <w:spacing w:val="2"/>
          <w:kern w:val="0"/>
          <w:sz w:val="32"/>
          <w:szCs w:val="32"/>
        </w:rPr>
        <w:t>按照</w:t>
      </w:r>
      <w:r>
        <w:rPr>
          <w:rFonts w:hint="eastAsia" w:ascii="仿宋_GB2312" w:eastAsia="仿宋_GB2312"/>
          <w:sz w:val="32"/>
          <w:szCs w:val="32"/>
        </w:rPr>
        <w:t>《</w:t>
      </w:r>
      <w:r>
        <w:rPr>
          <w:rFonts w:hint="eastAsia" w:ascii="仿宋_GB2312" w:hAnsi="宋体" w:eastAsia="仿宋_GB2312"/>
          <w:sz w:val="32"/>
          <w:szCs w:val="32"/>
        </w:rPr>
        <w:t>攀枝花市新型农村社会养老保险试点实施办法》（攀府发[2010]1号）、</w:t>
      </w:r>
      <w:r>
        <w:rPr>
          <w:rFonts w:hint="eastAsia" w:ascii="仿宋_GB2312" w:eastAsia="仿宋_GB2312"/>
          <w:sz w:val="32"/>
          <w:szCs w:val="32"/>
        </w:rPr>
        <w:t>《攀枝花市城镇居民社会养老保险试点实施办法》（攀府发[2011]39号）、《关于转发〈省财政厅关于我省城乡居民社会养老保险省级财政补助比例的通知〉的通知》（攀财社[2012]36号）确定的补助办法和补助比例,区县应配套相应补助资金。</w:t>
      </w:r>
    </w:p>
    <w:p>
      <w:pPr>
        <w:spacing w:line="353" w:lineRule="auto"/>
        <w:ind w:firstLine="640" w:firstLineChars="200"/>
        <w:jc w:val="left"/>
        <w:rPr>
          <w:rFonts w:ascii="仿宋_GB2312" w:eastAsia="仿宋_GB2312"/>
          <w:sz w:val="32"/>
          <w:szCs w:val="32"/>
        </w:rPr>
      </w:pPr>
      <w:r>
        <w:rPr>
          <w:rFonts w:hint="eastAsia" w:ascii="仿宋_GB2312" w:hAnsi="宋体" w:eastAsia="仿宋_GB2312"/>
          <w:sz w:val="32"/>
          <w:szCs w:val="32"/>
          <w:lang w:val="zh-CN"/>
        </w:rPr>
        <w:t>2．</w:t>
      </w:r>
      <w:r>
        <w:rPr>
          <w:rFonts w:hint="eastAsia" w:ascii="仿宋_GB2312" w:eastAsia="仿宋_GB2312"/>
          <w:sz w:val="32"/>
          <w:szCs w:val="32"/>
        </w:rPr>
        <w:t>数量指标年初预算为涉及人数1500人，补助金额17万元；年中根据市局实际结算通知调增预算19.47万元，实际完成指标为涉及人数1500人，补助金额36.47万元，预算完成率100%，质量指标为符合补助条件人员全部补助到位，目标任务完成；时效指标为2019年年底前支付，目标任务完成；成本指标年初预算为1500名城乡居民养老保险参保人员2019财政补助17万，年中根据市局实际结算通知调增预算19.47万元，实际完成指标为涉及人数1500人，补助金额36.47万元，预算完成率100%。</w:t>
      </w:r>
    </w:p>
    <w:p>
      <w:pPr>
        <w:pStyle w:val="7"/>
        <w:spacing w:line="353"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（2）效益指标完成情况分析。</w:t>
      </w:r>
    </w:p>
    <w:p>
      <w:pPr>
        <w:pStyle w:val="7"/>
        <w:spacing w:line="353" w:lineRule="auto"/>
        <w:ind w:firstLine="640" w:firstLineChars="200"/>
        <w:rPr>
          <w:rFonts w:ascii="Times New Roman" w:hAnsi="Times New Roman" w:eastAsia="仿宋_GB2312"/>
          <w:b/>
          <w:sz w:val="32"/>
          <w:szCs w:val="32"/>
        </w:rPr>
      </w:pPr>
      <w:r>
        <w:rPr>
          <w:rFonts w:ascii="Times New Roman" w:hAnsi="Times New Roman" w:eastAsia="仿宋_GB2312"/>
          <w:sz w:val="32"/>
          <w:szCs w:val="32"/>
        </w:rPr>
        <w:t>社会效益</w:t>
      </w:r>
      <w:r>
        <w:rPr>
          <w:rFonts w:hint="eastAsia" w:ascii="Times New Roman" w:hAnsi="Times New Roman" w:eastAsia="仿宋_GB2312"/>
          <w:sz w:val="32"/>
          <w:szCs w:val="32"/>
        </w:rPr>
        <w:t>指标为民生工程促进社会和谐稳定，</w:t>
      </w:r>
      <w:r>
        <w:rPr>
          <w:rFonts w:hint="eastAsia" w:ascii="仿宋_GB2312" w:eastAsia="仿宋_GB2312"/>
          <w:sz w:val="32"/>
          <w:szCs w:val="32"/>
        </w:rPr>
        <w:t>目标任务完成</w:t>
      </w:r>
      <w:r>
        <w:rPr>
          <w:rFonts w:ascii="Times New Roman" w:hAnsi="Times New Roman" w:eastAsia="仿宋_GB2312"/>
          <w:sz w:val="32"/>
          <w:szCs w:val="32"/>
        </w:rPr>
        <w:t>。</w:t>
      </w:r>
    </w:p>
    <w:p>
      <w:pPr>
        <w:pStyle w:val="7"/>
        <w:spacing w:line="353"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（3）满意度指标完成情况分析。</w:t>
      </w:r>
    </w:p>
    <w:p>
      <w:pPr>
        <w:adjustRightInd w:val="0"/>
        <w:snapToGrid w:val="0"/>
        <w:spacing w:line="600" w:lineRule="exact"/>
        <w:ind w:firstLine="720"/>
        <w:rPr>
          <w:rFonts w:ascii="仿宋_GB2312" w:hAnsi="宋体" w:eastAsia="仿宋_GB2312"/>
          <w:sz w:val="32"/>
          <w:szCs w:val="32"/>
          <w:lang w:val="zh-CN"/>
        </w:rPr>
      </w:pPr>
      <w:r>
        <w:rPr>
          <w:rFonts w:hint="eastAsia" w:eastAsia="仿宋_GB2312"/>
          <w:sz w:val="32"/>
          <w:szCs w:val="32"/>
        </w:rPr>
        <w:t>满意度指标为群众满意度抽样调查达到基本满意及以上，</w:t>
      </w:r>
      <w:r>
        <w:rPr>
          <w:rFonts w:hint="eastAsia" w:ascii="仿宋_GB2312" w:eastAsia="仿宋_GB2312"/>
          <w:sz w:val="32"/>
          <w:szCs w:val="32"/>
        </w:rPr>
        <w:t>目标任务完成</w:t>
      </w:r>
      <w:r>
        <w:rPr>
          <w:rFonts w:eastAsia="仿宋_GB2312"/>
          <w:sz w:val="32"/>
          <w:szCs w:val="32"/>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 xml:space="preserve">该项目资金纳入年初预算编制，因市社保局未提供准确的预算数据，我局按2018年支付情况进行预算，预算金额为17万元，2019年7月，市社保局下发《关于 2018 年度城乡居民养老保险县（区）财政补助资金结算和 2019 年度  </w:t>
      </w:r>
    </w:p>
    <w:p>
      <w:pPr>
        <w:adjustRightInd w:val="0"/>
        <w:snapToGrid w:val="0"/>
        <w:spacing w:line="600" w:lineRule="exact"/>
        <w:rPr>
          <w:rFonts w:ascii="仿宋_GB2312" w:hAnsi="宋体" w:eastAsia="仿宋_GB2312"/>
          <w:sz w:val="32"/>
          <w:szCs w:val="32"/>
          <w:lang w:val="zh-CN"/>
        </w:rPr>
      </w:pPr>
      <w:r>
        <w:rPr>
          <w:rFonts w:hint="eastAsia" w:ascii="仿宋_GB2312" w:hAnsi="宋体" w:eastAsia="仿宋_GB2312"/>
          <w:sz w:val="32"/>
          <w:szCs w:val="32"/>
          <w:lang w:val="zh-CN"/>
        </w:rPr>
        <w:t>预算情况的通知》，明确我区2019年应上缴的区级财政补贴准确数。根据通知的金额与年初预算金额的差额，我局向区政府申请追加预算19.47万元，区政府批复后财政下达预算指标。</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1．资金计划。该项资金由区财政预算下达我局，由我局于2019年年底前将该项资金全部上缴市社保局。</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截止2019年12月区级财政补助资金全部到位。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3．资金使用。2019年12月我局按要求将该专项资金上缴市社保局指定账户。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我局在项目资金管理上严格做到专款专用，对预算执行情况进行跟踪，及时调整，准确进行账务处理及时，会计核算规范。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及时与市局沟通，按照市局确定金额进行预算调整，按时上缴专项资金。</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eastAsia="仿宋_GB2312"/>
          <w:sz w:val="32"/>
          <w:szCs w:val="32"/>
        </w:rPr>
        <w:t>数量指标年初预算为涉及人数1500人，补助金额17万元；年中根据市局实际结算通知调增预算19.47万元，实际完成指标为涉及人数1500人，补助金额36.47万元，预算完成率100%，质量指标为符合补助条件人员全部补助到位，目标任务完成；时效指标为2019年年底前支付，目标任务完成；成本指标年初预算为1500名城乡居民养老保险参保人员2019财政补助17万，年中根据市局实际结算通知调增预算19.47万元，实际完成指标为涉及人数1500人，补助金额36.47万元，预算完成率100%。</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社会效益：民生工程促进社会和谐；服务对象满意度：基本满意。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通过项目绩效评价可以得出以下结论：该项目各项指标均达到了预期，圆满完成了工作任务。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未建立健全规范的自评体系，对项目支出自评工作不够全面、不够客观；专业水平不高，自评结果不能达到公认的评价效果。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针对项目自评中发现的问题，提出以下改进完善的建议：一是完善行政事业单位项目支出评价相关制度；二是全面完善绩效评价方式的协调统一；三是加强评价结果的运用。</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Fonts w:ascii="黑体" w:hAnsi="黑体" w:eastAsia="黑体"/>
          <w:bCs/>
          <w:kern w:val="44"/>
          <w:sz w:val="44"/>
          <w:szCs w:val="44"/>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FB53025"/>
    <w:multiLevelType w:val="multilevel"/>
    <w:tmpl w:val="6FB53025"/>
    <w:lvl w:ilvl="0" w:tentative="0">
      <w:start w:val="1"/>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34F7"/>
    <w:rsid w:val="0002549F"/>
    <w:rsid w:val="000417A3"/>
    <w:rsid w:val="000468DB"/>
    <w:rsid w:val="0006487A"/>
    <w:rsid w:val="00065F8F"/>
    <w:rsid w:val="00070A43"/>
    <w:rsid w:val="000739D1"/>
    <w:rsid w:val="000768F2"/>
    <w:rsid w:val="0009184B"/>
    <w:rsid w:val="00094236"/>
    <w:rsid w:val="0009593C"/>
    <w:rsid w:val="00097322"/>
    <w:rsid w:val="000A2309"/>
    <w:rsid w:val="000A4190"/>
    <w:rsid w:val="000A6A92"/>
    <w:rsid w:val="000B047F"/>
    <w:rsid w:val="000B428B"/>
    <w:rsid w:val="000B5923"/>
    <w:rsid w:val="000B5A48"/>
    <w:rsid w:val="000B6FF3"/>
    <w:rsid w:val="000C3467"/>
    <w:rsid w:val="000C3CA6"/>
    <w:rsid w:val="000D1267"/>
    <w:rsid w:val="000D1D50"/>
    <w:rsid w:val="000D5782"/>
    <w:rsid w:val="000E6613"/>
    <w:rsid w:val="000E7119"/>
    <w:rsid w:val="00114E9B"/>
    <w:rsid w:val="0012613F"/>
    <w:rsid w:val="00142216"/>
    <w:rsid w:val="00144D6A"/>
    <w:rsid w:val="0014729F"/>
    <w:rsid w:val="00157BAB"/>
    <w:rsid w:val="001654D1"/>
    <w:rsid w:val="00174518"/>
    <w:rsid w:val="0018106D"/>
    <w:rsid w:val="001877A7"/>
    <w:rsid w:val="00191536"/>
    <w:rsid w:val="00193B21"/>
    <w:rsid w:val="00196687"/>
    <w:rsid w:val="001B2FE9"/>
    <w:rsid w:val="001C0962"/>
    <w:rsid w:val="001C32BD"/>
    <w:rsid w:val="001D60D6"/>
    <w:rsid w:val="001D7531"/>
    <w:rsid w:val="001E3FEA"/>
    <w:rsid w:val="001E737D"/>
    <w:rsid w:val="001F0592"/>
    <w:rsid w:val="001F71AD"/>
    <w:rsid w:val="001F7506"/>
    <w:rsid w:val="002006CD"/>
    <w:rsid w:val="00202B36"/>
    <w:rsid w:val="00204B7A"/>
    <w:rsid w:val="00204CDE"/>
    <w:rsid w:val="002076C0"/>
    <w:rsid w:val="0021101A"/>
    <w:rsid w:val="00220536"/>
    <w:rsid w:val="00222BC3"/>
    <w:rsid w:val="00235629"/>
    <w:rsid w:val="00235F28"/>
    <w:rsid w:val="002534E3"/>
    <w:rsid w:val="00260C38"/>
    <w:rsid w:val="002616C0"/>
    <w:rsid w:val="00265372"/>
    <w:rsid w:val="002662AA"/>
    <w:rsid w:val="00280496"/>
    <w:rsid w:val="00285209"/>
    <w:rsid w:val="00294DC9"/>
    <w:rsid w:val="00295495"/>
    <w:rsid w:val="002A31DE"/>
    <w:rsid w:val="002B2613"/>
    <w:rsid w:val="002C3D7D"/>
    <w:rsid w:val="002D19B0"/>
    <w:rsid w:val="002D5DC5"/>
    <w:rsid w:val="002D6D05"/>
    <w:rsid w:val="002F1818"/>
    <w:rsid w:val="002F567B"/>
    <w:rsid w:val="003216A9"/>
    <w:rsid w:val="00335A74"/>
    <w:rsid w:val="00355B5E"/>
    <w:rsid w:val="0036561B"/>
    <w:rsid w:val="0037013F"/>
    <w:rsid w:val="00371BA0"/>
    <w:rsid w:val="00380C92"/>
    <w:rsid w:val="00397262"/>
    <w:rsid w:val="003A484F"/>
    <w:rsid w:val="003A4883"/>
    <w:rsid w:val="003B0BE0"/>
    <w:rsid w:val="003B0C1B"/>
    <w:rsid w:val="003B688C"/>
    <w:rsid w:val="003C0291"/>
    <w:rsid w:val="003C0481"/>
    <w:rsid w:val="003C39AE"/>
    <w:rsid w:val="003C7B60"/>
    <w:rsid w:val="003C7E75"/>
    <w:rsid w:val="003D0C0F"/>
    <w:rsid w:val="003D1FB2"/>
    <w:rsid w:val="003D66DA"/>
    <w:rsid w:val="003E1310"/>
    <w:rsid w:val="003E6F55"/>
    <w:rsid w:val="00403B55"/>
    <w:rsid w:val="00406254"/>
    <w:rsid w:val="00416CD4"/>
    <w:rsid w:val="004223DE"/>
    <w:rsid w:val="00434489"/>
    <w:rsid w:val="00437085"/>
    <w:rsid w:val="004416A2"/>
    <w:rsid w:val="00443880"/>
    <w:rsid w:val="004464F4"/>
    <w:rsid w:val="0046513A"/>
    <w:rsid w:val="00471401"/>
    <w:rsid w:val="00473F31"/>
    <w:rsid w:val="00474CC7"/>
    <w:rsid w:val="0048263A"/>
    <w:rsid w:val="00487E5D"/>
    <w:rsid w:val="004A711F"/>
    <w:rsid w:val="004B199D"/>
    <w:rsid w:val="004B4690"/>
    <w:rsid w:val="004E0A2D"/>
    <w:rsid w:val="004E206B"/>
    <w:rsid w:val="004E6DF7"/>
    <w:rsid w:val="004F0579"/>
    <w:rsid w:val="004F0FBD"/>
    <w:rsid w:val="004F403E"/>
    <w:rsid w:val="00505A47"/>
    <w:rsid w:val="00512FDA"/>
    <w:rsid w:val="00517296"/>
    <w:rsid w:val="00520DA0"/>
    <w:rsid w:val="005664BB"/>
    <w:rsid w:val="00566FFA"/>
    <w:rsid w:val="00572981"/>
    <w:rsid w:val="0057481D"/>
    <w:rsid w:val="00575F0B"/>
    <w:rsid w:val="0058486E"/>
    <w:rsid w:val="00585B33"/>
    <w:rsid w:val="0059014D"/>
    <w:rsid w:val="005953C0"/>
    <w:rsid w:val="005A6911"/>
    <w:rsid w:val="005B3E12"/>
    <w:rsid w:val="005B5C64"/>
    <w:rsid w:val="005C6BD0"/>
    <w:rsid w:val="005C6C4C"/>
    <w:rsid w:val="005D1C8B"/>
    <w:rsid w:val="005D468D"/>
    <w:rsid w:val="005D5CED"/>
    <w:rsid w:val="005F1A4C"/>
    <w:rsid w:val="006046D5"/>
    <w:rsid w:val="006052F1"/>
    <w:rsid w:val="00605688"/>
    <w:rsid w:val="006070AF"/>
    <w:rsid w:val="006074F7"/>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1224"/>
    <w:rsid w:val="006A3141"/>
    <w:rsid w:val="006A5E34"/>
    <w:rsid w:val="006B2422"/>
    <w:rsid w:val="006B2B9A"/>
    <w:rsid w:val="006C00AC"/>
    <w:rsid w:val="006C1937"/>
    <w:rsid w:val="006F020C"/>
    <w:rsid w:val="007127B7"/>
    <w:rsid w:val="0071798E"/>
    <w:rsid w:val="00727533"/>
    <w:rsid w:val="007416B6"/>
    <w:rsid w:val="00746C40"/>
    <w:rsid w:val="00746F48"/>
    <w:rsid w:val="0075404D"/>
    <w:rsid w:val="0076182A"/>
    <w:rsid w:val="00767B7E"/>
    <w:rsid w:val="007770C3"/>
    <w:rsid w:val="00784D24"/>
    <w:rsid w:val="00785FBA"/>
    <w:rsid w:val="00786E4A"/>
    <w:rsid w:val="007875EB"/>
    <w:rsid w:val="0079426B"/>
    <w:rsid w:val="007C048A"/>
    <w:rsid w:val="007D1682"/>
    <w:rsid w:val="007D312A"/>
    <w:rsid w:val="007D3F19"/>
    <w:rsid w:val="007E23B0"/>
    <w:rsid w:val="007E74AE"/>
    <w:rsid w:val="007F1991"/>
    <w:rsid w:val="007F2C2F"/>
    <w:rsid w:val="007F55FC"/>
    <w:rsid w:val="007F5665"/>
    <w:rsid w:val="00800112"/>
    <w:rsid w:val="00807589"/>
    <w:rsid w:val="00813348"/>
    <w:rsid w:val="008253BB"/>
    <w:rsid w:val="00833962"/>
    <w:rsid w:val="0083706E"/>
    <w:rsid w:val="008408F6"/>
    <w:rsid w:val="008423A5"/>
    <w:rsid w:val="00850625"/>
    <w:rsid w:val="00853718"/>
    <w:rsid w:val="00855221"/>
    <w:rsid w:val="00860645"/>
    <w:rsid w:val="00871F71"/>
    <w:rsid w:val="00872FD8"/>
    <w:rsid w:val="00885AF4"/>
    <w:rsid w:val="00891C44"/>
    <w:rsid w:val="008939CD"/>
    <w:rsid w:val="008B768C"/>
    <w:rsid w:val="008C4DB1"/>
    <w:rsid w:val="008C4EAF"/>
    <w:rsid w:val="008C5176"/>
    <w:rsid w:val="008C7FD0"/>
    <w:rsid w:val="008D0898"/>
    <w:rsid w:val="008E1DE7"/>
    <w:rsid w:val="008E707C"/>
    <w:rsid w:val="008F2B35"/>
    <w:rsid w:val="00900496"/>
    <w:rsid w:val="00900B08"/>
    <w:rsid w:val="00902155"/>
    <w:rsid w:val="00902FA3"/>
    <w:rsid w:val="00923564"/>
    <w:rsid w:val="0092392E"/>
    <w:rsid w:val="009315F9"/>
    <w:rsid w:val="00933499"/>
    <w:rsid w:val="00935C98"/>
    <w:rsid w:val="00946945"/>
    <w:rsid w:val="00951248"/>
    <w:rsid w:val="0095152F"/>
    <w:rsid w:val="00954C49"/>
    <w:rsid w:val="00955E37"/>
    <w:rsid w:val="00963894"/>
    <w:rsid w:val="0097099F"/>
    <w:rsid w:val="00971997"/>
    <w:rsid w:val="00971FFC"/>
    <w:rsid w:val="0098660A"/>
    <w:rsid w:val="00990577"/>
    <w:rsid w:val="009931C3"/>
    <w:rsid w:val="009B2C43"/>
    <w:rsid w:val="009B4EAE"/>
    <w:rsid w:val="009B6ED8"/>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2566"/>
    <w:rsid w:val="00A733B2"/>
    <w:rsid w:val="00A741C2"/>
    <w:rsid w:val="00A91760"/>
    <w:rsid w:val="00A93B00"/>
    <w:rsid w:val="00A93C21"/>
    <w:rsid w:val="00AB3076"/>
    <w:rsid w:val="00AB64C9"/>
    <w:rsid w:val="00AC3C6A"/>
    <w:rsid w:val="00AD0F83"/>
    <w:rsid w:val="00AD5620"/>
    <w:rsid w:val="00AD5DA5"/>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04AC"/>
    <w:rsid w:val="00B81598"/>
    <w:rsid w:val="00B841F1"/>
    <w:rsid w:val="00B944D6"/>
    <w:rsid w:val="00BB3050"/>
    <w:rsid w:val="00BB4DF0"/>
    <w:rsid w:val="00BC289F"/>
    <w:rsid w:val="00BC2D50"/>
    <w:rsid w:val="00BC5361"/>
    <w:rsid w:val="00BC5460"/>
    <w:rsid w:val="00BC6B50"/>
    <w:rsid w:val="00BD0E25"/>
    <w:rsid w:val="00BE2E11"/>
    <w:rsid w:val="00BE5F87"/>
    <w:rsid w:val="00BF5BD6"/>
    <w:rsid w:val="00C03E31"/>
    <w:rsid w:val="00C30E69"/>
    <w:rsid w:val="00C33E72"/>
    <w:rsid w:val="00C354B2"/>
    <w:rsid w:val="00C35554"/>
    <w:rsid w:val="00C42709"/>
    <w:rsid w:val="00C533CC"/>
    <w:rsid w:val="00C5751C"/>
    <w:rsid w:val="00C61BFC"/>
    <w:rsid w:val="00C62B85"/>
    <w:rsid w:val="00C65438"/>
    <w:rsid w:val="00C8560A"/>
    <w:rsid w:val="00C91CBB"/>
    <w:rsid w:val="00CA1CA6"/>
    <w:rsid w:val="00CA7427"/>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6EB4"/>
    <w:rsid w:val="00D51276"/>
    <w:rsid w:val="00D56A8D"/>
    <w:rsid w:val="00D7035F"/>
    <w:rsid w:val="00DA3912"/>
    <w:rsid w:val="00DA634F"/>
    <w:rsid w:val="00DA65AC"/>
    <w:rsid w:val="00DB1913"/>
    <w:rsid w:val="00DC410D"/>
    <w:rsid w:val="00DC5A81"/>
    <w:rsid w:val="00DC68CA"/>
    <w:rsid w:val="00DC7CBA"/>
    <w:rsid w:val="00DD73B7"/>
    <w:rsid w:val="00DF28BC"/>
    <w:rsid w:val="00DF2FC8"/>
    <w:rsid w:val="00DF34B9"/>
    <w:rsid w:val="00E01053"/>
    <w:rsid w:val="00E07ACF"/>
    <w:rsid w:val="00E331A1"/>
    <w:rsid w:val="00E33202"/>
    <w:rsid w:val="00E336A9"/>
    <w:rsid w:val="00E472B1"/>
    <w:rsid w:val="00E50624"/>
    <w:rsid w:val="00E568DF"/>
    <w:rsid w:val="00E64269"/>
    <w:rsid w:val="00E64912"/>
    <w:rsid w:val="00E66797"/>
    <w:rsid w:val="00E82267"/>
    <w:rsid w:val="00E853CE"/>
    <w:rsid w:val="00E867B6"/>
    <w:rsid w:val="00E87F08"/>
    <w:rsid w:val="00EA010F"/>
    <w:rsid w:val="00ED1B63"/>
    <w:rsid w:val="00ED3C1F"/>
    <w:rsid w:val="00ED4085"/>
    <w:rsid w:val="00ED420E"/>
    <w:rsid w:val="00ED6FBE"/>
    <w:rsid w:val="00EE2F57"/>
    <w:rsid w:val="00EF1EDF"/>
    <w:rsid w:val="00EF4C34"/>
    <w:rsid w:val="00EF77C6"/>
    <w:rsid w:val="00F05438"/>
    <w:rsid w:val="00F1361C"/>
    <w:rsid w:val="00F156F0"/>
    <w:rsid w:val="00F160C7"/>
    <w:rsid w:val="00F213E7"/>
    <w:rsid w:val="00F21416"/>
    <w:rsid w:val="00F2408F"/>
    <w:rsid w:val="00F240E9"/>
    <w:rsid w:val="00F36D8F"/>
    <w:rsid w:val="00F417B1"/>
    <w:rsid w:val="00F45853"/>
    <w:rsid w:val="00F602DF"/>
    <w:rsid w:val="00F64718"/>
    <w:rsid w:val="00F754A1"/>
    <w:rsid w:val="00F81FD9"/>
    <w:rsid w:val="00F841AA"/>
    <w:rsid w:val="00F84A94"/>
    <w:rsid w:val="00F87E96"/>
    <w:rsid w:val="00F900F6"/>
    <w:rsid w:val="00FA23E8"/>
    <w:rsid w:val="00FA5C1E"/>
    <w:rsid w:val="00FD3CC1"/>
    <w:rsid w:val="00FF071C"/>
    <w:rsid w:val="00FF1E02"/>
    <w:rsid w:val="00FF30B4"/>
    <w:rsid w:val="00FF6609"/>
    <w:rsid w:val="10C055FF"/>
    <w:rsid w:val="16BB723D"/>
    <w:rsid w:val="240371BF"/>
    <w:rsid w:val="29FD04D3"/>
    <w:rsid w:val="2FE96467"/>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1"/>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纯文本 Char"/>
    <w:basedOn w:val="14"/>
    <w:link w:val="7"/>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8660968660972"/>
          <c:y val="0.0758293838862559"/>
          <c:w val="0.678062678062679"/>
          <c:h val="0.76303317535545"/>
        </c:manualLayout>
      </c:layout>
      <c:barChart>
        <c:barDir val="col"/>
        <c:grouping val="clustered"/>
        <c:varyColors val="0"/>
        <c:ser>
          <c:idx val="0"/>
          <c:order val="0"/>
          <c:tx>
            <c:strRef>
              <c:f>Sheet1!$A$2</c:f>
              <c:strCache>
                <c:ptCount val="1"/>
                <c:pt idx="0">
                  <c:v>2018年</c:v>
                </c:pt>
              </c:strCache>
            </c:strRef>
          </c:tx>
          <c:spPr>
            <a:solidFill>
              <a:srgbClr val="9999FF"/>
            </a:solidFill>
            <a:ln w="12681">
              <a:solidFill>
                <a:srgbClr val="000000"/>
              </a:solidFill>
              <a:prstDash val="solid"/>
            </a:ln>
          </c:spPr>
          <c:invertIfNegative val="0"/>
          <c:dLbls>
            <c:delete val="1"/>
          </c:dLbls>
          <c:cat>
            <c:strRef>
              <c:f>Sheet1!$B$1:$E$1</c:f>
              <c:strCache>
                <c:ptCount val="2"/>
                <c:pt idx="0">
                  <c:v>收入</c:v>
                </c:pt>
                <c:pt idx="1">
                  <c:v>支出</c:v>
                </c:pt>
              </c:strCache>
            </c:strRef>
          </c:cat>
          <c:val>
            <c:numRef>
              <c:f>Sheet1!$B$2:$E$2</c:f>
              <c:numCache>
                <c:formatCode>General</c:formatCode>
                <c:ptCount val="4"/>
                <c:pt idx="0">
                  <c:v>196.14</c:v>
                </c:pt>
                <c:pt idx="1">
                  <c:v>199.4</c:v>
                </c:pt>
              </c:numCache>
            </c:numRef>
          </c:val>
        </c:ser>
        <c:ser>
          <c:idx val="1"/>
          <c:order val="1"/>
          <c:tx>
            <c:strRef>
              <c:f>Sheet1!$A$3</c:f>
              <c:strCache>
                <c:ptCount val="1"/>
                <c:pt idx="0">
                  <c:v>2019年</c:v>
                </c:pt>
              </c:strCache>
            </c:strRef>
          </c:tx>
          <c:spPr>
            <a:solidFill>
              <a:srgbClr val="993366"/>
            </a:solidFill>
            <a:ln w="12681">
              <a:solidFill>
                <a:srgbClr val="000000"/>
              </a:solidFill>
              <a:prstDash val="solid"/>
            </a:ln>
          </c:spPr>
          <c:invertIfNegative val="0"/>
          <c:dLbls>
            <c:delete val="1"/>
          </c:dLbls>
          <c:cat>
            <c:strRef>
              <c:f>Sheet1!$B$1:$E$1</c:f>
              <c:strCache>
                <c:ptCount val="2"/>
                <c:pt idx="0">
                  <c:v>收入</c:v>
                </c:pt>
                <c:pt idx="1">
                  <c:v>支出</c:v>
                </c:pt>
              </c:strCache>
            </c:strRef>
          </c:cat>
          <c:val>
            <c:numRef>
              <c:f>Sheet1!$B$3:$E$3</c:f>
              <c:numCache>
                <c:formatCode>General</c:formatCode>
                <c:ptCount val="4"/>
                <c:pt idx="0">
                  <c:v>155.06</c:v>
                </c:pt>
                <c:pt idx="1">
                  <c:v>182.3</c:v>
                </c:pt>
              </c:numCache>
            </c:numRef>
          </c:val>
        </c:ser>
        <c:dLbls>
          <c:showLegendKey val="0"/>
          <c:showVal val="0"/>
          <c:showCatName val="0"/>
          <c:showSerName val="0"/>
          <c:showPercent val="0"/>
          <c:showBubbleSize val="0"/>
        </c:dLbls>
        <c:gapWidth val="150"/>
        <c:axId val="34426240"/>
        <c:axId val="34432128"/>
      </c:barChart>
      <c:catAx>
        <c:axId val="34426240"/>
        <c:scaling>
          <c:orientation val="minMax"/>
        </c:scaling>
        <c:delete val="0"/>
        <c:axPos val="b"/>
        <c:numFmt formatCode="General" sourceLinked="1"/>
        <c:majorTickMark val="in"/>
        <c:minorTickMark val="none"/>
        <c:tickLblPos val="low"/>
        <c:spPr>
          <a:ln w="3170" cap="flat" cmpd="sng" algn="ctr">
            <a:solidFill>
              <a:srgbClr val="000000"/>
            </a:solidFill>
            <a:prstDash val="solid"/>
            <a:round/>
          </a:ln>
        </c:spPr>
        <c:txPr>
          <a:bodyPr rot="0" spcFirstLastPara="0" vertOverflow="ellipsis" vert="horz" wrap="square" anchor="ctr" anchorCtr="1"/>
          <a:lstStyle/>
          <a:p>
            <a:pPr>
              <a:defRPr lang="zh-CN" sz="10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432128"/>
        <c:crosses val="autoZero"/>
        <c:auto val="1"/>
        <c:lblAlgn val="ctr"/>
        <c:lblOffset val="100"/>
        <c:tickLblSkip val="1"/>
        <c:noMultiLvlLbl val="0"/>
      </c:catAx>
      <c:valAx>
        <c:axId val="34432128"/>
        <c:scaling>
          <c:orientation val="minMax"/>
        </c:scaling>
        <c:delete val="0"/>
        <c:axPos val="l"/>
        <c:majorGridlines>
          <c:spPr>
            <a:ln w="3170" cap="flat" cmpd="sng" algn="ctr">
              <a:solidFill>
                <a:srgbClr val="000000"/>
              </a:solidFill>
              <a:prstDash val="solid"/>
              <a:round/>
            </a:ln>
          </c:spPr>
        </c:majorGridlines>
        <c:numFmt formatCode="General" sourceLinked="1"/>
        <c:majorTickMark val="in"/>
        <c:minorTickMark val="none"/>
        <c:tickLblPos val="nextTo"/>
        <c:spPr>
          <a:ln w="3170" cap="flat" cmpd="sng" algn="ctr">
            <a:solidFill>
              <a:srgbClr val="000000"/>
            </a:solidFill>
            <a:prstDash val="solid"/>
            <a:round/>
          </a:ln>
        </c:spPr>
        <c:txPr>
          <a:bodyPr rot="0" spcFirstLastPara="0" vertOverflow="ellipsis" vert="horz" wrap="square" anchor="ctr" anchorCtr="1"/>
          <a:lstStyle/>
          <a:p>
            <a:pPr>
              <a:defRPr lang="zh-CN" sz="10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42624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06267806267806"/>
          <c:y val="0.407582938388627"/>
          <c:w val="0.182336182336183"/>
          <c:h val="0.184834123222749"/>
        </c:manualLayout>
      </c:layout>
      <c:overlay val="0"/>
      <c:spPr>
        <a:noFill/>
        <a:ln w="3170">
          <a:solidFill>
            <a:srgbClr val="000000"/>
          </a:solidFill>
          <a:prstDash val="solid"/>
        </a:ln>
      </c:spPr>
      <c:txPr>
        <a:bodyPr rot="0" spcFirstLastPara="0" vertOverflow="ellipsis" vert="horz" wrap="square" anchor="ctr" anchorCtr="1"/>
        <a:lstStyle/>
        <a:p>
          <a:pPr>
            <a:defRPr lang="zh-CN" sz="96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0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78929765886"/>
          <c:y val="0.0511363636363637"/>
          <c:w val="0.658862876254184"/>
          <c:h val="0.840909090909093"/>
        </c:manualLayout>
      </c:layout>
      <c:barChart>
        <c:barDir val="col"/>
        <c:grouping val="clustered"/>
        <c:varyColors val="0"/>
        <c:ser>
          <c:idx val="1"/>
          <c:order val="0"/>
          <c:tx>
            <c:strRef>
              <c:f>Sheet1!$A$2</c:f>
              <c:strCache>
                <c:ptCount val="1"/>
                <c:pt idx="0">
                  <c:v>2017年</c:v>
                </c:pt>
              </c:strCache>
            </c:strRef>
          </c:tx>
          <c:spPr>
            <a:solidFill>
              <a:srgbClr val="993366"/>
            </a:solidFill>
            <a:ln w="1268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181.63</c:v>
                </c:pt>
              </c:numCache>
            </c:numRef>
          </c:val>
        </c:ser>
        <c:ser>
          <c:idx val="0"/>
          <c:order val="1"/>
          <c:tx>
            <c:strRef>
              <c:f>Sheet1!$A$3</c:f>
              <c:strCache>
                <c:ptCount val="1"/>
                <c:pt idx="0">
                  <c:v>2018年</c:v>
                </c:pt>
              </c:strCache>
            </c:strRef>
          </c:tx>
          <c:spPr>
            <a:solidFill>
              <a:srgbClr val="9999FF"/>
            </a:solidFill>
            <a:ln w="12686">
              <a:solidFill>
                <a:srgbClr val="000000"/>
              </a:solidFill>
              <a:prstDash val="solid"/>
            </a:ln>
          </c:spPr>
          <c:invertIfNegative val="0"/>
          <c:dLbls>
            <c:delete val="1"/>
          </c:dLbls>
          <c:cat>
            <c:numRef>
              <c:f>Sheet1!$B$1:$B$1</c:f>
              <c:numCache>
                <c:formatCode>General</c:formatCode>
                <c:ptCount val="1"/>
              </c:numCache>
            </c:numRef>
          </c:cat>
          <c:val>
            <c:numRef>
              <c:f>Sheet1!$B$3:$B$3</c:f>
              <c:numCache>
                <c:formatCode>General</c:formatCode>
                <c:ptCount val="1"/>
                <c:pt idx="0">
                  <c:v>199.34</c:v>
                </c:pt>
              </c:numCache>
            </c:numRef>
          </c:val>
        </c:ser>
        <c:dLbls>
          <c:showLegendKey val="0"/>
          <c:showVal val="0"/>
          <c:showCatName val="0"/>
          <c:showSerName val="0"/>
          <c:showPercent val="0"/>
          <c:showBubbleSize val="0"/>
        </c:dLbls>
        <c:gapWidth val="150"/>
        <c:axId val="35048448"/>
        <c:axId val="35054336"/>
      </c:barChart>
      <c:catAx>
        <c:axId val="35048448"/>
        <c:scaling>
          <c:orientation val="minMax"/>
        </c:scaling>
        <c:delete val="0"/>
        <c:axPos val="b"/>
        <c:numFmt formatCode="General" sourceLinked="1"/>
        <c:majorTickMark val="in"/>
        <c:minorTickMark val="none"/>
        <c:tickLblPos val="low"/>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5054336"/>
        <c:crosses val="autoZero"/>
        <c:auto val="1"/>
        <c:lblAlgn val="ctr"/>
        <c:lblOffset val="100"/>
        <c:tickLblSkip val="1"/>
        <c:noMultiLvlLbl val="0"/>
      </c:catAx>
      <c:valAx>
        <c:axId val="35054336"/>
        <c:scaling>
          <c:orientation val="minMax"/>
        </c:scaling>
        <c:delete val="0"/>
        <c:axPos val="l"/>
        <c:majorGridlines>
          <c:spPr>
            <a:ln w="3171" cap="flat" cmpd="sng" algn="ctr">
              <a:solidFill>
                <a:srgbClr val="000000"/>
              </a:solidFill>
              <a:prstDash val="solid"/>
              <a:round/>
            </a:ln>
          </c:spPr>
        </c:majorGridlines>
        <c:numFmt formatCode="General" sourceLinked="1"/>
        <c:majorTickMark val="in"/>
        <c:minorTickMark val="none"/>
        <c:tickLblPos val="nextTo"/>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5048448"/>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933110367893"/>
          <c:y val="0.403409090909091"/>
          <c:w val="0.187290969899666"/>
          <c:h val="0.198863636363636"/>
        </c:manualLayout>
      </c:layout>
      <c:overlay val="0"/>
      <c:spPr>
        <a:noFill/>
        <a:ln w="3171">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3947368421052"/>
          <c:y val="0.108571428571429"/>
          <c:w val="0.450657894736842"/>
          <c:h val="0.782857142857143"/>
        </c:manualLayout>
      </c:layout>
      <c:pieChart>
        <c:varyColors val="1"/>
        <c:ser>
          <c:idx val="0"/>
          <c:order val="0"/>
          <c:tx>
            <c:strRef>
              <c:f>Sheet1!$A$2</c:f>
              <c:strCache>
                <c:ptCount val="1"/>
                <c:pt idx="0">
                  <c:v>一般公共预算财政拨款支出</c:v>
                </c:pt>
              </c:strCache>
            </c:strRef>
          </c:tx>
          <c:spPr>
            <a:solidFill>
              <a:srgbClr val="9999FF"/>
            </a:solidFill>
            <a:ln w="12686">
              <a:solidFill>
                <a:srgbClr val="000000"/>
              </a:solidFill>
              <a:prstDash val="solid"/>
            </a:ln>
          </c:spPr>
          <c:explosion val="0"/>
          <c:dPt>
            <c:idx val="0"/>
            <c:bubble3D val="0"/>
            <c:spPr>
              <a:solidFill>
                <a:srgbClr val="9999FF"/>
              </a:solidFill>
              <a:ln w="12686">
                <a:solidFill>
                  <a:srgbClr val="000000"/>
                </a:solidFill>
                <a:prstDash val="solid"/>
              </a:ln>
            </c:spPr>
          </c:dPt>
          <c:dPt>
            <c:idx val="1"/>
            <c:bubble3D val="0"/>
            <c:spPr>
              <a:solidFill>
                <a:srgbClr val="993366"/>
              </a:solidFill>
              <a:ln w="12686">
                <a:solidFill>
                  <a:srgbClr val="000000"/>
                </a:solidFill>
                <a:prstDash val="solid"/>
              </a:ln>
            </c:spPr>
          </c:dPt>
          <c:dPt>
            <c:idx val="2"/>
            <c:bubble3D val="0"/>
            <c:spPr>
              <a:solidFill>
                <a:srgbClr val="FFFFCC"/>
              </a:solidFill>
              <a:ln w="12686">
                <a:solidFill>
                  <a:srgbClr val="000000"/>
                </a:solidFill>
                <a:prstDash val="solid"/>
              </a:ln>
            </c:spPr>
          </c:dPt>
          <c:dPt>
            <c:idx val="3"/>
            <c:bubble3D val="0"/>
            <c:spPr>
              <a:solidFill>
                <a:srgbClr val="CCFFFF"/>
              </a:solidFill>
              <a:ln w="12686">
                <a:solidFill>
                  <a:srgbClr val="000000"/>
                </a:solidFill>
                <a:prstDash val="solid"/>
              </a:ln>
            </c:spPr>
          </c:dPt>
          <c:dLbls>
            <c:delete val="1"/>
          </c:dLbls>
          <c:cat>
            <c:strRef>
              <c:f>Sheet1!$B$1:$E$1</c:f>
              <c:strCache>
                <c:ptCount val="4"/>
                <c:pt idx="0">
                  <c:v>社会保险和就业支出</c:v>
                </c:pt>
                <c:pt idx="1">
                  <c:v>住房保障支出</c:v>
                </c:pt>
                <c:pt idx="2">
                  <c:v>卫生健康支出</c:v>
                </c:pt>
                <c:pt idx="3">
                  <c:v>农林水支出</c:v>
                </c:pt>
              </c:strCache>
            </c:strRef>
          </c:cat>
          <c:val>
            <c:numRef>
              <c:f>Sheet1!$B$2:$E$2</c:f>
              <c:numCache>
                <c:formatCode>General</c:formatCode>
                <c:ptCount val="4"/>
                <c:pt idx="0">
                  <c:v>166.41</c:v>
                </c:pt>
                <c:pt idx="1">
                  <c:v>9.1</c:v>
                </c:pt>
                <c:pt idx="2">
                  <c:v>5.62</c:v>
                </c:pt>
                <c:pt idx="3">
                  <c:v>1.08</c:v>
                </c:pt>
              </c:numCache>
            </c:numRef>
          </c:val>
        </c:ser>
        <c:dLbls>
          <c:showLegendKey val="0"/>
          <c:showVal val="0"/>
          <c:showCatName val="0"/>
          <c:showSerName val="0"/>
          <c:showPercent val="0"/>
          <c:showBubbleSize val="0"/>
          <c:showLeaderLines val="1"/>
        </c:dLbls>
        <c:firstSliceAng val="0"/>
      </c:pieChart>
      <c:spPr>
        <a:solidFill>
          <a:srgbClr val="C0C0C0"/>
        </a:solidFill>
        <a:ln w="12686">
          <a:solidFill>
            <a:srgbClr val="808080"/>
          </a:solidFill>
          <a:prstDash val="solid"/>
        </a:ln>
      </c:spPr>
    </c:plotArea>
    <c:legend>
      <c:legendPos val="r"/>
      <c:layout>
        <c:manualLayout>
          <c:xMode val="edge"/>
          <c:yMode val="edge"/>
          <c:x val="0.644736842105264"/>
          <c:y val="0.142857142857143"/>
          <c:w val="0.342105263157896"/>
          <c:h val="0.714285714285715"/>
        </c:manualLayout>
      </c:layout>
      <c:overlay val="0"/>
      <c:spPr>
        <a:noFill/>
        <a:ln w="3172">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3947368421052"/>
          <c:y val="0.108571428571429"/>
          <c:w val="0.450657894736842"/>
          <c:h val="0.782857142857143"/>
        </c:manualLayout>
      </c:layout>
      <c:pieChart>
        <c:varyColors val="1"/>
        <c:ser>
          <c:idx val="0"/>
          <c:order val="0"/>
          <c:tx>
            <c:strRef>
              <c:f>Sheet1!$B$1</c:f>
              <c:strCache>
                <c:ptCount val="1"/>
                <c:pt idx="0">
                  <c:v>因公出国</c:v>
                </c:pt>
              </c:strCache>
            </c:strRef>
          </c:tx>
          <c:explosion val="0"/>
          <c:dPt>
            <c:idx val="0"/>
            <c:bubble3D val="0"/>
          </c:dPt>
          <c:dPt>
            <c:idx val="1"/>
            <c:bubble3D val="0"/>
          </c:dPt>
          <c:dPt>
            <c:idx val="2"/>
            <c:bubble3D val="0"/>
          </c:dPt>
          <c:dLbls>
            <c:delete val="1"/>
          </c:dLbls>
          <c:cat>
            <c:strRef>
              <c:f>Sheet1!$B$1:$D$1</c:f>
              <c:strCache>
                <c:ptCount val="3"/>
                <c:pt idx="0">
                  <c:v>因公出国</c:v>
                </c:pt>
                <c:pt idx="1">
                  <c:v>公务用车</c:v>
                </c:pt>
                <c:pt idx="2">
                  <c:v>公务接待</c:v>
                </c:pt>
              </c:strCache>
            </c:strRef>
          </c:cat>
          <c:val>
            <c:numRef>
              <c:f>Sheet1!$B$2:$D$2</c:f>
              <c:numCache>
                <c:formatCode>General</c:formatCode>
                <c:ptCount val="3"/>
                <c:pt idx="0">
                  <c:v>0</c:v>
                </c:pt>
                <c:pt idx="1">
                  <c:v>0</c:v>
                </c:pt>
                <c:pt idx="2">
                  <c:v>0.17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4736842105264"/>
          <c:y val="0.142857142857143"/>
          <c:w val="0.342105263157896"/>
          <c:h val="0.55526864707506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666666666667"/>
          <c:y val="0.124087591240876"/>
          <c:w val="0.35763888888889"/>
          <c:h val="0.751824817518251"/>
        </c:manualLayout>
      </c:layout>
      <c:pieChart>
        <c:varyColors val="1"/>
        <c:ser>
          <c:idx val="0"/>
          <c:order val="0"/>
          <c:tx>
            <c:strRef>
              <c:f>Sheet1!$A$2</c:f>
              <c:strCache>
                <c:ptCount val="1"/>
                <c:pt idx="0">
                  <c:v/>
                </c:pt>
              </c:strCache>
            </c:strRef>
          </c:tx>
          <c:spPr>
            <a:solidFill>
              <a:srgbClr val="9999FF"/>
            </a:solidFill>
            <a:ln w="12700">
              <a:solidFill>
                <a:srgbClr val="000000"/>
              </a:solidFill>
              <a:prstDash val="solid"/>
            </a:ln>
          </c:spPr>
          <c:explosion val="3"/>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财政拨款收入</c:v>
                </c:pt>
                <c:pt idx="1">
                  <c:v>其他收入</c:v>
                </c:pt>
              </c:strCache>
            </c:strRef>
          </c:cat>
          <c:val>
            <c:numRef>
              <c:f>Sheet1!$B$2:$C$2</c:f>
              <c:numCache>
                <c:formatCode>General</c:formatCode>
                <c:ptCount val="2"/>
                <c:pt idx="0">
                  <c:v>155.01</c:v>
                </c:pt>
                <c:pt idx="1">
                  <c:v>0.05</c:v>
                </c:pt>
              </c:numCache>
            </c:numRef>
          </c:val>
        </c:ser>
        <c:ser>
          <c:idx val="2"/>
          <c:order val="1"/>
          <c:tx>
            <c:strRef>
              <c:f>Sheet1!$A$3</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财政拨款收入</c:v>
                </c:pt>
                <c:pt idx="1">
                  <c:v>其他收入</c:v>
                </c:pt>
              </c:strCache>
            </c:strRef>
          </c:cat>
          <c:val>
            <c:numRef>
              <c:f>Sheet1!$B$3:$C$3</c:f>
              <c:numCache>
                <c:formatCode>General</c:formatCode>
                <c:ptCount val="2"/>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94444444444445"/>
          <c:y val="0.379562043795621"/>
          <c:w val="0.291666666666668"/>
          <c:h val="0.240875912408759"/>
        </c:manualLayout>
      </c:layout>
      <c:overlay val="0"/>
      <c:spPr>
        <a:noFill/>
        <a:ln w="3175">
          <a:solidFill>
            <a:srgbClr val="000000"/>
          </a:solidFill>
          <a:prstDash val="solid"/>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529595015576"/>
          <c:y val="0.121428571428572"/>
          <c:w val="0.330218068535827"/>
          <c:h val="0.757142857142859"/>
        </c:manualLayout>
      </c:layout>
      <c:pieChart>
        <c:varyColors val="1"/>
        <c:ser>
          <c:idx val="0"/>
          <c:order val="0"/>
          <c:tx>
            <c:strRef>
              <c:f>Sheet1!$A$2</c:f>
              <c:strCache>
                <c:ptCount val="1"/>
                <c:pt idx="0">
                  <c:v>全年支出</c:v>
                </c:pt>
              </c:strCache>
            </c:strRef>
          </c:tx>
          <c:spPr>
            <a:solidFill>
              <a:srgbClr val="9999FF"/>
            </a:solidFill>
            <a:ln w="12677">
              <a:solidFill>
                <a:srgbClr val="000000"/>
              </a:solidFill>
              <a:prstDash val="solid"/>
            </a:ln>
          </c:spPr>
          <c:explosion val="0"/>
          <c:dPt>
            <c:idx val="0"/>
            <c:bubble3D val="0"/>
            <c:spPr>
              <a:solidFill>
                <a:srgbClr val="9999FF"/>
              </a:solidFill>
              <a:ln w="12677">
                <a:solidFill>
                  <a:srgbClr val="000000"/>
                </a:solidFill>
                <a:prstDash val="solid"/>
              </a:ln>
            </c:spPr>
          </c:dPt>
          <c:dPt>
            <c:idx val="1"/>
            <c:bubble3D val="0"/>
            <c:spPr>
              <a:solidFill>
                <a:srgbClr val="993366"/>
              </a:solidFill>
              <a:ln w="12677">
                <a:solidFill>
                  <a:srgbClr val="000000"/>
                </a:solidFill>
                <a:prstDash val="solid"/>
              </a:ln>
            </c:spPr>
          </c:dPt>
          <c:dLbls>
            <c:delete val="1"/>
          </c:dLbls>
          <c:cat>
            <c:strRef>
              <c:f>Sheet1!$B$1:$C$1</c:f>
              <c:strCache>
                <c:ptCount val="2"/>
                <c:pt idx="0">
                  <c:v>基本支出</c:v>
                </c:pt>
                <c:pt idx="1">
                  <c:v>项目支出</c:v>
                </c:pt>
              </c:strCache>
            </c:strRef>
          </c:cat>
          <c:val>
            <c:numRef>
              <c:f>Sheet1!$B$2:$C$2</c:f>
              <c:numCache>
                <c:formatCode>General</c:formatCode>
                <c:ptCount val="2"/>
                <c:pt idx="0">
                  <c:v>115.12</c:v>
                </c:pt>
                <c:pt idx="1">
                  <c:v>67.18</c:v>
                </c:pt>
              </c:numCache>
            </c:numRef>
          </c:val>
        </c:ser>
        <c:dLbls>
          <c:showLegendKey val="0"/>
          <c:showVal val="0"/>
          <c:showCatName val="0"/>
          <c:showSerName val="0"/>
          <c:showPercent val="0"/>
          <c:showBubbleSize val="0"/>
          <c:showLeaderLines val="1"/>
        </c:dLbls>
        <c:firstSliceAng val="0"/>
      </c:pieChart>
      <c:spPr>
        <a:solidFill>
          <a:srgbClr val="C0C0C0"/>
        </a:solidFill>
        <a:ln w="12677">
          <a:solidFill>
            <a:srgbClr val="808080"/>
          </a:solidFill>
          <a:prstDash val="solid"/>
        </a:ln>
      </c:spPr>
    </c:plotArea>
    <c:legend>
      <c:legendPos val="r"/>
      <c:layout>
        <c:manualLayout>
          <c:xMode val="edge"/>
          <c:yMode val="edge"/>
          <c:x val="0.794392523364487"/>
          <c:y val="0.385714285714287"/>
          <c:w val="0.193146417445483"/>
          <c:h val="0.235714285714286"/>
        </c:manualLayout>
      </c:layout>
      <c:overlay val="0"/>
      <c:spPr>
        <a:noFill/>
        <a:ln w="3169">
          <a:solidFill>
            <a:srgbClr val="000000"/>
          </a:solidFill>
          <a:prstDash val="solid"/>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082957176715"/>
          <c:y val="0.0415375216692078"/>
          <c:w val="0.652996845425869"/>
          <c:h val="0.759162303664921"/>
        </c:manualLayout>
      </c:layout>
      <c:barChart>
        <c:barDir val="col"/>
        <c:grouping val="clustered"/>
        <c:varyColors val="0"/>
        <c:ser>
          <c:idx val="0"/>
          <c:order val="0"/>
          <c:tx>
            <c:strRef>
              <c:f>Sheet1!$A$2</c:f>
              <c:strCache>
                <c:ptCount val="1"/>
                <c:pt idx="0">
                  <c:v>2018年</c:v>
                </c:pt>
              </c:strCache>
            </c:strRef>
          </c:tx>
          <c:spPr>
            <a:solidFill>
              <a:srgbClr val="9999FF"/>
            </a:solidFill>
            <a:ln w="12698">
              <a:solidFill>
                <a:srgbClr val="000000"/>
              </a:solidFill>
              <a:prstDash val="solid"/>
            </a:ln>
          </c:spPr>
          <c:invertIfNegative val="0"/>
          <c:dLbls>
            <c:delete val="1"/>
          </c:dLbls>
          <c:cat>
            <c:strRef>
              <c:f>Sheet1!$B$1:$C$1</c:f>
              <c:strCache>
                <c:ptCount val="2"/>
                <c:pt idx="0">
                  <c:v>收入</c:v>
                </c:pt>
                <c:pt idx="1">
                  <c:v>支出</c:v>
                </c:pt>
              </c:strCache>
            </c:strRef>
          </c:cat>
          <c:val>
            <c:numRef>
              <c:f>Sheet1!$B$2:$C$2</c:f>
              <c:numCache>
                <c:formatCode>General</c:formatCode>
                <c:ptCount val="2"/>
                <c:pt idx="0">
                  <c:v>196.04</c:v>
                </c:pt>
                <c:pt idx="1">
                  <c:v>199.34</c:v>
                </c:pt>
              </c:numCache>
            </c:numRef>
          </c:val>
        </c:ser>
        <c:ser>
          <c:idx val="1"/>
          <c:order val="1"/>
          <c:tx>
            <c:strRef>
              <c:f>Sheet1!$A$3</c:f>
              <c:strCache>
                <c:ptCount val="1"/>
                <c:pt idx="0">
                  <c:v>2019年</c:v>
                </c:pt>
              </c:strCache>
            </c:strRef>
          </c:tx>
          <c:spPr>
            <a:solidFill>
              <a:srgbClr val="993366"/>
            </a:solidFill>
            <a:ln w="12698">
              <a:solidFill>
                <a:srgbClr val="000000"/>
              </a:solidFill>
              <a:prstDash val="solid"/>
            </a:ln>
          </c:spPr>
          <c:invertIfNegative val="0"/>
          <c:dLbls>
            <c:delete val="1"/>
          </c:dLbls>
          <c:cat>
            <c:strRef>
              <c:f>Sheet1!$B$1:$C$1</c:f>
              <c:strCache>
                <c:ptCount val="2"/>
                <c:pt idx="0">
                  <c:v>收入</c:v>
                </c:pt>
                <c:pt idx="1">
                  <c:v>支出</c:v>
                </c:pt>
              </c:strCache>
            </c:strRef>
          </c:cat>
          <c:val>
            <c:numRef>
              <c:f>Sheet1!$B$3:$C$3</c:f>
              <c:numCache>
                <c:formatCode>General</c:formatCode>
                <c:ptCount val="2"/>
                <c:pt idx="0">
                  <c:v>155.01</c:v>
                </c:pt>
                <c:pt idx="1">
                  <c:v>182.21</c:v>
                </c:pt>
              </c:numCache>
            </c:numRef>
          </c:val>
        </c:ser>
        <c:dLbls>
          <c:showLegendKey val="0"/>
          <c:showVal val="0"/>
          <c:showCatName val="0"/>
          <c:showSerName val="0"/>
          <c:showPercent val="0"/>
          <c:showBubbleSize val="0"/>
        </c:dLbls>
        <c:gapWidth val="150"/>
        <c:axId val="34589696"/>
        <c:axId val="34800384"/>
      </c:barChart>
      <c:catAx>
        <c:axId val="34589696"/>
        <c:scaling>
          <c:orientation val="minMax"/>
        </c:scaling>
        <c:delete val="0"/>
        <c:axPos val="b"/>
        <c:numFmt formatCode="General" sourceLinked="1"/>
        <c:majorTickMark val="in"/>
        <c:minorTickMark val="none"/>
        <c:tickLblPos val="low"/>
        <c:spPr>
          <a:ln w="3174"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800384"/>
        <c:crosses val="autoZero"/>
        <c:auto val="1"/>
        <c:lblAlgn val="ctr"/>
        <c:lblOffset val="100"/>
        <c:tickLblSkip val="1"/>
        <c:noMultiLvlLbl val="0"/>
      </c:catAx>
      <c:valAx>
        <c:axId val="34800384"/>
        <c:scaling>
          <c:orientation val="minMax"/>
        </c:scaling>
        <c:delete val="0"/>
        <c:axPos val="l"/>
        <c:majorGridlines>
          <c:spPr>
            <a:ln w="3174" cap="flat" cmpd="sng" algn="ctr">
              <a:solidFill>
                <a:srgbClr val="000000"/>
              </a:solidFill>
              <a:prstDash val="solid"/>
              <a:round/>
            </a:ln>
          </c:spPr>
        </c:majorGridlines>
        <c:numFmt formatCode="General" sourceLinked="1"/>
        <c:majorTickMark val="in"/>
        <c:minorTickMark val="none"/>
        <c:tickLblPos val="nextTo"/>
        <c:spPr>
          <a:ln w="3174"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58969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4952681388013"/>
          <c:y val="0.403141361256544"/>
          <c:w val="0.192429022082019"/>
          <c:h val="0.193717277486911"/>
        </c:manualLayout>
      </c:layout>
      <c:overlay val="0"/>
      <c:spPr>
        <a:noFill/>
        <a:ln w="3174">
          <a:solidFill>
            <a:srgbClr val="000000"/>
          </a:solidFill>
          <a:prstDash val="solid"/>
        </a:ln>
      </c:spPr>
      <c:txPr>
        <a:bodyPr rot="0" spcFirstLastPara="0" vertOverflow="ellipsis" vert="horz" wrap="square" anchor="ctr" anchorCtr="1"/>
        <a:lstStyle/>
        <a:p>
          <a:pPr>
            <a:defRPr lang="zh-CN" sz="8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082881168044"/>
          <c:y val="0.0415375960723575"/>
          <c:w val="0.652996845425869"/>
          <c:h val="0.759162303664921"/>
        </c:manualLayout>
      </c:layout>
      <c:barChart>
        <c:barDir val="col"/>
        <c:grouping val="clustered"/>
        <c:varyColors val="0"/>
        <c:ser>
          <c:idx val="0"/>
          <c:order val="0"/>
          <c:tx>
            <c:strRef>
              <c:f>Sheet1!$A$2</c:f>
              <c:strCache>
                <c:ptCount val="1"/>
                <c:pt idx="0">
                  <c:v>2018年</c:v>
                </c:pt>
              </c:strCache>
            </c:strRef>
          </c:tx>
          <c:spPr>
            <a:solidFill>
              <a:srgbClr val="9999FF"/>
            </a:solidFill>
            <a:ln w="12698">
              <a:solidFill>
                <a:srgbClr val="000000"/>
              </a:solidFill>
              <a:prstDash val="solid"/>
            </a:ln>
          </c:spPr>
          <c:invertIfNegative val="0"/>
          <c:dLbls>
            <c:delete val="1"/>
          </c:dLbls>
          <c:cat>
            <c:strRef>
              <c:f>Sheet1!$B$1:$B$1</c:f>
              <c:strCache>
                <c:ptCount val="1"/>
                <c:pt idx="0">
                  <c:v>一般公共预算财政拨款支出</c:v>
                </c:pt>
              </c:strCache>
            </c:strRef>
          </c:cat>
          <c:val>
            <c:numRef>
              <c:f>Sheet1!$B$2:$B$2</c:f>
              <c:numCache>
                <c:formatCode>General</c:formatCode>
                <c:ptCount val="1"/>
                <c:pt idx="0">
                  <c:v>199.33</c:v>
                </c:pt>
              </c:numCache>
            </c:numRef>
          </c:val>
        </c:ser>
        <c:ser>
          <c:idx val="1"/>
          <c:order val="1"/>
          <c:tx>
            <c:strRef>
              <c:f>Sheet1!$A$3</c:f>
              <c:strCache>
                <c:ptCount val="1"/>
                <c:pt idx="0">
                  <c:v>2019年</c:v>
                </c:pt>
              </c:strCache>
            </c:strRef>
          </c:tx>
          <c:spPr>
            <a:solidFill>
              <a:srgbClr val="993366"/>
            </a:solidFill>
            <a:ln w="12698">
              <a:solidFill>
                <a:srgbClr val="000000"/>
              </a:solidFill>
              <a:prstDash val="solid"/>
            </a:ln>
          </c:spPr>
          <c:invertIfNegative val="0"/>
          <c:dLbls>
            <c:delete val="1"/>
          </c:dLbls>
          <c:cat>
            <c:strRef>
              <c:f>Sheet1!$B$1:$B$1</c:f>
              <c:strCache>
                <c:ptCount val="1"/>
                <c:pt idx="0">
                  <c:v>一般公共预算财政拨款支出</c:v>
                </c:pt>
              </c:strCache>
            </c:strRef>
          </c:cat>
          <c:val>
            <c:numRef>
              <c:f>Sheet1!$B$3:$B$3</c:f>
              <c:numCache>
                <c:formatCode>General</c:formatCode>
                <c:ptCount val="1"/>
                <c:pt idx="0">
                  <c:v>182.21</c:v>
                </c:pt>
              </c:numCache>
            </c:numRef>
          </c:val>
        </c:ser>
        <c:dLbls>
          <c:showLegendKey val="0"/>
          <c:showVal val="0"/>
          <c:showCatName val="0"/>
          <c:showSerName val="0"/>
          <c:showPercent val="0"/>
          <c:showBubbleSize val="0"/>
        </c:dLbls>
        <c:gapWidth val="150"/>
        <c:axId val="34555008"/>
        <c:axId val="34556544"/>
      </c:barChart>
      <c:catAx>
        <c:axId val="34555008"/>
        <c:scaling>
          <c:orientation val="minMax"/>
        </c:scaling>
        <c:delete val="0"/>
        <c:axPos val="b"/>
        <c:numFmt formatCode="General" sourceLinked="1"/>
        <c:majorTickMark val="in"/>
        <c:minorTickMark val="none"/>
        <c:tickLblPos val="low"/>
        <c:spPr>
          <a:ln w="3174"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556544"/>
        <c:crosses val="autoZero"/>
        <c:auto val="1"/>
        <c:lblAlgn val="ctr"/>
        <c:lblOffset val="100"/>
        <c:tickLblSkip val="1"/>
        <c:noMultiLvlLbl val="0"/>
      </c:catAx>
      <c:valAx>
        <c:axId val="34556544"/>
        <c:scaling>
          <c:orientation val="minMax"/>
        </c:scaling>
        <c:delete val="0"/>
        <c:axPos val="l"/>
        <c:majorGridlines>
          <c:spPr>
            <a:ln w="3174" cap="flat" cmpd="sng" algn="ctr">
              <a:solidFill>
                <a:srgbClr val="000000"/>
              </a:solidFill>
              <a:prstDash val="solid"/>
              <a:round/>
            </a:ln>
          </c:spPr>
        </c:majorGridlines>
        <c:numFmt formatCode="General" sourceLinked="1"/>
        <c:majorTickMark val="in"/>
        <c:minorTickMark val="none"/>
        <c:tickLblPos val="nextTo"/>
        <c:spPr>
          <a:ln w="3174"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555008"/>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4952681388013"/>
          <c:y val="0.403141361256544"/>
          <c:w val="0.192429022082019"/>
          <c:h val="0.193717277486912"/>
        </c:manualLayout>
      </c:layout>
      <c:overlay val="0"/>
      <c:spPr>
        <a:noFill/>
        <a:ln w="3174">
          <a:solidFill>
            <a:srgbClr val="000000"/>
          </a:solidFill>
          <a:prstDash val="solid"/>
        </a:ln>
      </c:spPr>
      <c:txPr>
        <a:bodyPr rot="0" spcFirstLastPara="0" vertOverflow="ellipsis" vert="horz" wrap="square" anchor="ctr" anchorCtr="1"/>
        <a:lstStyle/>
        <a:p>
          <a:pPr>
            <a:defRPr lang="zh-CN" sz="8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78929765886"/>
          <c:y val="0.0511363636363637"/>
          <c:w val="0.658862876254184"/>
          <c:h val="0.840909090909093"/>
        </c:manualLayout>
      </c:layout>
      <c:barChart>
        <c:barDir val="col"/>
        <c:grouping val="clustered"/>
        <c:varyColors val="0"/>
        <c:ser>
          <c:idx val="1"/>
          <c:order val="0"/>
          <c:tx>
            <c:strRef>
              <c:f>Sheet1!$A$2</c:f>
              <c:strCache>
                <c:ptCount val="1"/>
                <c:pt idx="0">
                  <c:v>2017年</c:v>
                </c:pt>
              </c:strCache>
            </c:strRef>
          </c:tx>
          <c:spPr>
            <a:solidFill>
              <a:srgbClr val="993366"/>
            </a:solidFill>
            <a:ln w="1268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181.63</c:v>
                </c:pt>
              </c:numCache>
            </c:numRef>
          </c:val>
        </c:ser>
        <c:ser>
          <c:idx val="0"/>
          <c:order val="1"/>
          <c:tx>
            <c:strRef>
              <c:f>Sheet1!$A$3</c:f>
              <c:strCache>
                <c:ptCount val="1"/>
                <c:pt idx="0">
                  <c:v>2018年</c:v>
                </c:pt>
              </c:strCache>
            </c:strRef>
          </c:tx>
          <c:spPr>
            <a:solidFill>
              <a:srgbClr val="9999FF"/>
            </a:solidFill>
            <a:ln w="12686">
              <a:solidFill>
                <a:srgbClr val="000000"/>
              </a:solidFill>
              <a:prstDash val="solid"/>
            </a:ln>
          </c:spPr>
          <c:invertIfNegative val="0"/>
          <c:dLbls>
            <c:delete val="1"/>
          </c:dLbls>
          <c:cat>
            <c:numRef>
              <c:f>Sheet1!$B$1:$B$1</c:f>
              <c:numCache>
                <c:formatCode>General</c:formatCode>
                <c:ptCount val="1"/>
              </c:numCache>
            </c:numRef>
          </c:cat>
          <c:val>
            <c:numRef>
              <c:f>Sheet1!$B$3:$B$3</c:f>
              <c:numCache>
                <c:formatCode>General</c:formatCode>
                <c:ptCount val="1"/>
                <c:pt idx="0">
                  <c:v>199.34</c:v>
                </c:pt>
              </c:numCache>
            </c:numRef>
          </c:val>
        </c:ser>
        <c:dLbls>
          <c:showLegendKey val="0"/>
          <c:showVal val="0"/>
          <c:showCatName val="0"/>
          <c:showSerName val="0"/>
          <c:showPercent val="0"/>
          <c:showBubbleSize val="0"/>
        </c:dLbls>
        <c:gapWidth val="150"/>
        <c:axId val="34958336"/>
        <c:axId val="34964224"/>
      </c:barChart>
      <c:catAx>
        <c:axId val="34958336"/>
        <c:scaling>
          <c:orientation val="minMax"/>
        </c:scaling>
        <c:delete val="0"/>
        <c:axPos val="b"/>
        <c:numFmt formatCode="General" sourceLinked="1"/>
        <c:majorTickMark val="in"/>
        <c:minorTickMark val="none"/>
        <c:tickLblPos val="low"/>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964224"/>
        <c:crosses val="autoZero"/>
        <c:auto val="1"/>
        <c:lblAlgn val="ctr"/>
        <c:lblOffset val="100"/>
        <c:tickLblSkip val="1"/>
        <c:noMultiLvlLbl val="0"/>
      </c:catAx>
      <c:valAx>
        <c:axId val="34964224"/>
        <c:scaling>
          <c:orientation val="minMax"/>
        </c:scaling>
        <c:delete val="0"/>
        <c:axPos val="l"/>
        <c:majorGridlines>
          <c:spPr>
            <a:ln w="3171" cap="flat" cmpd="sng" algn="ctr">
              <a:solidFill>
                <a:srgbClr val="000000"/>
              </a:solidFill>
              <a:prstDash val="solid"/>
              <a:round/>
            </a:ln>
          </c:spPr>
        </c:majorGridlines>
        <c:numFmt formatCode="General" sourceLinked="1"/>
        <c:majorTickMark val="in"/>
        <c:minorTickMark val="none"/>
        <c:tickLblPos val="nextTo"/>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95833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933110367893"/>
          <c:y val="0.403409090909091"/>
          <c:w val="0.187290969899666"/>
          <c:h val="0.198863636363636"/>
        </c:manualLayout>
      </c:layout>
      <c:overlay val="0"/>
      <c:spPr>
        <a:noFill/>
        <a:ln w="3171">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78929765886"/>
          <c:y val="0.0511363636363637"/>
          <c:w val="0.658862876254184"/>
          <c:h val="0.840909090909093"/>
        </c:manualLayout>
      </c:layout>
      <c:barChart>
        <c:barDir val="col"/>
        <c:grouping val="clustered"/>
        <c:varyColors val="0"/>
        <c:ser>
          <c:idx val="1"/>
          <c:order val="0"/>
          <c:tx>
            <c:strRef>
              <c:f>Sheet1!$A$2</c:f>
              <c:strCache>
                <c:ptCount val="1"/>
                <c:pt idx="0">
                  <c:v>2017年</c:v>
                </c:pt>
              </c:strCache>
            </c:strRef>
          </c:tx>
          <c:spPr>
            <a:solidFill>
              <a:srgbClr val="993366"/>
            </a:solidFill>
            <a:ln w="1268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181.63</c:v>
                </c:pt>
              </c:numCache>
            </c:numRef>
          </c:val>
        </c:ser>
        <c:ser>
          <c:idx val="0"/>
          <c:order val="1"/>
          <c:tx>
            <c:strRef>
              <c:f>Sheet1!$A$3</c:f>
              <c:strCache>
                <c:ptCount val="1"/>
                <c:pt idx="0">
                  <c:v>2018年</c:v>
                </c:pt>
              </c:strCache>
            </c:strRef>
          </c:tx>
          <c:spPr>
            <a:solidFill>
              <a:srgbClr val="9999FF"/>
            </a:solidFill>
            <a:ln w="12686">
              <a:solidFill>
                <a:srgbClr val="000000"/>
              </a:solidFill>
              <a:prstDash val="solid"/>
            </a:ln>
          </c:spPr>
          <c:invertIfNegative val="0"/>
          <c:dLbls>
            <c:delete val="1"/>
          </c:dLbls>
          <c:cat>
            <c:numRef>
              <c:f>Sheet1!$B$1:$B$1</c:f>
              <c:numCache>
                <c:formatCode>General</c:formatCode>
                <c:ptCount val="1"/>
              </c:numCache>
            </c:numRef>
          </c:cat>
          <c:val>
            <c:numRef>
              <c:f>Sheet1!$B$3:$B$3</c:f>
              <c:numCache>
                <c:formatCode>General</c:formatCode>
                <c:ptCount val="1"/>
                <c:pt idx="0">
                  <c:v>199.34</c:v>
                </c:pt>
              </c:numCache>
            </c:numRef>
          </c:val>
        </c:ser>
        <c:dLbls>
          <c:showLegendKey val="0"/>
          <c:showVal val="0"/>
          <c:showCatName val="0"/>
          <c:showSerName val="0"/>
          <c:showPercent val="0"/>
          <c:showBubbleSize val="0"/>
        </c:dLbls>
        <c:gapWidth val="150"/>
        <c:axId val="34874496"/>
        <c:axId val="34876032"/>
      </c:barChart>
      <c:catAx>
        <c:axId val="34874496"/>
        <c:scaling>
          <c:orientation val="minMax"/>
        </c:scaling>
        <c:delete val="0"/>
        <c:axPos val="b"/>
        <c:numFmt formatCode="General" sourceLinked="1"/>
        <c:majorTickMark val="in"/>
        <c:minorTickMark val="none"/>
        <c:tickLblPos val="low"/>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876032"/>
        <c:crosses val="autoZero"/>
        <c:auto val="1"/>
        <c:lblAlgn val="ctr"/>
        <c:lblOffset val="100"/>
        <c:tickLblSkip val="1"/>
        <c:noMultiLvlLbl val="0"/>
      </c:catAx>
      <c:valAx>
        <c:axId val="34876032"/>
        <c:scaling>
          <c:orientation val="minMax"/>
        </c:scaling>
        <c:delete val="0"/>
        <c:axPos val="l"/>
        <c:majorGridlines>
          <c:spPr>
            <a:ln w="3171" cap="flat" cmpd="sng" algn="ctr">
              <a:solidFill>
                <a:srgbClr val="000000"/>
              </a:solidFill>
              <a:prstDash val="solid"/>
              <a:round/>
            </a:ln>
          </c:spPr>
        </c:majorGridlines>
        <c:numFmt formatCode="General" sourceLinked="1"/>
        <c:majorTickMark val="in"/>
        <c:minorTickMark val="none"/>
        <c:tickLblPos val="nextTo"/>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87449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933110367893"/>
          <c:y val="0.403409090909091"/>
          <c:w val="0.187290969899666"/>
          <c:h val="0.198863636363636"/>
        </c:manualLayout>
      </c:layout>
      <c:overlay val="0"/>
      <c:spPr>
        <a:noFill/>
        <a:ln w="3171">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78929765886"/>
          <c:y val="0.0511363636363637"/>
          <c:w val="0.658862876254184"/>
          <c:h val="0.840909090909093"/>
        </c:manualLayout>
      </c:layout>
      <c:barChart>
        <c:barDir val="col"/>
        <c:grouping val="clustered"/>
        <c:varyColors val="0"/>
        <c:ser>
          <c:idx val="1"/>
          <c:order val="0"/>
          <c:tx>
            <c:strRef>
              <c:f>Sheet1!$A$2</c:f>
              <c:strCache>
                <c:ptCount val="1"/>
                <c:pt idx="0">
                  <c:v>2017年</c:v>
                </c:pt>
              </c:strCache>
            </c:strRef>
          </c:tx>
          <c:spPr>
            <a:solidFill>
              <a:srgbClr val="993366"/>
            </a:solidFill>
            <a:ln w="1268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181.63</c:v>
                </c:pt>
              </c:numCache>
            </c:numRef>
          </c:val>
        </c:ser>
        <c:ser>
          <c:idx val="0"/>
          <c:order val="1"/>
          <c:tx>
            <c:strRef>
              <c:f>Sheet1!$A$3</c:f>
              <c:strCache>
                <c:ptCount val="1"/>
                <c:pt idx="0">
                  <c:v>2018年</c:v>
                </c:pt>
              </c:strCache>
            </c:strRef>
          </c:tx>
          <c:spPr>
            <a:solidFill>
              <a:srgbClr val="9999FF"/>
            </a:solidFill>
            <a:ln w="12686">
              <a:solidFill>
                <a:srgbClr val="000000"/>
              </a:solidFill>
              <a:prstDash val="solid"/>
            </a:ln>
          </c:spPr>
          <c:invertIfNegative val="0"/>
          <c:dLbls>
            <c:delete val="1"/>
          </c:dLbls>
          <c:cat>
            <c:numRef>
              <c:f>Sheet1!$B$1:$B$1</c:f>
              <c:numCache>
                <c:formatCode>General</c:formatCode>
                <c:ptCount val="1"/>
              </c:numCache>
            </c:numRef>
          </c:cat>
          <c:val>
            <c:numRef>
              <c:f>Sheet1!$B$3:$B$3</c:f>
              <c:numCache>
                <c:formatCode>General</c:formatCode>
                <c:ptCount val="1"/>
                <c:pt idx="0">
                  <c:v>199.34</c:v>
                </c:pt>
              </c:numCache>
            </c:numRef>
          </c:val>
        </c:ser>
        <c:dLbls>
          <c:showLegendKey val="0"/>
          <c:showVal val="0"/>
          <c:showCatName val="0"/>
          <c:showSerName val="0"/>
          <c:showPercent val="0"/>
          <c:showBubbleSize val="0"/>
        </c:dLbls>
        <c:gapWidth val="150"/>
        <c:axId val="34896896"/>
        <c:axId val="35070720"/>
      </c:barChart>
      <c:catAx>
        <c:axId val="34896896"/>
        <c:scaling>
          <c:orientation val="minMax"/>
        </c:scaling>
        <c:delete val="0"/>
        <c:axPos val="b"/>
        <c:numFmt formatCode="General" sourceLinked="1"/>
        <c:majorTickMark val="in"/>
        <c:minorTickMark val="none"/>
        <c:tickLblPos val="low"/>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5070720"/>
        <c:crosses val="autoZero"/>
        <c:auto val="1"/>
        <c:lblAlgn val="ctr"/>
        <c:lblOffset val="100"/>
        <c:tickLblSkip val="1"/>
        <c:noMultiLvlLbl val="0"/>
      </c:catAx>
      <c:valAx>
        <c:axId val="35070720"/>
        <c:scaling>
          <c:orientation val="minMax"/>
        </c:scaling>
        <c:delete val="0"/>
        <c:axPos val="l"/>
        <c:majorGridlines>
          <c:spPr>
            <a:ln w="3171" cap="flat" cmpd="sng" algn="ctr">
              <a:solidFill>
                <a:srgbClr val="000000"/>
              </a:solidFill>
              <a:prstDash val="solid"/>
              <a:round/>
            </a:ln>
          </c:spPr>
        </c:majorGridlines>
        <c:numFmt formatCode="General" sourceLinked="1"/>
        <c:majorTickMark val="in"/>
        <c:minorTickMark val="none"/>
        <c:tickLblPos val="nextTo"/>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89689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933110367893"/>
          <c:y val="0.403409090909091"/>
          <c:w val="0.187290969899666"/>
          <c:h val="0.198863636363636"/>
        </c:manualLayout>
      </c:layout>
      <c:overlay val="0"/>
      <c:spPr>
        <a:noFill/>
        <a:ln w="3171">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78929765886"/>
          <c:y val="0.0511363636363637"/>
          <c:w val="0.658862876254184"/>
          <c:h val="0.840909090909093"/>
        </c:manualLayout>
      </c:layout>
      <c:barChart>
        <c:barDir val="col"/>
        <c:grouping val="clustered"/>
        <c:varyColors val="0"/>
        <c:ser>
          <c:idx val="1"/>
          <c:order val="0"/>
          <c:tx>
            <c:strRef>
              <c:f>Sheet1!$A$2</c:f>
              <c:strCache>
                <c:ptCount val="1"/>
                <c:pt idx="0">
                  <c:v>2017年</c:v>
                </c:pt>
              </c:strCache>
            </c:strRef>
          </c:tx>
          <c:spPr>
            <a:solidFill>
              <a:srgbClr val="993366"/>
            </a:solidFill>
            <a:ln w="1268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181.63</c:v>
                </c:pt>
              </c:numCache>
            </c:numRef>
          </c:val>
        </c:ser>
        <c:ser>
          <c:idx val="0"/>
          <c:order val="1"/>
          <c:tx>
            <c:strRef>
              <c:f>Sheet1!$A$3</c:f>
              <c:strCache>
                <c:ptCount val="1"/>
                <c:pt idx="0">
                  <c:v>2018年</c:v>
                </c:pt>
              </c:strCache>
            </c:strRef>
          </c:tx>
          <c:spPr>
            <a:solidFill>
              <a:srgbClr val="9999FF"/>
            </a:solidFill>
            <a:ln w="12686">
              <a:solidFill>
                <a:srgbClr val="000000"/>
              </a:solidFill>
              <a:prstDash val="solid"/>
            </a:ln>
          </c:spPr>
          <c:invertIfNegative val="0"/>
          <c:dLbls>
            <c:delete val="1"/>
          </c:dLbls>
          <c:cat>
            <c:numRef>
              <c:f>Sheet1!$B$1:$B$1</c:f>
              <c:numCache>
                <c:formatCode>General</c:formatCode>
                <c:ptCount val="1"/>
              </c:numCache>
            </c:numRef>
          </c:cat>
          <c:val>
            <c:numRef>
              <c:f>Sheet1!$B$3:$B$3</c:f>
              <c:numCache>
                <c:formatCode>General</c:formatCode>
                <c:ptCount val="1"/>
                <c:pt idx="0">
                  <c:v>199.34</c:v>
                </c:pt>
              </c:numCache>
            </c:numRef>
          </c:val>
        </c:ser>
        <c:dLbls>
          <c:showLegendKey val="0"/>
          <c:showVal val="0"/>
          <c:showCatName val="0"/>
          <c:showSerName val="0"/>
          <c:showPercent val="0"/>
          <c:showBubbleSize val="0"/>
        </c:dLbls>
        <c:gapWidth val="150"/>
        <c:axId val="35103872"/>
        <c:axId val="35105408"/>
      </c:barChart>
      <c:catAx>
        <c:axId val="35103872"/>
        <c:scaling>
          <c:orientation val="minMax"/>
        </c:scaling>
        <c:delete val="0"/>
        <c:axPos val="b"/>
        <c:numFmt formatCode="General" sourceLinked="1"/>
        <c:majorTickMark val="in"/>
        <c:minorTickMark val="none"/>
        <c:tickLblPos val="low"/>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5105408"/>
        <c:crosses val="autoZero"/>
        <c:auto val="1"/>
        <c:lblAlgn val="ctr"/>
        <c:lblOffset val="100"/>
        <c:tickLblSkip val="1"/>
        <c:noMultiLvlLbl val="0"/>
      </c:catAx>
      <c:valAx>
        <c:axId val="35105408"/>
        <c:scaling>
          <c:orientation val="minMax"/>
        </c:scaling>
        <c:delete val="0"/>
        <c:axPos val="l"/>
        <c:majorGridlines>
          <c:spPr>
            <a:ln w="3171" cap="flat" cmpd="sng" algn="ctr">
              <a:solidFill>
                <a:srgbClr val="000000"/>
              </a:solidFill>
              <a:prstDash val="solid"/>
              <a:round/>
            </a:ln>
          </c:spPr>
        </c:majorGridlines>
        <c:numFmt formatCode="General" sourceLinked="1"/>
        <c:majorTickMark val="in"/>
        <c:minorTickMark val="none"/>
        <c:tickLblPos val="nextTo"/>
        <c:spPr>
          <a:ln w="3171" cap="flat" cmpd="sng" algn="ctr">
            <a:solidFill>
              <a:srgbClr val="000000"/>
            </a:solidFill>
            <a:prstDash val="solid"/>
            <a:roun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5103872"/>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933110367893"/>
          <c:y val="0.403409090909091"/>
          <c:w val="0.187290969899666"/>
          <c:h val="0.198863636363636"/>
        </c:manualLayout>
      </c:layout>
      <c:overlay val="0"/>
      <c:spPr>
        <a:noFill/>
        <a:ln w="3171">
          <a:solidFill>
            <a:srgbClr val="000000"/>
          </a:solidFill>
          <a:prstDash val="solid"/>
        </a:ln>
      </c:spPr>
      <c:txPr>
        <a:bodyPr rot="0" spcFirstLastPara="0" vertOverflow="ellipsis" vert="horz" wrap="square" anchor="ctr" anchorCtr="1"/>
        <a:lstStyle/>
        <a:p>
          <a:pPr>
            <a:defRPr lang="zh-CN" sz="8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1BDF-5383-4B74-9683-0F2BC1F944B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2243</Words>
  <Characters>12786</Characters>
  <Lines>106</Lines>
  <Paragraphs>29</Paragraphs>
  <TotalTime>784</TotalTime>
  <ScaleCrop>false</ScaleCrop>
  <LinksUpToDate>false</LinksUpToDate>
  <CharactersWithSpaces>15000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2020-11-09T01:26:00Z</dcterms:created>
  <dc:creator>曹颖</dc:creator>
  <cp:lastModifiedBy>罗怡</cp:lastModifiedBy>
  <cp:lastPrinted>2020-07-23T02:58:00Z</cp:lastPrinted>
  <dcterms:modified xsi:type="dcterms:W3CDTF">2024-08-20T01:43:50Z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C19A39A67433482E9F586C5C7A59630F</vt:lpwstr>
  </property>
</Properties>
</file>