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520" w:firstLineChars="350"/>
        <w:outlineLvl w:val="0"/>
        <w:rPr>
          <w:rFonts w:ascii="方正小标宋简体" w:hAnsi="方正小标宋简体" w:eastAsia="方正小标宋简体" w:cs="方正小标宋简体"/>
          <w:sz w:val="72"/>
          <w:szCs w:val="72"/>
        </w:rPr>
      </w:pPr>
      <w:bookmarkStart w:id="0" w:name="_Toc15396597"/>
      <w:bookmarkStart w:id="1" w:name="_Toc15396475"/>
      <w:bookmarkStart w:id="2" w:name="_Toc15377425"/>
      <w:bookmarkStart w:id="3" w:name="_Toc15378441"/>
      <w:bookmarkStart w:id="4" w:name="_Toc15377193"/>
      <w:bookmarkStart w:id="5" w:name="_Toc15306267"/>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598"/>
      <w:bookmarkStart w:id="8" w:name="_Toc15377194"/>
      <w:bookmarkStart w:id="9" w:name="_Toc15377426"/>
      <w:bookmarkStart w:id="10" w:name="_Toc15396476"/>
      <w:r>
        <w:rPr>
          <w:rFonts w:hint="eastAsia" w:ascii="方正小标宋简体" w:hAnsi="方正小标宋简体" w:eastAsia="方正小标宋简体" w:cs="方正小标宋简体"/>
          <w:sz w:val="72"/>
          <w:szCs w:val="72"/>
        </w:rPr>
        <w:t>攀枝花市西区</w:t>
      </w:r>
      <w:bookmarkEnd w:id="5"/>
      <w:bookmarkStart w:id="11" w:name="_Toc15306268"/>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卫生健康局部门决算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宋体" w:eastAsia="方正小标宋简体"/>
          <w:sz w:val="52"/>
          <w:szCs w:val="52"/>
        </w:rPr>
        <w:t>（汇总）</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w:t>
      </w:r>
      <w:r>
        <w:t>3</w:t>
      </w:r>
      <w:r>
        <w:rPr>
          <w:rFonts w:hint="eastAsia"/>
        </w:rPr>
        <w:t>年10月</w:t>
      </w:r>
      <w:r>
        <w:t>31</w:t>
      </w:r>
      <w:r>
        <w:rPr>
          <w:rFonts w:hint="eastAsia"/>
        </w:rPr>
        <w:t>日</w:t>
      </w:r>
    </w:p>
    <w:p/>
    <w:p>
      <w:pPr>
        <w:pStyle w:val="11"/>
        <w:adjustRightInd w:val="0"/>
        <w:snapToGrid w:val="0"/>
        <w:spacing w:before="0" w:line="440" w:lineRule="exact"/>
        <w:jc w:val="left"/>
        <w:rPr>
          <w:rFonts w:ascii="仿宋_GB2312" w:hAnsi="仿宋_GB2312" w:eastAsia="仿宋_GB2312" w:cs="仿宋_GB2312"/>
        </w:rPr>
      </w:pPr>
      <w:r>
        <w:rPr>
          <w:rFonts w:hint="eastAsia" w:ascii="仿宋_GB2312" w:hAnsi="仿宋_GB2312" w:eastAsia="仿宋_GB2312" w:cs="仿宋_GB2312"/>
        </w:rPr>
        <w:t>第一部分 部门概况</w:t>
      </w:r>
      <w:r>
        <w:rPr>
          <w:rFonts w:hint="eastAsia" w:ascii="仿宋_GB2312" w:hAnsi="仿宋_GB2312" w:eastAsia="仿宋_GB2312" w:cs="仿宋_GB2312"/>
        </w:rPr>
        <w:tab/>
      </w:r>
      <w:r>
        <w:rPr>
          <w:rFonts w:hint="eastAsia" w:ascii="仿宋_GB2312" w:hAnsi="仿宋_GB2312" w:eastAsia="仿宋_GB2312" w:cs="仿宋_GB2312"/>
        </w:rPr>
        <w:t>4</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r>
        <w:rPr>
          <w:rFonts w:hint="eastAsia" w:ascii="仿宋_GB2312" w:hAnsi="仿宋_GB2312" w:eastAsia="仿宋_GB2312" w:cs="仿宋_GB2312"/>
        </w:rPr>
        <w:tab/>
      </w:r>
      <w:r>
        <w:rPr>
          <w:rFonts w:hint="eastAsia" w:ascii="仿宋_GB2312" w:hAnsi="仿宋_GB2312" w:eastAsia="仿宋_GB2312" w:cs="仿宋_GB2312"/>
          <w:sz w:val="28"/>
          <w:szCs w:val="28"/>
        </w:rPr>
        <w:t>4</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rPr>
        <w:tab/>
      </w:r>
      <w:r>
        <w:rPr>
          <w:rFonts w:ascii="仿宋_GB2312" w:hAnsi="仿宋_GB2312" w:eastAsia="仿宋_GB2312" w:cs="仿宋_GB2312"/>
          <w:sz w:val="28"/>
          <w:szCs w:val="28"/>
        </w:rPr>
        <w:t>6</w:t>
      </w:r>
    </w:p>
    <w:p>
      <w:pPr>
        <w:pStyle w:val="11"/>
        <w:adjustRightInd w:val="0"/>
        <w:snapToGrid w:val="0"/>
        <w:spacing w:before="0" w:line="440" w:lineRule="exact"/>
        <w:jc w:val="left"/>
        <w:rPr>
          <w:rFonts w:ascii="仿宋_GB2312" w:hAnsi="仿宋_GB2312" w:eastAsia="仿宋_GB2312" w:cs="仿宋_GB2312"/>
        </w:rPr>
      </w:pPr>
      <w:r>
        <w:rPr>
          <w:rFonts w:hint="eastAsia" w:ascii="仿宋_GB2312" w:hAnsi="仿宋_GB2312" w:eastAsia="仿宋_GB2312" w:cs="仿宋_GB2312"/>
        </w:rPr>
        <w:t>第二部分 202</w:t>
      </w:r>
      <w:r>
        <w:rPr>
          <w:rFonts w:ascii="仿宋_GB2312" w:hAnsi="仿宋_GB2312" w:eastAsia="仿宋_GB2312" w:cs="仿宋_GB2312"/>
        </w:rPr>
        <w:t>2</w:t>
      </w:r>
      <w:r>
        <w:rPr>
          <w:rFonts w:hint="eastAsia" w:ascii="仿宋_GB2312" w:hAnsi="仿宋_GB2312" w:eastAsia="仿宋_GB2312" w:cs="仿宋_GB2312"/>
        </w:rPr>
        <w:t>年度部门决算情况说明</w:t>
      </w:r>
      <w:r>
        <w:rPr>
          <w:rFonts w:hint="eastAsia" w:ascii="仿宋_GB2312" w:hAnsi="仿宋_GB2312" w:eastAsia="仿宋_GB2312" w:cs="仿宋_GB2312"/>
        </w:rPr>
        <w:tab/>
      </w:r>
      <w:r>
        <w:rPr>
          <w:rFonts w:ascii="仿宋_GB2312" w:hAnsi="仿宋_GB2312" w:eastAsia="仿宋_GB2312" w:cs="仿宋_GB2312"/>
        </w:rPr>
        <w:t>8</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8</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8</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三、支出决算情况说明</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9</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ascii="仿宋_GB2312" w:hAnsi="仿宋_GB2312" w:eastAsia="仿宋_GB2312" w:cs="仿宋_GB2312"/>
          <w:sz w:val="28"/>
          <w:szCs w:val="28"/>
        </w:rPr>
        <w:t>0</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ascii="仿宋_GB2312" w:hAnsi="仿宋_GB2312" w:eastAsia="仿宋_GB2312" w:cs="仿宋_GB2312"/>
          <w:sz w:val="28"/>
          <w:szCs w:val="28"/>
        </w:rPr>
        <w:t>0</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六、一般公共预算财政拨款基本支出决算情况说明</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15</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七、“三公”经费财政拨款支出决算情况说明</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15</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八、政府性基金预算支出决算情况说明</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17</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九、国有资本经营预算支出决算情况说明</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17</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十、其他重要事项的情况说明</w:t>
      </w:r>
      <w:r>
        <w:rPr>
          <w:rFonts w:hint="eastAsia" w:ascii="仿宋_GB2312" w:hAnsi="仿宋_GB2312" w:eastAsia="仿宋_GB2312" w:cs="仿宋_GB2312"/>
          <w:sz w:val="28"/>
          <w:szCs w:val="28"/>
        </w:rPr>
        <w:tab/>
      </w:r>
      <w:r>
        <w:rPr>
          <w:rFonts w:ascii="仿宋_GB2312" w:hAnsi="仿宋_GB2312" w:eastAsia="仿宋_GB2312" w:cs="仿宋_GB2312"/>
          <w:sz w:val="28"/>
          <w:szCs w:val="28"/>
        </w:rPr>
        <w:t>17</w:t>
      </w:r>
    </w:p>
    <w:p>
      <w:pPr>
        <w:pStyle w:val="11"/>
        <w:adjustRightInd w:val="0"/>
        <w:snapToGrid w:val="0"/>
        <w:spacing w:before="0" w:line="440" w:lineRule="exact"/>
        <w:jc w:val="left"/>
        <w:rPr>
          <w:rFonts w:ascii="仿宋_GB2312" w:hAnsi="仿宋_GB2312" w:eastAsia="仿宋_GB2312" w:cs="仿宋_GB2312"/>
        </w:rPr>
      </w:pPr>
      <w:r>
        <w:rPr>
          <w:rFonts w:hint="eastAsia" w:ascii="仿宋_GB2312" w:hAnsi="仿宋_GB2312" w:eastAsia="仿宋_GB2312" w:cs="仿宋_GB2312"/>
        </w:rPr>
        <w:t>第三部分 名词解释</w:t>
      </w:r>
      <w:r>
        <w:rPr>
          <w:rFonts w:hint="eastAsia" w:ascii="仿宋_GB2312" w:hAnsi="仿宋_GB2312" w:eastAsia="仿宋_GB2312" w:cs="仿宋_GB2312"/>
        </w:rPr>
        <w:tab/>
      </w:r>
      <w:r>
        <w:rPr>
          <w:rFonts w:ascii="仿宋_GB2312" w:hAnsi="仿宋_GB2312" w:eastAsia="仿宋_GB2312" w:cs="仿宋_GB2312"/>
        </w:rPr>
        <w:t>19</w:t>
      </w:r>
    </w:p>
    <w:p>
      <w:pPr>
        <w:pStyle w:val="11"/>
        <w:adjustRightInd w:val="0"/>
        <w:snapToGrid w:val="0"/>
        <w:spacing w:before="0" w:line="440" w:lineRule="exact"/>
        <w:jc w:val="left"/>
        <w:rPr>
          <w:rFonts w:ascii="仿宋_GB2312" w:hAnsi="仿宋_GB2312" w:eastAsia="仿宋_GB2312" w:cs="仿宋_GB2312"/>
        </w:rPr>
      </w:pPr>
      <w:r>
        <w:rPr>
          <w:rFonts w:hint="eastAsia" w:ascii="仿宋_GB2312" w:hAnsi="仿宋_GB2312" w:eastAsia="仿宋_GB2312" w:cs="仿宋_GB2312"/>
        </w:rPr>
        <w:t>第四部分 附件</w:t>
      </w:r>
      <w:r>
        <w:rPr>
          <w:rFonts w:hint="eastAsia" w:ascii="仿宋_GB2312" w:hAnsi="仿宋_GB2312" w:eastAsia="仿宋_GB2312" w:cs="仿宋_GB2312"/>
        </w:rPr>
        <w:tab/>
      </w:r>
      <w:r>
        <w:rPr>
          <w:rFonts w:ascii="仿宋_GB2312" w:hAnsi="仿宋_GB2312" w:eastAsia="仿宋_GB2312" w:cs="仿宋_GB2312"/>
        </w:rPr>
        <w:t>24</w:t>
      </w:r>
    </w:p>
    <w:p>
      <w:pPr>
        <w:pStyle w:val="11"/>
        <w:adjustRightInd w:val="0"/>
        <w:snapToGrid w:val="0"/>
        <w:spacing w:before="0" w:line="440" w:lineRule="exact"/>
        <w:jc w:val="left"/>
        <w:rPr>
          <w:rFonts w:ascii="仿宋_GB2312" w:hAnsi="仿宋_GB2312" w:eastAsia="仿宋_GB2312" w:cs="仿宋_GB2312"/>
        </w:rPr>
      </w:pPr>
      <w:r>
        <w:rPr>
          <w:rFonts w:hint="eastAsia" w:ascii="仿宋_GB2312" w:hAnsi="仿宋_GB2312" w:eastAsia="仿宋_GB2312" w:cs="仿宋_GB2312"/>
        </w:rPr>
        <w:t>第五部分 附表</w:t>
      </w:r>
      <w:r>
        <w:rPr>
          <w:rFonts w:hint="eastAsia" w:ascii="仿宋_GB2312" w:hAnsi="仿宋_GB2312" w:eastAsia="仿宋_GB2312" w:cs="仿宋_GB2312"/>
        </w:rPr>
        <w:tab/>
      </w:r>
      <w:r>
        <w:rPr>
          <w:rFonts w:hint="eastAsia" w:ascii="仿宋_GB2312" w:hAnsi="仿宋_GB2312" w:eastAsia="仿宋_GB2312" w:cs="仿宋_GB2312"/>
        </w:rPr>
        <w:t>5</w:t>
      </w:r>
      <w:r>
        <w:rPr>
          <w:rFonts w:ascii="仿宋_GB2312" w:hAnsi="仿宋_GB2312" w:eastAsia="仿宋_GB2312" w:cs="仿宋_GB2312"/>
        </w:rPr>
        <w:t>5</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五、财政拨款支出决算明细表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六、一般公共预算财政拨款支出决算表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七、一般公共预算财政拨款支出决算明细表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八、一般公共预算财政拨款基本支出决算表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九、一般公共预算财政拨款项目支出决算表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十、政府性基金预算财政拨款收入支出决算表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十一、国有资本经营预算财政拨款收入支出决算表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十二、国有资本经营预算财政拨款支出决算表</w:t>
      </w:r>
    </w:p>
    <w:p>
      <w:pPr>
        <w:pStyle w:val="12"/>
        <w:adjustRightInd w:val="0"/>
        <w:snapToGrid w:val="0"/>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十三、财政拨款“三公”经费支出决算表</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jc w:val="center"/>
        <w:rPr>
          <w:rStyle w:val="19"/>
          <w:rFonts w:ascii="黑体" w:hAnsi="黑体" w:eastAsia="黑体"/>
          <w:b w:val="0"/>
          <w:bCs/>
        </w:rPr>
      </w:pPr>
      <w:r>
        <w:rPr>
          <w:rFonts w:hint="eastAsia" w:ascii="黑体" w:hAnsi="黑体" w:eastAsia="黑体"/>
          <w:bCs w:val="0"/>
        </w:rPr>
        <w:t>第一部分 部门</w:t>
      </w:r>
      <w:r>
        <w:rPr>
          <w:rStyle w:val="19"/>
          <w:rFonts w:hint="eastAsia" w:ascii="黑体" w:hAnsi="黑体" w:eastAsia="黑体"/>
          <w:b/>
          <w:bCs w:val="0"/>
        </w:rPr>
        <w:t>概况</w:t>
      </w:r>
    </w:p>
    <w:p>
      <w:pPr>
        <w:pStyle w:val="4"/>
        <w:rPr>
          <w:rStyle w:val="20"/>
          <w:rFonts w:ascii="黑体" w:hAnsi="黑体" w:eastAsia="黑体"/>
          <w:b w:val="0"/>
          <w:bCs w:val="0"/>
        </w:rPr>
      </w:pPr>
      <w:r>
        <w:rPr>
          <w:rStyle w:val="20"/>
          <w:rFonts w:hint="eastAsia" w:ascii="黑体" w:hAnsi="黑体" w:eastAsia="黑体"/>
          <w:b w:val="0"/>
          <w:bCs w:val="0"/>
        </w:rPr>
        <w:t xml:space="preserve">   一、部门职责</w:t>
      </w:r>
    </w:p>
    <w:p>
      <w:pPr>
        <w:rPr>
          <w:rFonts w:ascii="楷体" w:hAnsi="楷体" w:eastAsia="楷体"/>
        </w:rPr>
      </w:pPr>
      <w:r>
        <w:rPr>
          <w:rFonts w:hint="eastAsia" w:ascii="楷体" w:hAnsi="楷体" w:eastAsia="楷体"/>
          <w:sz w:val="32"/>
          <w:szCs w:val="32"/>
        </w:rPr>
        <w:t xml:space="preserve">  （一）基本职能</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组织拟订全区卫生健康政策。负责拟订卫生健康事业发展政策、规划并组织实施。统筹规划全区卫生健康资源配置。制定并组织实施推进卫生健康基本公共服务均等化、普惠化、便捷化和公共资源向基层延伸等政策措施。</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2.牵头推进全区深化医药卫生体制改革。研究提出深化改革重大政策、措施的建议。配合开展深化公立医院综合改革。制定并组织实施推动卫生健康公共服务提供主体多元化、方式多样化的政策措施。</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制定并组织落实全区疾病预防控制规划、免疫规划以及严重危害人民健康的艾滋病等重大传染病、寄生虫病、地方病等公共卫生问题的干预措施。负责全区卫生应急工作，组织和指导全区突发公共卫生事件预防控制和各类突发公共事件的医疗卫生救援。收集、报告法定传染病疫情信息、突发公共卫生事件应急处置信息。依照国家检疫传染病和监测传染病目录，参与开展检疫监测工作。</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4.贯彻落实国家应对人口老龄化政策措施。负责推进老年健康服务体系建设和医养结合工作。承担区老龄工作委员会日常工作。</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5.贯彻落实国家药物政策和国家基本药物制度。开展药械使用监测、临床综合评价和短缺药品预警，组织执行国家药典和国家基本药物目录，制定基本药物使用的政策措施。</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6.组织实施食品安全风险监测，开展食品安全企业标准备案，组织开展食品安全事故流行病学调查。</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7.负责职责范围内的职业卫生、放射卫生、环境卫生、学校卫生、公共场所卫生、饮用水卫生等公共卫生的监督管理。负责传染病防治监督，健全卫生健康综合监管体系。</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9.拟订全区中医药中长期发展规划，并纳入卫生健康事业发展总体规划和战略目标予以组织实施。</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10.负责全区计划生育管理和服务工作，开展人口监测预警，研究提出人口与家庭发展相关政策建议，执行计划生育政策。指导区计划生育协会的业务工作。</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11.指导全区卫生健康工作，指导基层医疗卫生、妇幼健康服务体系和基层卫生队伍建设。推进卫生健康科技创新发展。</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12.负责重要会议与重大活动的医疗卫生保障工作。</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13.依法依规履行卫生健康行业安全生产监管职责，负责职责范围内的生态环境保护、审批服务便民化等工作。</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14.完成区委和区政府交办的其他任务。</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15.职能转变</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牢固树立大卫生、大健康理念，推动实施健康中国、健康四川、健康攀枝花和健康西区战略，以改革创新为动力，以促健康、转模式、强基层、重保障为着力点，把以治病为中心转变到以人民健康为中心，为人民群众提供全方位全周期卫生健康服务。更加注重预防为主和健康促进，提高健康意识，加强爱国卫生运动工作，加强预防控制重大疾病工作，积极应对人口老龄化，健全卫生健康服务体系；更加注重卫生健康服务公平性和可及性，推动工作重心下移和资源下沉，推进卫生健康公共资源向基层延伸、向农村覆盖、向边远地区和生活困难群众倾斜；更加注重提高服务质量和水平，推动建设高质量健康服务基地和中医药强区；更加注重深化医药卫生体制改革的科学性和持续性，加快分级诊疗制度建设，加强医疗、医保、医药的联动改革。配合开展公立医院改革。</w:t>
      </w:r>
    </w:p>
    <w:p>
      <w:pPr>
        <w:ind w:firstLine="640" w:firstLineChars="200"/>
        <w:rPr>
          <w:rFonts w:ascii="仿宋_GB2312" w:eastAsia="仿宋_GB2312"/>
          <w:color w:val="000000"/>
          <w:sz w:val="32"/>
          <w:szCs w:val="32"/>
        </w:rPr>
      </w:pPr>
      <w:r>
        <w:rPr>
          <w:rFonts w:hint="eastAsia" w:ascii="仿宋_GB2312" w:hAnsi="宋体" w:eastAsia="仿宋_GB2312" w:cs="宋体"/>
          <w:color w:val="000000"/>
          <w:sz w:val="32"/>
          <w:szCs w:val="32"/>
        </w:rPr>
        <w:t>（2）</w:t>
      </w:r>
      <w:r>
        <w:rPr>
          <w:rFonts w:hint="eastAsia" w:ascii="仿宋_GB2312" w:eastAsia="仿宋_GB2312"/>
          <w:color w:val="000000"/>
          <w:sz w:val="32"/>
          <w:szCs w:val="32"/>
        </w:rPr>
        <w:t>统筹推进承担行政职能的事业单位改革。区老龄工作委员会办公室不再承担老龄工作等行政职责，交由区卫生健康局承担。</w:t>
      </w:r>
    </w:p>
    <w:p>
      <w:pPr>
        <w:ind w:firstLine="640" w:firstLineChars="200"/>
        <w:rPr>
          <w:rFonts w:ascii="黑体" w:hAnsi="黑体" w:eastAsia="黑体"/>
          <w:sz w:val="32"/>
          <w:szCs w:val="32"/>
        </w:rPr>
      </w:pPr>
      <w:r>
        <w:rPr>
          <w:rFonts w:hint="eastAsia" w:ascii="黑体" w:hAnsi="黑体" w:eastAsia="黑体"/>
          <w:sz w:val="32"/>
          <w:szCs w:val="32"/>
        </w:rPr>
        <w:t>二、机构设置</w:t>
      </w:r>
    </w:p>
    <w:p>
      <w:pPr>
        <w:ind w:firstLine="640" w:firstLineChars="200"/>
        <w:rPr>
          <w:rFonts w:ascii="仿宋_GB2312" w:eastAsia="仿宋_GB2312"/>
          <w:color w:val="000000"/>
          <w:sz w:val="32"/>
          <w:szCs w:val="32"/>
        </w:rPr>
      </w:pPr>
      <w:r>
        <w:rPr>
          <w:rFonts w:hint="eastAsia" w:ascii="仿宋_GB2312" w:hAnsi="Arial" w:eastAsia="仿宋_GB2312" w:cs="Arial"/>
          <w:color w:val="333333"/>
          <w:kern w:val="0"/>
          <w:sz w:val="32"/>
          <w:szCs w:val="32"/>
        </w:rPr>
        <w:t>攀枝花市西区卫生健康局</w:t>
      </w:r>
      <w:r>
        <w:rPr>
          <w:rFonts w:hint="eastAsia" w:ascii="仿宋_GB2312" w:eastAsia="仿宋_GB2312"/>
          <w:color w:val="333333"/>
          <w:kern w:val="0"/>
          <w:sz w:val="32"/>
          <w:szCs w:val="32"/>
        </w:rPr>
        <w:t>下属</w:t>
      </w:r>
      <w:r>
        <w:rPr>
          <w:rFonts w:hint="eastAsia" w:ascii="仿宋_GB2312" w:hAnsi="Arial" w:eastAsia="仿宋_GB2312" w:cs="Arial"/>
          <w:color w:val="333333"/>
          <w:kern w:val="0"/>
          <w:sz w:val="32"/>
          <w:szCs w:val="32"/>
        </w:rPr>
        <w:t>二级单位4个，</w:t>
      </w:r>
      <w:r>
        <w:rPr>
          <w:rFonts w:hint="eastAsia" w:ascii="仿宋_GB2312" w:eastAsia="仿宋_GB2312"/>
          <w:color w:val="333333"/>
          <w:kern w:val="0"/>
          <w:sz w:val="32"/>
          <w:szCs w:val="32"/>
        </w:rPr>
        <w:t>其中</w:t>
      </w:r>
      <w:r>
        <w:rPr>
          <w:rFonts w:hint="eastAsia" w:ascii="仿宋_GB2312" w:hAnsi="Arial" w:eastAsia="仿宋_GB2312" w:cs="Arial"/>
          <w:color w:val="333333"/>
          <w:kern w:val="0"/>
          <w:sz w:val="32"/>
          <w:szCs w:val="32"/>
        </w:rPr>
        <w:t>参照公务员法管理的事业单位</w:t>
      </w:r>
      <w:r>
        <w:rPr>
          <w:rFonts w:eastAsia="仿宋_GB2312"/>
          <w:color w:val="333333"/>
          <w:kern w:val="0"/>
          <w:sz w:val="32"/>
          <w:szCs w:val="32"/>
        </w:rPr>
        <w:t>1</w:t>
      </w:r>
      <w:r>
        <w:rPr>
          <w:rFonts w:hint="eastAsia" w:ascii="仿宋_GB2312" w:hAnsi="Arial" w:eastAsia="仿宋_GB2312" w:cs="Arial"/>
          <w:color w:val="333333"/>
          <w:kern w:val="0"/>
          <w:sz w:val="32"/>
          <w:szCs w:val="32"/>
        </w:rPr>
        <w:t>个</w:t>
      </w:r>
      <w:r>
        <w:rPr>
          <w:rFonts w:hint="eastAsia" w:ascii="仿宋_GB2312" w:eastAsia="仿宋_GB2312"/>
          <w:color w:val="000000"/>
          <w:sz w:val="32"/>
          <w:szCs w:val="32"/>
        </w:rPr>
        <w:t>,其他事业单位</w:t>
      </w:r>
      <w:r>
        <w:rPr>
          <w:rFonts w:ascii="仿宋_GB2312" w:eastAsia="仿宋_GB2312"/>
          <w:color w:val="000000"/>
          <w:sz w:val="32"/>
          <w:szCs w:val="32"/>
        </w:rPr>
        <w:t>3</w:t>
      </w:r>
      <w:r>
        <w:rPr>
          <w:rFonts w:hint="eastAsia" w:ascii="仿宋_GB2312" w:eastAsia="仿宋_GB2312"/>
          <w:color w:val="000000"/>
          <w:sz w:val="32"/>
          <w:szCs w:val="32"/>
        </w:rPr>
        <w:t>个。</w:t>
      </w:r>
    </w:p>
    <w:p>
      <w:pPr>
        <w:ind w:firstLine="640" w:firstLineChars="200"/>
        <w:rPr>
          <w:rFonts w:ascii="仿宋" w:hAnsi="仿宋" w:eastAsia="仿宋"/>
          <w:color w:val="000000"/>
          <w:sz w:val="32"/>
          <w:szCs w:val="32"/>
        </w:rPr>
      </w:pPr>
      <w:r>
        <w:rPr>
          <w:rFonts w:hint="eastAsia" w:ascii="仿宋_GB2312" w:eastAsia="仿宋_GB2312"/>
          <w:color w:val="000000"/>
          <w:sz w:val="32"/>
          <w:szCs w:val="32"/>
        </w:rPr>
        <w:t>纳入本部门</w:t>
      </w:r>
      <w:r>
        <w:rPr>
          <w:rFonts w:hint="eastAsia" w:ascii="仿宋" w:hAnsi="仿宋" w:eastAsia="仿宋"/>
          <w:sz w:val="32"/>
          <w:szCs w:val="32"/>
        </w:rPr>
        <w:t>2022年度部门决算编制范围的二级预算单位</w:t>
      </w:r>
      <w:r>
        <w:rPr>
          <w:rFonts w:hint="eastAsia" w:ascii="仿宋" w:hAnsi="仿宋" w:eastAsia="仿宋"/>
          <w:color w:val="000000"/>
          <w:sz w:val="32"/>
          <w:szCs w:val="32"/>
        </w:rPr>
        <w:t>包括：</w:t>
      </w:r>
    </w:p>
    <w:p>
      <w:pPr>
        <w:pStyle w:val="2"/>
        <w:numPr>
          <w:ilvl w:val="0"/>
          <w:numId w:val="1"/>
        </w:numPr>
        <w:adjustRightInd w:val="0"/>
        <w:snapToGrid w:val="0"/>
        <w:spacing w:before="93" w:beforeLines="30" w:after="0"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攀枝花市西区卫生和计划生育监督执法大队</w:t>
      </w:r>
    </w:p>
    <w:p>
      <w:pPr>
        <w:pStyle w:val="2"/>
        <w:numPr>
          <w:ilvl w:val="0"/>
          <w:numId w:val="1"/>
        </w:numPr>
        <w:adjustRightInd w:val="0"/>
        <w:snapToGrid w:val="0"/>
        <w:spacing w:before="93" w:beforeLines="30" w:after="0"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攀枝花市西区公共卫生服务中心</w:t>
      </w:r>
    </w:p>
    <w:p>
      <w:pPr>
        <w:pStyle w:val="2"/>
        <w:numPr>
          <w:ilvl w:val="0"/>
          <w:numId w:val="1"/>
        </w:numPr>
        <w:adjustRightInd w:val="0"/>
        <w:snapToGrid w:val="0"/>
        <w:spacing w:before="93" w:beforeLines="30" w:after="0"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攀枝花市西区疾病预防控制中心</w:t>
      </w:r>
    </w:p>
    <w:p>
      <w:pPr>
        <w:pStyle w:val="2"/>
        <w:numPr>
          <w:ilvl w:val="0"/>
          <w:numId w:val="1"/>
        </w:numPr>
        <w:adjustRightInd w:val="0"/>
        <w:snapToGrid w:val="0"/>
        <w:spacing w:before="93" w:beforeLines="30" w:after="0"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攀枝花市西区妇幼保健服务中心</w:t>
      </w:r>
    </w:p>
    <w:p>
      <w:pPr>
        <w:pStyle w:val="2"/>
      </w:pPr>
      <w:r>
        <w:rPr>
          <w:rFonts w:ascii="仿宋" w:hAnsi="仿宋" w:eastAsia="仿宋"/>
          <w:color w:val="000000"/>
          <w:sz w:val="32"/>
          <w:szCs w:val="32"/>
        </w:rPr>
        <w:br w:type="page"/>
      </w:r>
    </w:p>
    <w:p>
      <w:pPr>
        <w:pStyle w:val="3"/>
        <w:ind w:right="440"/>
        <w:jc w:val="center"/>
        <w:rPr>
          <w:rStyle w:val="19"/>
          <w:rFonts w:ascii="黑体" w:hAnsi="黑体" w:eastAsia="黑体"/>
          <w:b w:val="0"/>
          <w:bCs/>
        </w:rPr>
      </w:pPr>
      <w:bookmarkStart w:id="12" w:name="_Toc15396602"/>
      <w:bookmarkStart w:id="13" w:name="_Toc15377204"/>
      <w:r>
        <w:rPr>
          <w:rFonts w:hint="eastAsia" w:ascii="黑体" w:hAnsi="黑体" w:eastAsia="黑体"/>
          <w:b w:val="0"/>
        </w:rPr>
        <w:t xml:space="preserve">第二部分 </w:t>
      </w:r>
      <w:r>
        <w:rPr>
          <w:rStyle w:val="19"/>
          <w:rFonts w:hint="eastAsia" w:ascii="黑体" w:hAnsi="黑体" w:eastAsia="黑体"/>
          <w:b/>
          <w:bCs w:val="0"/>
        </w:rPr>
        <w:t>2022年度部门决算情况说明</w:t>
      </w:r>
      <w:bookmarkEnd w:id="12"/>
      <w:bookmarkEnd w:id="13"/>
    </w:p>
    <w:p/>
    <w:p>
      <w:pPr>
        <w:pStyle w:val="21"/>
        <w:numPr>
          <w:ilvl w:val="0"/>
          <w:numId w:val="2"/>
        </w:numPr>
        <w:spacing w:line="600" w:lineRule="exact"/>
        <w:ind w:firstLineChars="0"/>
        <w:outlineLvl w:val="1"/>
        <w:rPr>
          <w:rStyle w:val="20"/>
          <w:rFonts w:ascii="黑体" w:hAnsi="黑体" w:eastAsia="黑体"/>
          <w:b w:val="0"/>
        </w:rPr>
      </w:pPr>
      <w:bookmarkStart w:id="14" w:name="_Toc15377205"/>
      <w:bookmarkStart w:id="15" w:name="_Toc15396603"/>
      <w:r>
        <w:rPr>
          <w:rFonts w:hint="eastAsia" w:ascii="黑体" w:hAnsi="黑体" w:eastAsia="黑体"/>
          <w:sz w:val="32"/>
          <w:szCs w:val="32"/>
        </w:rPr>
        <w:t>收</w:t>
      </w:r>
      <w:r>
        <w:rPr>
          <w:rStyle w:val="20"/>
          <w:rFonts w:hint="eastAsia" w:ascii="黑体" w:hAnsi="黑体" w:eastAsia="黑体"/>
        </w:rPr>
        <w:t>入支出决算总体情况说明</w:t>
      </w:r>
      <w:bookmarkEnd w:id="14"/>
      <w:bookmarkEnd w:id="15"/>
    </w:p>
    <w:p>
      <w:pPr>
        <w:spacing w:line="600" w:lineRule="exact"/>
        <w:ind w:firstLine="420" w:firstLineChars="200"/>
        <w:rPr>
          <w:rFonts w:ascii="仿宋_GB2312" w:hAnsi="仿宋" w:eastAsia="仿宋_GB2312"/>
          <w:color w:val="000000"/>
          <w:sz w:val="32"/>
          <w:szCs w:val="32"/>
        </w:rPr>
      </w:pPr>
      <w:r>
        <w:rPr>
          <w:rFonts w:hint="eastAsia"/>
        </w:rPr>
        <w:t xml:space="preserve"> </w:t>
      </w:r>
      <w:r>
        <w:t xml:space="preserve">   </w:t>
      </w:r>
      <w:r>
        <w:rPr>
          <w:rFonts w:hint="eastAsia" w:ascii="仿宋_GB2312" w:hAnsi="仿宋" w:eastAsia="仿宋_GB2312"/>
          <w:sz w:val="32"/>
          <w:szCs w:val="32"/>
        </w:rPr>
        <w:t>202</w:t>
      </w:r>
      <w:r>
        <w:rPr>
          <w:rFonts w:ascii="仿宋_GB2312" w:hAnsi="仿宋" w:eastAsia="仿宋_GB2312"/>
          <w:sz w:val="32"/>
          <w:szCs w:val="32"/>
        </w:rPr>
        <w:t>2</w:t>
      </w:r>
      <w:r>
        <w:rPr>
          <w:rFonts w:hint="eastAsia" w:ascii="仿宋_GB2312" w:hAnsi="仿宋" w:eastAsia="仿宋_GB2312"/>
          <w:sz w:val="32"/>
          <w:szCs w:val="32"/>
        </w:rPr>
        <w:t>年度收、支总计5</w:t>
      </w:r>
      <w:r>
        <w:rPr>
          <w:rFonts w:ascii="仿宋_GB2312" w:hAnsi="仿宋" w:eastAsia="仿宋_GB2312"/>
          <w:sz w:val="32"/>
          <w:szCs w:val="32"/>
        </w:rPr>
        <w:t>921.71</w:t>
      </w:r>
      <w:r>
        <w:rPr>
          <w:rFonts w:hint="eastAsia" w:ascii="仿宋_GB2312" w:hAnsi="仿宋" w:eastAsia="仿宋_GB2312"/>
          <w:sz w:val="32"/>
          <w:szCs w:val="32"/>
        </w:rPr>
        <w:t>万元。与202</w:t>
      </w:r>
      <w:r>
        <w:rPr>
          <w:rFonts w:ascii="仿宋_GB2312" w:hAnsi="仿宋" w:eastAsia="仿宋_GB2312"/>
          <w:sz w:val="32"/>
          <w:szCs w:val="32"/>
        </w:rPr>
        <w:t>1</w:t>
      </w:r>
      <w:r>
        <w:rPr>
          <w:rFonts w:hint="eastAsia" w:ascii="仿宋_GB2312" w:hAnsi="仿宋" w:eastAsia="仿宋_GB2312"/>
          <w:sz w:val="32"/>
          <w:szCs w:val="32"/>
        </w:rPr>
        <w:t>年相比，收、支总计增加4</w:t>
      </w:r>
      <w:r>
        <w:rPr>
          <w:rFonts w:ascii="仿宋_GB2312" w:hAnsi="仿宋" w:eastAsia="仿宋_GB2312"/>
          <w:sz w:val="32"/>
          <w:szCs w:val="32"/>
        </w:rPr>
        <w:t>02.83</w:t>
      </w:r>
      <w:r>
        <w:rPr>
          <w:rFonts w:hint="eastAsia" w:ascii="仿宋_GB2312" w:hAnsi="仿宋" w:eastAsia="仿宋_GB2312"/>
          <w:sz w:val="32"/>
          <w:szCs w:val="32"/>
        </w:rPr>
        <w:t>万元，增长7</w:t>
      </w:r>
      <w:r>
        <w:rPr>
          <w:rFonts w:ascii="仿宋_GB2312" w:hAnsi="仿宋" w:eastAsia="仿宋_GB2312"/>
          <w:sz w:val="32"/>
          <w:szCs w:val="32"/>
        </w:rPr>
        <w:t>.30</w:t>
      </w:r>
      <w:r>
        <w:rPr>
          <w:rFonts w:hint="eastAsia" w:ascii="仿宋_GB2312" w:hAnsi="仿宋" w:eastAsia="仿宋_GB2312"/>
          <w:sz w:val="32"/>
          <w:szCs w:val="32"/>
        </w:rPr>
        <w:t>%。主要变动原因是公共卫生特别服务岗等人员经费增加</w:t>
      </w:r>
      <w:r>
        <w:rPr>
          <w:rFonts w:hint="eastAsia" w:ascii="仿宋_GB2312" w:hAnsi="仿宋" w:eastAsia="仿宋_GB2312"/>
          <w:color w:val="000000"/>
          <w:sz w:val="32"/>
          <w:szCs w:val="32"/>
        </w:rPr>
        <w:t>。</w:t>
      </w:r>
    </w:p>
    <w:p>
      <w:pPr>
        <w:pStyle w:val="2"/>
      </w:pPr>
      <w:r>
        <w:drawing>
          <wp:inline distT="0" distB="0" distL="0" distR="0">
            <wp:extent cx="5274310" cy="307657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600" w:lineRule="exact"/>
        <w:ind w:firstLine="640" w:firstLineChars="200"/>
        <w:outlineLvl w:val="1"/>
        <w:rPr>
          <w:rStyle w:val="20"/>
          <w:rFonts w:ascii="黑体" w:hAnsi="黑体" w:eastAsia="黑体"/>
          <w:b w:val="0"/>
        </w:rPr>
      </w:pPr>
      <w:bookmarkStart w:id="16" w:name="_Toc15377206"/>
      <w:bookmarkStart w:id="17" w:name="_Toc15396604"/>
      <w:r>
        <w:rPr>
          <w:rFonts w:hint="eastAsia" w:ascii="黑体" w:hAnsi="黑体" w:eastAsia="黑体"/>
          <w:sz w:val="32"/>
          <w:szCs w:val="32"/>
        </w:rPr>
        <w:t>二、收</w:t>
      </w:r>
      <w:r>
        <w:rPr>
          <w:rStyle w:val="20"/>
          <w:rFonts w:hint="eastAsia" w:ascii="黑体" w:hAnsi="黑体" w:eastAsia="黑体"/>
        </w:rPr>
        <w:t>入决算情况说明</w:t>
      </w:r>
      <w:bookmarkEnd w:id="16"/>
      <w:bookmarkEnd w:id="17"/>
    </w:p>
    <w:p>
      <w:pPr>
        <w:spacing w:line="600" w:lineRule="exact"/>
        <w:ind w:firstLine="640" w:firstLineChars="200"/>
        <w:outlineLvl w:val="1"/>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rPr>
        <w:t>22年本年收入合计</w:t>
      </w:r>
      <w:r>
        <w:rPr>
          <w:rFonts w:ascii="仿宋_GB2312" w:hAnsi="仿宋" w:eastAsia="仿宋_GB2312"/>
          <w:sz w:val="32"/>
          <w:szCs w:val="32"/>
        </w:rPr>
        <w:t>5475.89</w:t>
      </w:r>
      <w:r>
        <w:rPr>
          <w:rFonts w:hint="eastAsia" w:ascii="仿宋_GB2312" w:hAnsi="仿宋" w:eastAsia="仿宋_GB2312"/>
          <w:sz w:val="32"/>
          <w:szCs w:val="32"/>
        </w:rPr>
        <w:t>万元，其中：一般公共预算财政拨款收入</w:t>
      </w:r>
      <w:r>
        <w:rPr>
          <w:rFonts w:ascii="仿宋_GB2312" w:hAnsi="仿宋" w:eastAsia="仿宋_GB2312"/>
          <w:sz w:val="32"/>
          <w:szCs w:val="32"/>
        </w:rPr>
        <w:t>5475.89</w:t>
      </w:r>
      <w:r>
        <w:rPr>
          <w:rFonts w:hint="eastAsia" w:ascii="仿宋_GB2312" w:hAnsi="仿宋" w:eastAsia="仿宋_GB2312"/>
          <w:sz w:val="32"/>
          <w:szCs w:val="32"/>
        </w:rPr>
        <w:t>万元，占100</w:t>
      </w:r>
      <w:r>
        <w:rPr>
          <w:rFonts w:ascii="仿宋_GB2312" w:hAnsi="仿宋" w:eastAsia="仿宋_GB2312"/>
          <w:sz w:val="32"/>
          <w:szCs w:val="32"/>
        </w:rPr>
        <w:t>%</w:t>
      </w:r>
      <w:r>
        <w:rPr>
          <w:rFonts w:hint="eastAsia" w:ascii="仿宋_GB2312" w:hAnsi="仿宋" w:eastAsia="仿宋_GB2312"/>
          <w:sz w:val="32"/>
          <w:szCs w:val="32"/>
        </w:rPr>
        <w:t>；政府性基金预算财政拨款收入0万元，占0</w:t>
      </w:r>
      <w:r>
        <w:rPr>
          <w:rFonts w:ascii="仿宋_GB2312" w:hAnsi="仿宋" w:eastAsia="仿宋_GB2312"/>
          <w:sz w:val="32"/>
          <w:szCs w:val="32"/>
        </w:rPr>
        <w:t>%</w:t>
      </w:r>
      <w:r>
        <w:rPr>
          <w:rFonts w:hint="eastAsia" w:ascii="仿宋_GB2312" w:hAnsi="仿宋" w:eastAsia="仿宋_GB2312"/>
          <w:sz w:val="32"/>
          <w:szCs w:val="32"/>
        </w:rPr>
        <w:t>；国有资本经营预算财政拨款收入0万元，占0</w:t>
      </w:r>
      <w:r>
        <w:rPr>
          <w:rFonts w:ascii="仿宋_GB2312" w:hAnsi="仿宋" w:eastAsia="仿宋_GB2312"/>
          <w:sz w:val="32"/>
          <w:szCs w:val="32"/>
        </w:rPr>
        <w:t>%</w:t>
      </w:r>
      <w:r>
        <w:rPr>
          <w:rFonts w:hint="eastAsia" w:ascii="仿宋_GB2312" w:hAnsi="仿宋" w:eastAsia="仿宋_GB2312"/>
          <w:sz w:val="32"/>
          <w:szCs w:val="32"/>
        </w:rPr>
        <w:t>；上级补助收入0万元，占0</w:t>
      </w:r>
      <w:r>
        <w:rPr>
          <w:rFonts w:ascii="仿宋_GB2312" w:hAnsi="仿宋" w:eastAsia="仿宋_GB2312"/>
          <w:sz w:val="32"/>
          <w:szCs w:val="32"/>
        </w:rPr>
        <w:t>%</w:t>
      </w:r>
      <w:r>
        <w:rPr>
          <w:rFonts w:hint="eastAsia" w:ascii="仿宋_GB2312" w:hAnsi="仿宋" w:eastAsia="仿宋_GB2312"/>
          <w:sz w:val="32"/>
          <w:szCs w:val="32"/>
        </w:rPr>
        <w:t>；事业收入0万元，占0</w:t>
      </w:r>
      <w:r>
        <w:rPr>
          <w:rFonts w:ascii="仿宋_GB2312" w:hAnsi="仿宋" w:eastAsia="仿宋_GB2312"/>
          <w:sz w:val="32"/>
          <w:szCs w:val="32"/>
        </w:rPr>
        <w:t>%</w:t>
      </w:r>
      <w:r>
        <w:rPr>
          <w:rFonts w:hint="eastAsia" w:ascii="仿宋_GB2312" w:hAnsi="仿宋" w:eastAsia="仿宋_GB2312"/>
          <w:sz w:val="32"/>
          <w:szCs w:val="32"/>
        </w:rPr>
        <w:t>；经营收入0万元，占0</w:t>
      </w:r>
      <w:r>
        <w:rPr>
          <w:rFonts w:ascii="仿宋_GB2312" w:hAnsi="仿宋" w:eastAsia="仿宋_GB2312"/>
          <w:sz w:val="32"/>
          <w:szCs w:val="32"/>
        </w:rPr>
        <w:t>%</w:t>
      </w:r>
      <w:r>
        <w:rPr>
          <w:rFonts w:hint="eastAsia" w:ascii="仿宋_GB2312" w:hAnsi="仿宋" w:eastAsia="仿宋_GB2312"/>
          <w:sz w:val="32"/>
          <w:szCs w:val="32"/>
        </w:rPr>
        <w:t>；附属单位上缴收入0万元，占0</w:t>
      </w:r>
      <w:r>
        <w:rPr>
          <w:rFonts w:ascii="仿宋_GB2312" w:hAnsi="仿宋" w:eastAsia="仿宋_GB2312"/>
          <w:sz w:val="32"/>
          <w:szCs w:val="32"/>
        </w:rPr>
        <w:t>%</w:t>
      </w:r>
      <w:r>
        <w:rPr>
          <w:rFonts w:hint="eastAsia" w:ascii="仿宋_GB2312" w:hAnsi="仿宋" w:eastAsia="仿宋_GB2312"/>
          <w:sz w:val="32"/>
          <w:szCs w:val="32"/>
        </w:rPr>
        <w:t>；其他收入0万元，占0</w:t>
      </w:r>
      <w:r>
        <w:rPr>
          <w:rFonts w:ascii="仿宋_GB2312" w:hAnsi="仿宋" w:eastAsia="仿宋_GB2312"/>
          <w:sz w:val="32"/>
          <w:szCs w:val="32"/>
        </w:rPr>
        <w:t>%</w:t>
      </w:r>
      <w:r>
        <w:rPr>
          <w:rFonts w:hint="eastAsia" w:ascii="仿宋_GB2312" w:hAnsi="仿宋" w:eastAsia="仿宋_GB2312"/>
          <w:sz w:val="32"/>
          <w:szCs w:val="32"/>
        </w:rPr>
        <w:t>。</w:t>
      </w:r>
    </w:p>
    <w:p>
      <w:pPr>
        <w:pStyle w:val="2"/>
      </w:pPr>
    </w:p>
    <w:p>
      <w:pPr>
        <w:pStyle w:val="2"/>
      </w:pPr>
    </w:p>
    <w:p>
      <w:pPr>
        <w:pStyle w:val="2"/>
      </w:pPr>
      <w:r>
        <w:rPr>
          <w:rFonts w:hint="eastAsia"/>
        </w:rPr>
        <w:t xml:space="preserve"> </w:t>
      </w:r>
      <w:r>
        <w:t xml:space="preserve">   </w:t>
      </w:r>
      <w:r>
        <w:drawing>
          <wp:anchor distT="0" distB="0" distL="114300" distR="114300" simplePos="0" relativeHeight="251659264" behindDoc="1" locked="0" layoutInCell="1" allowOverlap="1">
            <wp:simplePos x="0" y="0"/>
            <wp:positionH relativeFrom="column">
              <wp:posOffset>0</wp:posOffset>
            </wp:positionH>
            <wp:positionV relativeFrom="paragraph">
              <wp:posOffset>238125</wp:posOffset>
            </wp:positionV>
            <wp:extent cx="5274310" cy="3076575"/>
            <wp:effectExtent l="0" t="0" r="2540" b="9525"/>
            <wp:wrapTight wrapText="bothSides">
              <wp:wrapPolygon>
                <wp:start x="0" y="0"/>
                <wp:lineTo x="0" y="21533"/>
                <wp:lineTo x="21532" y="21533"/>
                <wp:lineTo x="21532" y="0"/>
                <wp:lineTo x="0" y="0"/>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2"/>
        <w:spacing w:line="600" w:lineRule="exact"/>
        <w:ind w:left="640" w:firstLine="0" w:firstLineChars="0"/>
        <w:outlineLvl w:val="1"/>
        <w:rPr>
          <w:rStyle w:val="20"/>
          <w:rFonts w:ascii="黑体" w:hAnsi="黑体" w:eastAsia="黑体"/>
          <w:b w:val="0"/>
        </w:rPr>
      </w:pPr>
      <w:bookmarkStart w:id="18" w:name="_Toc15377207"/>
      <w:bookmarkStart w:id="19" w:name="_Toc15396605"/>
      <w:r>
        <w:rPr>
          <w:rFonts w:hint="eastAsia" w:ascii="黑体" w:hAnsi="黑体" w:eastAsia="黑体"/>
          <w:sz w:val="32"/>
          <w:szCs w:val="32"/>
        </w:rPr>
        <w:t>三、支</w:t>
      </w:r>
      <w:r>
        <w:rPr>
          <w:rStyle w:val="20"/>
          <w:rFonts w:hint="eastAsia" w:ascii="黑体" w:hAnsi="黑体" w:eastAsia="黑体"/>
        </w:rPr>
        <w:t>出决算情况说明</w:t>
      </w:r>
      <w:bookmarkEnd w:id="18"/>
      <w:bookmarkEnd w:id="1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5828.04</w:t>
      </w:r>
      <w:r>
        <w:rPr>
          <w:rFonts w:hint="eastAsia" w:ascii="仿宋" w:hAnsi="仿宋" w:eastAsia="仿宋"/>
          <w:sz w:val="32"/>
          <w:szCs w:val="32"/>
        </w:rPr>
        <w:t>万元，其中：基本支出</w:t>
      </w:r>
      <w:r>
        <w:rPr>
          <w:rFonts w:ascii="仿宋" w:hAnsi="仿宋" w:eastAsia="仿宋"/>
          <w:sz w:val="32"/>
          <w:szCs w:val="32"/>
        </w:rPr>
        <w:t>1591.71</w:t>
      </w:r>
      <w:r>
        <w:rPr>
          <w:rFonts w:hint="eastAsia" w:ascii="仿宋" w:hAnsi="仿宋" w:eastAsia="仿宋"/>
          <w:sz w:val="32"/>
          <w:szCs w:val="32"/>
        </w:rPr>
        <w:t>万元，占</w:t>
      </w:r>
      <w:r>
        <w:rPr>
          <w:rFonts w:ascii="仿宋" w:hAnsi="仿宋" w:eastAsia="仿宋"/>
          <w:sz w:val="32"/>
          <w:szCs w:val="32"/>
        </w:rPr>
        <w:t>27.31%</w:t>
      </w:r>
      <w:r>
        <w:rPr>
          <w:rFonts w:hint="eastAsia" w:ascii="仿宋" w:hAnsi="仿宋" w:eastAsia="仿宋"/>
          <w:sz w:val="32"/>
          <w:szCs w:val="32"/>
        </w:rPr>
        <w:t>；项目支出</w:t>
      </w:r>
      <w:r>
        <w:rPr>
          <w:rFonts w:ascii="仿宋" w:hAnsi="仿宋" w:eastAsia="仿宋"/>
          <w:sz w:val="32"/>
          <w:szCs w:val="32"/>
        </w:rPr>
        <w:t>4236.33</w:t>
      </w:r>
      <w:r>
        <w:rPr>
          <w:rFonts w:hint="eastAsia" w:ascii="仿宋" w:hAnsi="仿宋" w:eastAsia="仿宋"/>
          <w:sz w:val="32"/>
          <w:szCs w:val="32"/>
        </w:rPr>
        <w:t>万元，占</w:t>
      </w:r>
      <w:r>
        <w:rPr>
          <w:rFonts w:ascii="仿宋" w:hAnsi="仿宋" w:eastAsia="仿宋"/>
          <w:sz w:val="32"/>
          <w:szCs w:val="32"/>
        </w:rPr>
        <w:t>72.69%</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p>
    <w:p>
      <w:pPr>
        <w:ind w:firstLine="420" w:firstLineChars="200"/>
      </w:pPr>
      <w:r>
        <w:rPr>
          <w:rFonts w:hint="eastAsia"/>
        </w:rPr>
        <w:t xml:space="preserve"> </w:t>
      </w:r>
      <w:r>
        <w:t xml:space="preserve">  </w:t>
      </w:r>
      <w:r>
        <w:drawing>
          <wp:inline distT="0" distB="0" distL="0" distR="0">
            <wp:extent cx="5274310" cy="3076575"/>
            <wp:effectExtent l="0" t="0" r="254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20"/>
          <w:rFonts w:ascii="黑体" w:hAnsi="黑体" w:eastAsia="黑体"/>
          <w:b w:val="0"/>
        </w:rPr>
      </w:pPr>
      <w:bookmarkStart w:id="20" w:name="_Toc15377208"/>
      <w:bookmarkStart w:id="21" w:name="_Toc15396606"/>
      <w:r>
        <w:rPr>
          <w:rFonts w:hint="eastAsia" w:ascii="黑体" w:hAnsi="黑体" w:eastAsia="黑体"/>
          <w:sz w:val="32"/>
          <w:szCs w:val="32"/>
        </w:rPr>
        <w:t>四、财</w:t>
      </w:r>
      <w:r>
        <w:rPr>
          <w:rStyle w:val="20"/>
          <w:rFonts w:hint="eastAsia" w:ascii="黑体" w:hAnsi="黑体" w:eastAsia="黑体"/>
        </w:rPr>
        <w:t>政拨款收入支出决算总体情况说明</w:t>
      </w:r>
      <w:bookmarkEnd w:id="20"/>
      <w:bookmarkEnd w:id="2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ascii="仿宋" w:hAnsi="仿宋" w:eastAsia="仿宋"/>
          <w:sz w:val="32"/>
          <w:szCs w:val="32"/>
        </w:rPr>
        <w:t>5921.70</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w:t>
      </w:r>
      <w:r>
        <w:rPr>
          <w:rFonts w:hint="eastAsia" w:ascii="仿宋_GB2312" w:hAnsi="仿宋" w:eastAsia="仿宋_GB2312"/>
          <w:sz w:val="32"/>
          <w:szCs w:val="32"/>
        </w:rPr>
        <w:t>增加4</w:t>
      </w:r>
      <w:r>
        <w:rPr>
          <w:rFonts w:ascii="仿宋_GB2312" w:hAnsi="仿宋" w:eastAsia="仿宋_GB2312"/>
          <w:sz w:val="32"/>
          <w:szCs w:val="32"/>
        </w:rPr>
        <w:t>02.12</w:t>
      </w:r>
      <w:r>
        <w:rPr>
          <w:rFonts w:hint="eastAsia" w:ascii="仿宋_GB2312" w:hAnsi="仿宋" w:eastAsia="仿宋_GB2312"/>
          <w:sz w:val="32"/>
          <w:szCs w:val="32"/>
        </w:rPr>
        <w:t>万元，增长7</w:t>
      </w:r>
      <w:r>
        <w:rPr>
          <w:rFonts w:ascii="仿宋_GB2312" w:hAnsi="仿宋" w:eastAsia="仿宋_GB2312"/>
          <w:sz w:val="32"/>
          <w:szCs w:val="32"/>
        </w:rPr>
        <w:t>.30</w:t>
      </w:r>
      <w:r>
        <w:rPr>
          <w:rFonts w:ascii="仿宋" w:hAnsi="仿宋" w:eastAsia="仿宋"/>
          <w:sz w:val="32"/>
          <w:szCs w:val="32"/>
        </w:rPr>
        <w:t>%</w:t>
      </w:r>
      <w:r>
        <w:rPr>
          <w:rFonts w:hint="eastAsia" w:ascii="仿宋" w:hAnsi="仿宋" w:eastAsia="仿宋"/>
          <w:sz w:val="32"/>
          <w:szCs w:val="32"/>
        </w:rPr>
        <w:t>。主要变动原因是公共卫生特别服务岗等人员经费增加。</w:t>
      </w:r>
    </w:p>
    <w:p>
      <w:r>
        <w:rPr>
          <w:rFonts w:hint="eastAsia"/>
        </w:rPr>
        <w:t xml:space="preserve"> </w:t>
      </w:r>
      <w:r>
        <w:t xml:space="preserve">     </w:t>
      </w:r>
      <w:r>
        <w:drawing>
          <wp:inline distT="0" distB="0" distL="0" distR="0">
            <wp:extent cx="5274310" cy="3076575"/>
            <wp:effectExtent l="0" t="0" r="254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0"/>
          <w:rFonts w:ascii="黑体" w:hAnsi="黑体" w:eastAsia="黑体"/>
          <w:b w:val="0"/>
        </w:rPr>
      </w:pPr>
      <w:bookmarkStart w:id="22" w:name="_Toc15377209"/>
      <w:bookmarkStart w:id="23" w:name="_Toc15396607"/>
      <w:r>
        <w:rPr>
          <w:rFonts w:hint="eastAsia" w:ascii="黑体" w:hAnsi="黑体" w:eastAsia="黑体"/>
          <w:sz w:val="32"/>
          <w:szCs w:val="32"/>
        </w:rPr>
        <w:t>五、</w:t>
      </w:r>
      <w:r>
        <w:rPr>
          <w:rFonts w:hint="eastAsia" w:ascii="黑体" w:hAnsi="黑体" w:eastAsia="黑体"/>
          <w:b/>
          <w:sz w:val="32"/>
          <w:szCs w:val="32"/>
        </w:rPr>
        <w:t>一</w:t>
      </w:r>
      <w:r>
        <w:rPr>
          <w:rStyle w:val="20"/>
          <w:rFonts w:hint="eastAsia" w:ascii="黑体" w:hAnsi="黑体" w:eastAsia="黑体"/>
        </w:rPr>
        <w:t>般公共预算财政拨款支出决算情况说明</w:t>
      </w:r>
      <w:bookmarkEnd w:id="22"/>
      <w:bookmarkEnd w:id="23"/>
    </w:p>
    <w:p>
      <w:pPr>
        <w:ind w:firstLine="482" w:firstLineChars="150"/>
      </w:pPr>
      <w:bookmarkStart w:id="24" w:name="_Toc15377210"/>
      <w:r>
        <w:rPr>
          <w:rFonts w:hint="eastAsia" w:ascii="仿宋" w:hAnsi="仿宋" w:eastAsia="仿宋"/>
          <w:b/>
          <w:sz w:val="32"/>
          <w:szCs w:val="32"/>
        </w:rPr>
        <w:t>（一）一般公共预算财政拨款支出决算总体情况</w:t>
      </w:r>
      <w:bookmarkEnd w:id="24"/>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ascii="仿宋" w:hAnsi="仿宋" w:eastAsia="仿宋"/>
          <w:sz w:val="32"/>
          <w:szCs w:val="32"/>
        </w:rPr>
        <w:t>2</w:t>
      </w:r>
      <w:r>
        <w:rPr>
          <w:rFonts w:hint="eastAsia" w:ascii="仿宋" w:hAnsi="仿宋" w:eastAsia="仿宋"/>
          <w:sz w:val="32"/>
          <w:szCs w:val="32"/>
        </w:rPr>
        <w:t>年一般公共预算财政拨款支出</w:t>
      </w:r>
      <w:r>
        <w:rPr>
          <w:rFonts w:ascii="仿宋" w:hAnsi="仿宋" w:eastAsia="仿宋"/>
          <w:sz w:val="32"/>
          <w:szCs w:val="32"/>
        </w:rPr>
        <w:t>5828.04</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ascii="仿宋" w:hAnsi="仿宋" w:eastAsia="仿宋"/>
          <w:sz w:val="32"/>
          <w:szCs w:val="32"/>
        </w:rPr>
        <w:t>491.89</w:t>
      </w:r>
      <w:r>
        <w:rPr>
          <w:rFonts w:hint="eastAsia" w:ascii="仿宋" w:hAnsi="仿宋" w:eastAsia="仿宋"/>
          <w:sz w:val="32"/>
          <w:szCs w:val="32"/>
        </w:rPr>
        <w:t>万元，增长</w:t>
      </w:r>
      <w:r>
        <w:rPr>
          <w:rFonts w:ascii="仿宋" w:hAnsi="仿宋" w:eastAsia="仿宋"/>
          <w:sz w:val="32"/>
          <w:szCs w:val="32"/>
        </w:rPr>
        <w:t>9.22%</w:t>
      </w:r>
      <w:r>
        <w:rPr>
          <w:rFonts w:hint="eastAsia" w:ascii="仿宋" w:hAnsi="仿宋" w:eastAsia="仿宋"/>
          <w:sz w:val="32"/>
          <w:szCs w:val="32"/>
        </w:rPr>
        <w:t>。主要变动原因是公共卫生服务岗聘用人员等人员经费增加。</w:t>
      </w:r>
    </w:p>
    <w:p>
      <w:r>
        <w:rPr>
          <w:rFonts w:hint="eastAsia"/>
        </w:rPr>
        <w:t xml:space="preserve"> </w:t>
      </w:r>
      <w:r>
        <w:t xml:space="preserve">     </w:t>
      </w:r>
      <w:r>
        <w:drawing>
          <wp:inline distT="0" distB="0" distL="0" distR="0">
            <wp:extent cx="5274310" cy="3076575"/>
            <wp:effectExtent l="0" t="0" r="254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outlineLvl w:val="2"/>
        <w:rPr>
          <w:rFonts w:ascii="仿宋" w:hAnsi="仿宋" w:eastAsia="仿宋"/>
          <w:b/>
          <w:sz w:val="32"/>
          <w:szCs w:val="32"/>
        </w:rPr>
      </w:pPr>
      <w:bookmarkStart w:id="25" w:name="_Toc15377211"/>
      <w:r>
        <w:rPr>
          <w:rFonts w:hint="eastAsia" w:ascii="仿宋" w:hAnsi="仿宋" w:eastAsia="仿宋"/>
          <w:b/>
          <w:sz w:val="32"/>
          <w:szCs w:val="32"/>
        </w:rPr>
        <w:t>（二）一般公共预算财政拨款支出决算结构情况</w:t>
      </w:r>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5828.04</w:t>
      </w:r>
      <w:r>
        <w:rPr>
          <w:rFonts w:hint="eastAsia" w:ascii="仿宋" w:hAnsi="仿宋" w:eastAsia="仿宋"/>
          <w:sz w:val="32"/>
          <w:szCs w:val="32"/>
        </w:rPr>
        <w:t>元，主要用于以下方面</w:t>
      </w:r>
      <w:r>
        <w:rPr>
          <w:rFonts w:ascii="仿宋" w:hAnsi="仿宋" w:eastAsia="仿宋"/>
          <w:sz w:val="32"/>
          <w:szCs w:val="32"/>
        </w:rPr>
        <w:t>:</w:t>
      </w:r>
      <w:r>
        <w:rPr>
          <w:rFonts w:hint="eastAsia" w:ascii="仿宋" w:hAnsi="仿宋" w:eastAsia="仿宋"/>
          <w:sz w:val="32"/>
          <w:szCs w:val="32"/>
        </w:rPr>
        <w:t>社会保障和就业支出</w:t>
      </w:r>
      <w:r>
        <w:rPr>
          <w:rFonts w:ascii="仿宋" w:hAnsi="仿宋" w:eastAsia="仿宋"/>
          <w:sz w:val="32"/>
          <w:szCs w:val="32"/>
        </w:rPr>
        <w:t>172.24</w:t>
      </w:r>
      <w:r>
        <w:rPr>
          <w:rFonts w:hint="eastAsia" w:ascii="仿宋" w:hAnsi="仿宋" w:eastAsia="仿宋"/>
          <w:sz w:val="32"/>
          <w:szCs w:val="32"/>
        </w:rPr>
        <w:t>万元，占</w:t>
      </w:r>
      <w:r>
        <w:rPr>
          <w:rFonts w:ascii="仿宋" w:hAnsi="仿宋" w:eastAsia="仿宋"/>
          <w:sz w:val="32"/>
          <w:szCs w:val="32"/>
        </w:rPr>
        <w:t>1.94</w:t>
      </w:r>
      <w:r>
        <w:rPr>
          <w:rFonts w:hint="eastAsia" w:ascii="仿宋" w:hAnsi="仿宋" w:eastAsia="仿宋"/>
          <w:sz w:val="32"/>
          <w:szCs w:val="32"/>
        </w:rPr>
        <w:t>%；卫生健康支出</w:t>
      </w:r>
      <w:r>
        <w:rPr>
          <w:rFonts w:ascii="仿宋" w:hAnsi="仿宋" w:eastAsia="仿宋"/>
          <w:sz w:val="32"/>
          <w:szCs w:val="32"/>
        </w:rPr>
        <w:t>5542.76</w:t>
      </w:r>
      <w:r>
        <w:rPr>
          <w:rFonts w:hint="eastAsia" w:ascii="仿宋" w:hAnsi="仿宋" w:eastAsia="仿宋"/>
          <w:sz w:val="32"/>
          <w:szCs w:val="32"/>
        </w:rPr>
        <w:t>万元，占9</w:t>
      </w:r>
      <w:r>
        <w:rPr>
          <w:rFonts w:ascii="仿宋" w:hAnsi="仿宋" w:eastAsia="仿宋"/>
          <w:sz w:val="32"/>
          <w:szCs w:val="32"/>
        </w:rPr>
        <w:t>5.11%</w:t>
      </w:r>
      <w:r>
        <w:rPr>
          <w:rFonts w:hint="eastAsia" w:ascii="仿宋" w:hAnsi="仿宋" w:eastAsia="仿宋"/>
          <w:sz w:val="32"/>
          <w:szCs w:val="32"/>
        </w:rPr>
        <w:t>；住房保障支出</w:t>
      </w:r>
      <w:r>
        <w:rPr>
          <w:rFonts w:ascii="仿宋" w:hAnsi="仿宋" w:eastAsia="仿宋"/>
          <w:sz w:val="32"/>
          <w:szCs w:val="32"/>
        </w:rPr>
        <w:t>113.04</w:t>
      </w:r>
      <w:r>
        <w:rPr>
          <w:rFonts w:hint="eastAsia" w:ascii="仿宋" w:hAnsi="仿宋" w:eastAsia="仿宋"/>
          <w:sz w:val="32"/>
          <w:szCs w:val="32"/>
        </w:rPr>
        <w:t>万元，占</w:t>
      </w:r>
      <w:r>
        <w:rPr>
          <w:rFonts w:ascii="仿宋" w:hAnsi="仿宋" w:eastAsia="仿宋"/>
          <w:sz w:val="32"/>
          <w:szCs w:val="32"/>
        </w:rPr>
        <w:t>2.96%</w:t>
      </w:r>
      <w:r>
        <w:rPr>
          <w:rFonts w:hint="eastAsia" w:ascii="仿宋" w:hAnsi="仿宋" w:eastAsia="仿宋"/>
          <w:sz w:val="32"/>
          <w:szCs w:val="32"/>
        </w:rPr>
        <w:t>。</w:t>
      </w:r>
    </w:p>
    <w:p>
      <w:r>
        <w:drawing>
          <wp:inline distT="0" distB="0" distL="0" distR="0">
            <wp:extent cx="5274310" cy="3076575"/>
            <wp:effectExtent l="0" t="0" r="254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spacing w:before="72"/>
        <w:ind w:firstLine="643" w:firstLineChars="200"/>
        <w:rPr>
          <w:rFonts w:ascii="仿宋" w:hAnsi="仿宋" w:eastAsia="仿宋"/>
          <w:b/>
          <w:sz w:val="32"/>
          <w:szCs w:val="32"/>
        </w:rPr>
      </w:pPr>
      <w:bookmarkStart w:id="26" w:name="_Toc15377212"/>
      <w:r>
        <w:rPr>
          <w:rFonts w:hint="eastAsia" w:ascii="仿宋" w:hAnsi="仿宋" w:eastAsia="仿宋"/>
          <w:b/>
          <w:sz w:val="32"/>
          <w:szCs w:val="32"/>
        </w:rPr>
        <w:t>（三）一般公共预算财政拨款支出决算具体情况</w:t>
      </w:r>
      <w:bookmarkEnd w:id="26"/>
    </w:p>
    <w:p>
      <w:pPr>
        <w:spacing w:line="600" w:lineRule="exact"/>
        <w:ind w:firstLine="640" w:firstLineChars="200"/>
        <w:outlineLvl w:val="2"/>
        <w:rPr>
          <w:rFonts w:ascii="仿宋" w:hAnsi="仿宋" w:eastAsia="仿宋"/>
          <w:sz w:val="32"/>
          <w:szCs w:val="32"/>
        </w:rPr>
      </w:pPr>
      <w:bookmarkStart w:id="27" w:name="_Toc15377213"/>
      <w:bookmarkStart w:id="28" w:name="_Toc15377444"/>
      <w:bookmarkStart w:id="29" w:name="_Toc15378460"/>
      <w:r>
        <w:rPr>
          <w:rFonts w:hint="eastAsia" w:ascii="仿宋" w:hAnsi="仿宋" w:eastAsia="仿宋"/>
          <w:sz w:val="32"/>
          <w:szCs w:val="32"/>
        </w:rPr>
        <w:t>2022年一般公共预算支出决算数为</w:t>
      </w:r>
      <w:r>
        <w:rPr>
          <w:rFonts w:ascii="仿宋" w:hAnsi="仿宋" w:eastAsia="仿宋"/>
          <w:sz w:val="32"/>
          <w:szCs w:val="32"/>
        </w:rPr>
        <w:t>5828.04</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。其中：</w:t>
      </w:r>
      <w:bookmarkEnd w:id="27"/>
      <w:bookmarkEnd w:id="28"/>
      <w:bookmarkEnd w:id="29"/>
    </w:p>
    <w:p>
      <w:pPr>
        <w:spacing w:line="600" w:lineRule="exact"/>
        <w:ind w:firstLine="643" w:firstLineChars="200"/>
        <w:rPr>
          <w:rStyle w:val="17"/>
          <w:rFonts w:ascii="仿宋" w:hAnsi="仿宋" w:eastAsia="仿宋"/>
          <w:bCs/>
          <w:sz w:val="32"/>
          <w:szCs w:val="32"/>
        </w:rPr>
      </w:pPr>
      <w:r>
        <w:rPr>
          <w:rStyle w:val="17"/>
          <w:rFonts w:hint="eastAsia" w:ascii="仿宋" w:hAnsi="仿宋" w:eastAsia="仿宋"/>
          <w:bCs/>
          <w:sz w:val="32"/>
          <w:szCs w:val="32"/>
        </w:rPr>
        <w:t>1.社会保障和就业支出</w:t>
      </w:r>
      <w:r>
        <w:rPr>
          <w:rStyle w:val="17"/>
          <w:rFonts w:ascii="仿宋" w:hAnsi="仿宋" w:eastAsia="仿宋"/>
          <w:bCs/>
          <w:sz w:val="32"/>
          <w:szCs w:val="32"/>
        </w:rPr>
        <w:t xml:space="preserve">: </w:t>
      </w:r>
    </w:p>
    <w:p>
      <w:pPr>
        <w:spacing w:line="600" w:lineRule="exact"/>
        <w:ind w:firstLine="643" w:firstLineChars="200"/>
        <w:rPr>
          <w:rFonts w:ascii="仿宋" w:hAnsi="仿宋" w:eastAsia="仿宋"/>
          <w:sz w:val="32"/>
          <w:szCs w:val="32"/>
        </w:rPr>
      </w:pPr>
      <w:r>
        <w:rPr>
          <w:rStyle w:val="17"/>
          <w:rFonts w:hint="eastAsia" w:ascii="仿宋" w:hAnsi="仿宋" w:eastAsia="仿宋"/>
          <w:bCs/>
          <w:sz w:val="32"/>
          <w:szCs w:val="32"/>
        </w:rPr>
        <w:t>社会保障和就业支出（类）民族管理事务（款）</w:t>
      </w:r>
      <w:r>
        <w:rPr>
          <w:rFonts w:hint="eastAsia" w:ascii="仿宋" w:hAnsi="仿宋" w:eastAsia="仿宋"/>
          <w:b/>
          <w:bCs/>
          <w:sz w:val="32"/>
          <w:szCs w:val="32"/>
        </w:rPr>
        <w:t>行政运行（项）</w:t>
      </w:r>
      <w:r>
        <w:rPr>
          <w:rFonts w:hint="eastAsia" w:ascii="仿宋" w:hAnsi="仿宋" w:eastAsia="仿宋"/>
          <w:sz w:val="32"/>
          <w:szCs w:val="32"/>
        </w:rPr>
        <w:t>：支出决算为</w:t>
      </w:r>
      <w:r>
        <w:rPr>
          <w:rFonts w:ascii="仿宋" w:hAnsi="仿宋" w:eastAsia="仿宋"/>
          <w:sz w:val="32"/>
          <w:szCs w:val="32"/>
        </w:rPr>
        <w:t>0.11</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rPr>
          <w:rFonts w:ascii="仿宋" w:hAnsi="仿宋" w:eastAsia="仿宋"/>
          <w:sz w:val="32"/>
          <w:szCs w:val="32"/>
        </w:rPr>
      </w:pPr>
      <w:r>
        <w:rPr>
          <w:rStyle w:val="17"/>
          <w:rFonts w:hint="eastAsia" w:ascii="仿宋" w:hAnsi="仿宋" w:eastAsia="仿宋"/>
          <w:bCs/>
          <w:sz w:val="32"/>
          <w:szCs w:val="32"/>
        </w:rPr>
        <w:t>社会保障和就业支出（类）行政事业单位养老支出（款）行政单位离退休（项）</w:t>
      </w:r>
      <w:r>
        <w:rPr>
          <w:rFonts w:hint="eastAsia" w:ascii="仿宋" w:hAnsi="仿宋" w:eastAsia="仿宋"/>
          <w:sz w:val="32"/>
          <w:szCs w:val="32"/>
        </w:rPr>
        <w:t>：支出决算为5.68万元，完成预算100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rPr>
          <w:rFonts w:ascii="仿宋" w:hAnsi="仿宋" w:eastAsia="仿宋"/>
          <w:sz w:val="32"/>
          <w:szCs w:val="32"/>
        </w:rPr>
      </w:pPr>
      <w:r>
        <w:rPr>
          <w:rStyle w:val="17"/>
          <w:rFonts w:hint="eastAsia" w:ascii="仿宋" w:hAnsi="仿宋" w:eastAsia="仿宋"/>
          <w:bCs/>
          <w:sz w:val="32"/>
          <w:szCs w:val="32"/>
        </w:rPr>
        <w:t>社会保障和就业支出（类）行政事业单位养老支出（款）</w:t>
      </w:r>
      <w:r>
        <w:rPr>
          <w:rFonts w:hint="eastAsia" w:ascii="仿宋" w:hAnsi="仿宋" w:eastAsia="仿宋"/>
          <w:b/>
          <w:bCs/>
          <w:sz w:val="32"/>
          <w:szCs w:val="32"/>
        </w:rPr>
        <w:t>事业单位离退休（项）</w:t>
      </w:r>
      <w:r>
        <w:rPr>
          <w:rFonts w:hint="eastAsia" w:ascii="仿宋" w:hAnsi="仿宋" w:eastAsia="仿宋"/>
          <w:sz w:val="32"/>
          <w:szCs w:val="32"/>
        </w:rPr>
        <w:t>：支出决算为</w:t>
      </w:r>
      <w:r>
        <w:rPr>
          <w:rFonts w:ascii="仿宋" w:hAnsi="仿宋" w:eastAsia="仿宋"/>
          <w:sz w:val="32"/>
          <w:szCs w:val="32"/>
        </w:rPr>
        <w:t>33.77</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rPr>
          <w:rFonts w:ascii="仿宋" w:hAnsi="仿宋" w:eastAsia="仿宋"/>
          <w:sz w:val="32"/>
          <w:szCs w:val="32"/>
        </w:rPr>
      </w:pPr>
      <w:r>
        <w:rPr>
          <w:rStyle w:val="17"/>
          <w:rFonts w:hint="eastAsia" w:ascii="仿宋" w:hAnsi="仿宋" w:eastAsia="仿宋"/>
          <w:bCs/>
          <w:sz w:val="32"/>
          <w:szCs w:val="32"/>
        </w:rPr>
        <w:t>社会保障和就业支出（类）行政事业单位养老支出（款）机关事业单位基本养老保险缴费支出（项）</w:t>
      </w:r>
      <w:r>
        <w:rPr>
          <w:rFonts w:hint="eastAsia" w:ascii="仿宋" w:hAnsi="仿宋" w:eastAsia="仿宋"/>
          <w:sz w:val="32"/>
          <w:szCs w:val="32"/>
        </w:rPr>
        <w:t>：支出决算为</w:t>
      </w:r>
      <w:r>
        <w:rPr>
          <w:rFonts w:ascii="仿宋" w:hAnsi="仿宋" w:eastAsia="仿宋"/>
          <w:sz w:val="32"/>
          <w:szCs w:val="32"/>
        </w:rPr>
        <w:t>98.80</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rPr>
          <w:rFonts w:ascii="仿宋" w:hAnsi="仿宋" w:eastAsia="仿宋"/>
          <w:sz w:val="32"/>
          <w:szCs w:val="32"/>
        </w:rPr>
      </w:pPr>
      <w:r>
        <w:rPr>
          <w:rStyle w:val="17"/>
          <w:rFonts w:hint="eastAsia" w:ascii="仿宋" w:hAnsi="仿宋" w:eastAsia="仿宋"/>
          <w:bCs/>
          <w:sz w:val="32"/>
          <w:szCs w:val="32"/>
        </w:rPr>
        <w:t>社会保障和就业支出（类）行政事业单位养老支出（款）</w:t>
      </w:r>
      <w:r>
        <w:rPr>
          <w:rFonts w:hint="eastAsia" w:ascii="仿宋" w:hAnsi="仿宋" w:eastAsia="仿宋"/>
          <w:b/>
          <w:bCs/>
          <w:sz w:val="32"/>
          <w:szCs w:val="32"/>
        </w:rPr>
        <w:t>机关事业单位职业年金缴费支出（项）</w:t>
      </w:r>
      <w:r>
        <w:rPr>
          <w:rFonts w:hint="eastAsia" w:ascii="仿宋" w:hAnsi="仿宋" w:eastAsia="仿宋"/>
          <w:sz w:val="32"/>
          <w:szCs w:val="32"/>
        </w:rPr>
        <w:t>：支出决算为</w:t>
      </w:r>
      <w:r>
        <w:rPr>
          <w:rFonts w:ascii="仿宋" w:hAnsi="仿宋" w:eastAsia="仿宋"/>
          <w:sz w:val="32"/>
          <w:szCs w:val="32"/>
        </w:rPr>
        <w:t>13.46</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p>
    <w:p>
      <w:pPr>
        <w:pStyle w:val="2"/>
        <w:spacing w:before="72"/>
        <w:rPr>
          <w:rFonts w:ascii="仿宋" w:hAnsi="仿宋" w:eastAsia="仿宋"/>
          <w:sz w:val="32"/>
          <w:szCs w:val="32"/>
        </w:rPr>
      </w:pPr>
      <w:r>
        <w:rPr>
          <w:rFonts w:hint="eastAsia" w:ascii="仿宋" w:hAnsi="仿宋" w:eastAsia="仿宋"/>
          <w:sz w:val="32"/>
          <w:szCs w:val="32"/>
        </w:rPr>
        <w:t xml:space="preserve">     </w:t>
      </w:r>
      <w:r>
        <w:rPr>
          <w:rStyle w:val="17"/>
          <w:rFonts w:hint="eastAsia" w:ascii="仿宋" w:hAnsi="仿宋" w:eastAsia="仿宋"/>
          <w:bCs/>
          <w:sz w:val="32"/>
          <w:szCs w:val="32"/>
        </w:rPr>
        <w:t>社会保障和就业支出（类）抚恤（款）死亡抚恤（项）</w:t>
      </w:r>
      <w:r>
        <w:rPr>
          <w:rFonts w:hint="eastAsia" w:ascii="仿宋" w:hAnsi="仿宋" w:eastAsia="仿宋"/>
          <w:sz w:val="32"/>
          <w:szCs w:val="32"/>
        </w:rPr>
        <w:t>：支出决算为19.92万元，完成预算100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rPr>
          <w:rFonts w:ascii="仿宋" w:hAnsi="仿宋" w:eastAsia="仿宋"/>
          <w:sz w:val="32"/>
          <w:szCs w:val="32"/>
        </w:rPr>
      </w:pPr>
      <w:r>
        <w:rPr>
          <w:rStyle w:val="17"/>
          <w:rFonts w:hint="eastAsia" w:ascii="仿宋" w:hAnsi="仿宋" w:eastAsia="仿宋"/>
          <w:bCs/>
          <w:sz w:val="32"/>
          <w:szCs w:val="32"/>
        </w:rPr>
        <w:t>社会保障和就业支出（类）红十字事业（款）其他红十字事业支出（项）</w:t>
      </w:r>
      <w:r>
        <w:rPr>
          <w:rFonts w:hint="eastAsia" w:ascii="仿宋" w:hAnsi="仿宋" w:eastAsia="仿宋"/>
          <w:sz w:val="32"/>
          <w:szCs w:val="32"/>
        </w:rPr>
        <w:t>：支出决算为0.5万元，完成预算100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left="741"/>
        <w:rPr>
          <w:rFonts w:ascii="仿宋" w:hAnsi="仿宋" w:eastAsia="仿宋"/>
          <w:b/>
          <w:bCs/>
          <w:sz w:val="32"/>
          <w:szCs w:val="32"/>
        </w:rPr>
      </w:pPr>
      <w:r>
        <w:rPr>
          <w:rFonts w:hint="eastAsia" w:ascii="仿宋" w:hAnsi="仿宋" w:eastAsia="仿宋"/>
          <w:b/>
          <w:bCs/>
          <w:sz w:val="32"/>
          <w:szCs w:val="32"/>
        </w:rPr>
        <w:t>2.卫生健康支出：</w:t>
      </w:r>
    </w:p>
    <w:p>
      <w:pPr>
        <w:spacing w:line="600" w:lineRule="exact"/>
        <w:ind w:firstLine="643" w:firstLineChars="200"/>
        <w:rPr>
          <w:rFonts w:ascii="仿宋" w:hAnsi="仿宋" w:eastAsia="仿宋"/>
          <w:sz w:val="32"/>
          <w:szCs w:val="32"/>
        </w:rPr>
      </w:pPr>
      <w:r>
        <w:rPr>
          <w:rStyle w:val="17"/>
          <w:rFonts w:hint="eastAsia" w:ascii="仿宋" w:hAnsi="仿宋" w:eastAsia="仿宋"/>
          <w:bCs/>
          <w:sz w:val="32"/>
          <w:szCs w:val="32"/>
        </w:rPr>
        <w:t>卫生健康支出（类）卫生健康管理事务（款）行政运行（项）</w:t>
      </w:r>
      <w:r>
        <w:rPr>
          <w:rFonts w:hint="eastAsia" w:ascii="仿宋" w:hAnsi="仿宋" w:eastAsia="仿宋"/>
          <w:sz w:val="32"/>
          <w:szCs w:val="32"/>
        </w:rPr>
        <w:t>：支出决算为</w:t>
      </w:r>
      <w:r>
        <w:rPr>
          <w:rFonts w:ascii="仿宋" w:hAnsi="仿宋" w:eastAsia="仿宋"/>
          <w:sz w:val="32"/>
          <w:szCs w:val="32"/>
        </w:rPr>
        <w:t>360.59</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卫生健康支出（类）卫生健康管理事务（款）</w:t>
      </w:r>
      <w:r>
        <w:rPr>
          <w:rStyle w:val="17"/>
          <w:rFonts w:hint="eastAsia" w:ascii="仿宋" w:hAnsi="仿宋" w:eastAsia="仿宋"/>
          <w:sz w:val="32"/>
          <w:szCs w:val="32"/>
        </w:rPr>
        <w:t>其他卫生健康管理事务支出</w:t>
      </w:r>
      <w:r>
        <w:rPr>
          <w:rStyle w:val="17"/>
          <w:rFonts w:hint="eastAsia" w:ascii="仿宋" w:hAnsi="仿宋" w:eastAsia="仿宋"/>
          <w:bCs/>
          <w:sz w:val="32"/>
          <w:szCs w:val="32"/>
        </w:rPr>
        <w:t>（项）</w:t>
      </w:r>
      <w:r>
        <w:rPr>
          <w:rFonts w:hint="eastAsia" w:ascii="仿宋" w:hAnsi="仿宋" w:eastAsia="仿宋"/>
          <w:sz w:val="32"/>
          <w:szCs w:val="32"/>
        </w:rPr>
        <w:t>：支出决算为</w:t>
      </w:r>
      <w:r>
        <w:rPr>
          <w:rFonts w:ascii="仿宋" w:hAnsi="仿宋" w:eastAsia="仿宋"/>
          <w:sz w:val="32"/>
          <w:szCs w:val="32"/>
        </w:rPr>
        <w:t>47.91</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w:t>
      </w:r>
      <w:r>
        <w:rPr>
          <w:rFonts w:hint="eastAsia" w:ascii="仿宋" w:hAnsi="仿宋" w:eastAsia="仿宋"/>
          <w:b/>
          <w:bCs/>
          <w:sz w:val="32"/>
          <w:szCs w:val="32"/>
        </w:rPr>
        <w:t>基层医疗卫生机构</w:t>
      </w:r>
      <w:r>
        <w:rPr>
          <w:rStyle w:val="17"/>
          <w:rFonts w:hint="eastAsia" w:ascii="仿宋" w:hAnsi="仿宋" w:eastAsia="仿宋"/>
          <w:sz w:val="32"/>
          <w:szCs w:val="32"/>
        </w:rPr>
        <w:t>（款）</w:t>
      </w:r>
      <w:r>
        <w:rPr>
          <w:rFonts w:hint="eastAsia" w:ascii="仿宋" w:hAnsi="仿宋" w:eastAsia="仿宋"/>
          <w:b/>
          <w:bCs/>
          <w:sz w:val="32"/>
          <w:szCs w:val="32"/>
        </w:rPr>
        <w:t>其他基层医疗卫生机构支出（项）</w:t>
      </w:r>
      <w:r>
        <w:rPr>
          <w:rFonts w:hint="eastAsia" w:ascii="仿宋" w:hAnsi="仿宋" w:eastAsia="仿宋"/>
          <w:sz w:val="32"/>
          <w:szCs w:val="32"/>
        </w:rPr>
        <w:t>：支出决算为</w:t>
      </w:r>
      <w:r>
        <w:rPr>
          <w:rFonts w:ascii="仿宋" w:hAnsi="仿宋" w:eastAsia="仿宋"/>
          <w:sz w:val="32"/>
          <w:szCs w:val="32"/>
        </w:rPr>
        <w:t>1702.91</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卫生健康支出（类）公共卫生（款）</w:t>
      </w:r>
      <w:r>
        <w:rPr>
          <w:rFonts w:hint="eastAsia" w:ascii="仿宋" w:hAnsi="仿宋" w:eastAsia="仿宋"/>
          <w:b/>
          <w:bCs/>
          <w:sz w:val="32"/>
          <w:szCs w:val="32"/>
        </w:rPr>
        <w:t>疾病预防控制机构（项）</w:t>
      </w:r>
      <w:r>
        <w:rPr>
          <w:rFonts w:hint="eastAsia" w:ascii="仿宋" w:hAnsi="仿宋" w:eastAsia="仿宋"/>
          <w:sz w:val="32"/>
          <w:szCs w:val="32"/>
        </w:rPr>
        <w:t>：支出决算为</w:t>
      </w:r>
      <w:r>
        <w:rPr>
          <w:rFonts w:ascii="仿宋" w:hAnsi="仿宋" w:eastAsia="仿宋"/>
          <w:sz w:val="32"/>
          <w:szCs w:val="32"/>
        </w:rPr>
        <w:t>371.87</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卫生健康支出（类）公共卫生（款）</w:t>
      </w:r>
      <w:r>
        <w:rPr>
          <w:rFonts w:hint="eastAsia" w:ascii="仿宋" w:hAnsi="仿宋" w:eastAsia="仿宋"/>
          <w:b/>
          <w:bCs/>
          <w:sz w:val="32"/>
          <w:szCs w:val="32"/>
        </w:rPr>
        <w:t>卫生监督机构（项）</w:t>
      </w:r>
      <w:r>
        <w:rPr>
          <w:rFonts w:hint="eastAsia" w:ascii="仿宋" w:hAnsi="仿宋" w:eastAsia="仿宋"/>
          <w:sz w:val="32"/>
          <w:szCs w:val="32"/>
        </w:rPr>
        <w:t>：支出决算为</w:t>
      </w:r>
      <w:r>
        <w:rPr>
          <w:rFonts w:ascii="仿宋" w:hAnsi="仿宋" w:eastAsia="仿宋"/>
          <w:sz w:val="32"/>
          <w:szCs w:val="32"/>
        </w:rPr>
        <w:t>4.88</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卫生健康支出（类）公共卫生（款）</w:t>
      </w:r>
      <w:r>
        <w:rPr>
          <w:rFonts w:hint="eastAsia" w:ascii="仿宋" w:hAnsi="仿宋" w:eastAsia="仿宋"/>
          <w:b/>
          <w:bCs/>
          <w:sz w:val="32"/>
          <w:szCs w:val="32"/>
        </w:rPr>
        <w:t>妇幼保健机构（项）</w:t>
      </w:r>
      <w:r>
        <w:rPr>
          <w:rFonts w:hint="eastAsia" w:ascii="仿宋" w:hAnsi="仿宋" w:eastAsia="仿宋"/>
          <w:sz w:val="32"/>
          <w:szCs w:val="32"/>
        </w:rPr>
        <w:t>：支出决算为</w:t>
      </w:r>
      <w:r>
        <w:rPr>
          <w:rFonts w:ascii="仿宋" w:hAnsi="仿宋" w:eastAsia="仿宋"/>
          <w:sz w:val="32"/>
          <w:szCs w:val="32"/>
        </w:rPr>
        <w:t>191.01</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卫生健康支出（类）公共卫生（款）</w:t>
      </w:r>
      <w:r>
        <w:rPr>
          <w:rFonts w:hint="eastAsia" w:ascii="仿宋" w:hAnsi="仿宋" w:eastAsia="仿宋"/>
          <w:b/>
          <w:bCs/>
          <w:sz w:val="32"/>
          <w:szCs w:val="32"/>
        </w:rPr>
        <w:t>其他专业公共卫生机构（项）</w:t>
      </w:r>
      <w:r>
        <w:rPr>
          <w:rFonts w:hint="eastAsia" w:ascii="仿宋" w:hAnsi="仿宋" w:eastAsia="仿宋"/>
          <w:sz w:val="32"/>
          <w:szCs w:val="32"/>
        </w:rPr>
        <w:t>：支出决算为</w:t>
      </w:r>
      <w:r>
        <w:rPr>
          <w:rFonts w:ascii="仿宋" w:hAnsi="仿宋" w:eastAsia="仿宋"/>
          <w:sz w:val="32"/>
          <w:szCs w:val="32"/>
        </w:rPr>
        <w:t>280.17</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卫生健康支出（类）公共卫生（款）</w:t>
      </w:r>
      <w:r>
        <w:rPr>
          <w:rFonts w:hint="eastAsia" w:ascii="仿宋" w:hAnsi="仿宋" w:eastAsia="仿宋"/>
          <w:b/>
          <w:bCs/>
          <w:sz w:val="32"/>
          <w:szCs w:val="32"/>
        </w:rPr>
        <w:t>基本公共卫生服务（项）</w:t>
      </w:r>
      <w:r>
        <w:rPr>
          <w:rFonts w:hint="eastAsia" w:ascii="仿宋" w:hAnsi="仿宋" w:eastAsia="仿宋"/>
          <w:sz w:val="32"/>
          <w:szCs w:val="32"/>
        </w:rPr>
        <w:t>：支出决算为</w:t>
      </w:r>
      <w:r>
        <w:rPr>
          <w:rFonts w:ascii="仿宋" w:hAnsi="仿宋" w:eastAsia="仿宋"/>
          <w:sz w:val="32"/>
          <w:szCs w:val="32"/>
        </w:rPr>
        <w:t>1057.32</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卫生健康支出（类）公共卫生（款）</w:t>
      </w:r>
      <w:r>
        <w:rPr>
          <w:rFonts w:hint="eastAsia" w:ascii="仿宋" w:hAnsi="仿宋" w:eastAsia="仿宋"/>
          <w:b/>
          <w:bCs/>
          <w:sz w:val="32"/>
          <w:szCs w:val="32"/>
        </w:rPr>
        <w:t>重大公共卫生服务（项）</w:t>
      </w:r>
      <w:r>
        <w:rPr>
          <w:rFonts w:hint="eastAsia" w:ascii="仿宋" w:hAnsi="仿宋" w:eastAsia="仿宋"/>
          <w:sz w:val="32"/>
          <w:szCs w:val="32"/>
        </w:rPr>
        <w:t>：支出决算为</w:t>
      </w:r>
      <w:r>
        <w:rPr>
          <w:rFonts w:ascii="仿宋" w:hAnsi="仿宋" w:eastAsia="仿宋"/>
          <w:sz w:val="32"/>
          <w:szCs w:val="32"/>
        </w:rPr>
        <w:t>350.56</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r>
        <w:rPr>
          <w:rFonts w:ascii="仿宋" w:hAnsi="仿宋" w:eastAsia="仿宋"/>
          <w:sz w:val="32"/>
          <w:szCs w:val="32"/>
        </w:rPr>
        <w:t xml:space="preserve"> </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卫生健康支出（类）公共卫生（款）</w:t>
      </w:r>
      <w:r>
        <w:rPr>
          <w:rFonts w:hint="eastAsia" w:ascii="仿宋" w:hAnsi="仿宋" w:eastAsia="仿宋"/>
          <w:b/>
          <w:bCs/>
          <w:sz w:val="32"/>
          <w:szCs w:val="32"/>
        </w:rPr>
        <w:t>突发公共卫生事件应急处理（项）</w:t>
      </w:r>
      <w:r>
        <w:rPr>
          <w:rFonts w:hint="eastAsia" w:ascii="仿宋" w:hAnsi="仿宋" w:eastAsia="仿宋"/>
          <w:sz w:val="32"/>
          <w:szCs w:val="32"/>
        </w:rPr>
        <w:t>：支出决算为</w:t>
      </w:r>
      <w:r>
        <w:rPr>
          <w:rFonts w:ascii="仿宋" w:hAnsi="仿宋" w:eastAsia="仿宋"/>
          <w:sz w:val="32"/>
          <w:szCs w:val="32"/>
        </w:rPr>
        <w:t>0.54</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卫生健康支出（类）公共卫生（款）</w:t>
      </w:r>
      <w:r>
        <w:rPr>
          <w:rFonts w:hint="eastAsia" w:ascii="仿宋" w:hAnsi="仿宋" w:eastAsia="仿宋"/>
          <w:b/>
          <w:bCs/>
          <w:sz w:val="32"/>
          <w:szCs w:val="32"/>
        </w:rPr>
        <w:t>其他公共卫生支出（项）</w:t>
      </w:r>
      <w:r>
        <w:rPr>
          <w:rFonts w:hint="eastAsia" w:ascii="仿宋" w:hAnsi="仿宋" w:eastAsia="仿宋"/>
          <w:sz w:val="32"/>
          <w:szCs w:val="32"/>
        </w:rPr>
        <w:t>：支出决算为</w:t>
      </w:r>
      <w:r>
        <w:rPr>
          <w:rFonts w:ascii="仿宋" w:hAnsi="仿宋" w:eastAsia="仿宋"/>
          <w:sz w:val="32"/>
          <w:szCs w:val="32"/>
        </w:rPr>
        <w:t>321.02</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卫生健康支出（类）中医药（款）</w:t>
      </w:r>
      <w:r>
        <w:rPr>
          <w:rFonts w:hint="eastAsia" w:ascii="仿宋" w:hAnsi="仿宋" w:eastAsia="仿宋"/>
          <w:b/>
          <w:bCs/>
          <w:sz w:val="32"/>
          <w:szCs w:val="32"/>
        </w:rPr>
        <w:t>中医（民族医）药专项（项）</w:t>
      </w:r>
      <w:r>
        <w:rPr>
          <w:rFonts w:hint="eastAsia" w:ascii="仿宋" w:hAnsi="仿宋" w:eastAsia="仿宋"/>
          <w:sz w:val="32"/>
          <w:szCs w:val="32"/>
        </w:rPr>
        <w:t>：支出决算为</w:t>
      </w:r>
      <w:r>
        <w:rPr>
          <w:rFonts w:ascii="仿宋" w:hAnsi="仿宋" w:eastAsia="仿宋"/>
          <w:sz w:val="32"/>
          <w:szCs w:val="32"/>
        </w:rPr>
        <w:t>9</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卫生健康支出（类）计划生育事务（款）</w:t>
      </w:r>
      <w:r>
        <w:rPr>
          <w:rStyle w:val="17"/>
          <w:rFonts w:hint="eastAsia" w:ascii="仿宋" w:hAnsi="仿宋" w:eastAsia="仿宋"/>
          <w:sz w:val="32"/>
          <w:szCs w:val="32"/>
        </w:rPr>
        <w:t>计划生育服务（项）</w:t>
      </w:r>
      <w:r>
        <w:rPr>
          <w:rFonts w:hint="eastAsia" w:ascii="仿宋" w:hAnsi="仿宋" w:eastAsia="仿宋"/>
          <w:sz w:val="32"/>
          <w:szCs w:val="32"/>
        </w:rPr>
        <w:t>：支出决算为</w:t>
      </w:r>
      <w:r>
        <w:rPr>
          <w:rFonts w:ascii="仿宋" w:hAnsi="仿宋" w:eastAsia="仿宋"/>
          <w:sz w:val="32"/>
          <w:szCs w:val="32"/>
        </w:rPr>
        <w:t>316.30</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卫生健康支出（类）计划生育事务（款）</w:t>
      </w:r>
      <w:r>
        <w:rPr>
          <w:rStyle w:val="17"/>
          <w:rFonts w:hint="eastAsia" w:ascii="仿宋" w:hAnsi="仿宋" w:eastAsia="仿宋"/>
          <w:sz w:val="32"/>
          <w:szCs w:val="32"/>
        </w:rPr>
        <w:t>其他计划生育事务支出（项）</w:t>
      </w:r>
      <w:r>
        <w:rPr>
          <w:rFonts w:hint="eastAsia" w:ascii="仿宋" w:hAnsi="仿宋" w:eastAsia="仿宋"/>
          <w:sz w:val="32"/>
          <w:szCs w:val="32"/>
        </w:rPr>
        <w:t>：支出决算为</w:t>
      </w:r>
      <w:r>
        <w:rPr>
          <w:rFonts w:ascii="仿宋" w:hAnsi="仿宋" w:eastAsia="仿宋"/>
          <w:sz w:val="32"/>
          <w:szCs w:val="32"/>
        </w:rPr>
        <w:t>305.12</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w:t>
      </w:r>
      <w:r>
        <w:rPr>
          <w:rStyle w:val="17"/>
          <w:rFonts w:hint="eastAsia" w:ascii="仿宋" w:hAnsi="仿宋" w:eastAsia="仿宋"/>
          <w:sz w:val="32"/>
          <w:szCs w:val="32"/>
        </w:rPr>
        <w:t>行政事业单位医疗（款）行政单位医疗（项）</w:t>
      </w:r>
      <w:r>
        <w:rPr>
          <w:rFonts w:hint="eastAsia" w:ascii="仿宋" w:hAnsi="仿宋" w:eastAsia="仿宋"/>
          <w:sz w:val="32"/>
          <w:szCs w:val="32"/>
        </w:rPr>
        <w:t>：支出决算为</w:t>
      </w:r>
      <w:r>
        <w:rPr>
          <w:rFonts w:ascii="仿宋" w:hAnsi="仿宋" w:eastAsia="仿宋"/>
          <w:sz w:val="32"/>
          <w:szCs w:val="32"/>
        </w:rPr>
        <w:t>19.59</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pStyle w:val="2"/>
        <w:spacing w:before="72"/>
        <w:ind w:firstLine="640"/>
        <w:rPr>
          <w:rFonts w:ascii="仿宋" w:hAnsi="仿宋" w:eastAsia="仿宋"/>
          <w:sz w:val="32"/>
          <w:szCs w:val="32"/>
        </w:rPr>
      </w:pPr>
      <w:r>
        <w:rPr>
          <w:rStyle w:val="17"/>
          <w:rFonts w:hint="eastAsia" w:ascii="仿宋" w:hAnsi="仿宋" w:eastAsia="仿宋"/>
          <w:bCs/>
          <w:sz w:val="32"/>
          <w:szCs w:val="32"/>
        </w:rPr>
        <w:t>卫生健康支出（类）</w:t>
      </w:r>
      <w:r>
        <w:rPr>
          <w:rStyle w:val="17"/>
          <w:rFonts w:hint="eastAsia" w:ascii="仿宋" w:hAnsi="仿宋" w:eastAsia="仿宋"/>
          <w:sz w:val="32"/>
          <w:szCs w:val="32"/>
        </w:rPr>
        <w:t>行政事业单位医疗（款）</w:t>
      </w:r>
      <w:r>
        <w:rPr>
          <w:rFonts w:hint="eastAsia" w:ascii="仿宋" w:hAnsi="仿宋" w:eastAsia="仿宋"/>
          <w:b/>
          <w:bCs/>
          <w:sz w:val="32"/>
          <w:szCs w:val="32"/>
        </w:rPr>
        <w:t>事业单位医疗（项）</w:t>
      </w:r>
      <w:r>
        <w:rPr>
          <w:rFonts w:hint="eastAsia" w:ascii="仿宋" w:hAnsi="仿宋" w:eastAsia="仿宋"/>
          <w:sz w:val="32"/>
          <w:szCs w:val="32"/>
        </w:rPr>
        <w:t>：支出决算为</w:t>
      </w:r>
      <w:r>
        <w:rPr>
          <w:rFonts w:ascii="仿宋" w:hAnsi="仿宋" w:eastAsia="仿宋"/>
          <w:sz w:val="32"/>
          <w:szCs w:val="32"/>
        </w:rPr>
        <w:t>55.63</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spacing w:line="600" w:lineRule="exact"/>
        <w:ind w:firstLine="643" w:firstLineChars="200"/>
        <w:rPr>
          <w:rFonts w:ascii="仿宋" w:hAnsi="仿宋" w:eastAsia="仿宋"/>
          <w:sz w:val="32"/>
          <w:szCs w:val="32"/>
        </w:rPr>
      </w:pPr>
      <w:r>
        <w:rPr>
          <w:rStyle w:val="17"/>
          <w:rFonts w:hint="eastAsia" w:ascii="仿宋" w:hAnsi="仿宋" w:eastAsia="仿宋"/>
          <w:bCs/>
          <w:sz w:val="32"/>
          <w:szCs w:val="32"/>
        </w:rPr>
        <w:t>卫生健康支出（类）</w:t>
      </w:r>
      <w:r>
        <w:rPr>
          <w:rStyle w:val="17"/>
          <w:rFonts w:hint="eastAsia" w:ascii="仿宋" w:hAnsi="仿宋" w:eastAsia="仿宋"/>
          <w:sz w:val="32"/>
          <w:szCs w:val="32"/>
        </w:rPr>
        <w:t>行政事业单位医疗（款）公务员医疗补助（项）</w:t>
      </w:r>
      <w:r>
        <w:rPr>
          <w:rFonts w:hint="eastAsia" w:ascii="仿宋" w:hAnsi="仿宋" w:eastAsia="仿宋"/>
          <w:sz w:val="32"/>
          <w:szCs w:val="32"/>
        </w:rPr>
        <w:t>：支出决算为</w:t>
      </w:r>
      <w:r>
        <w:rPr>
          <w:rFonts w:ascii="仿宋" w:hAnsi="仿宋" w:eastAsia="仿宋"/>
          <w:sz w:val="32"/>
          <w:szCs w:val="32"/>
        </w:rPr>
        <w:t>2.03</w:t>
      </w:r>
      <w:r>
        <w:rPr>
          <w:rFonts w:hint="eastAsia" w:ascii="仿宋" w:hAnsi="仿宋" w:eastAsia="仿宋"/>
          <w:sz w:val="32"/>
          <w:szCs w:val="32"/>
        </w:rPr>
        <w:t>万元，完成预算100%；</w:t>
      </w:r>
    </w:p>
    <w:p>
      <w:pPr>
        <w:spacing w:line="600" w:lineRule="exact"/>
        <w:ind w:firstLine="643" w:firstLineChars="200"/>
        <w:rPr>
          <w:rFonts w:ascii="仿宋" w:hAnsi="仿宋" w:eastAsia="仿宋"/>
          <w:sz w:val="32"/>
          <w:szCs w:val="32"/>
        </w:rPr>
      </w:pPr>
      <w:r>
        <w:rPr>
          <w:rStyle w:val="17"/>
          <w:rFonts w:hint="eastAsia" w:ascii="仿宋" w:hAnsi="仿宋" w:eastAsia="仿宋"/>
          <w:bCs/>
          <w:sz w:val="32"/>
          <w:szCs w:val="32"/>
        </w:rPr>
        <w:t>卫生健康支出（类）</w:t>
      </w:r>
      <w:r>
        <w:rPr>
          <w:rStyle w:val="17"/>
          <w:rFonts w:hint="eastAsia" w:ascii="仿宋" w:hAnsi="仿宋" w:eastAsia="仿宋"/>
          <w:sz w:val="32"/>
          <w:szCs w:val="32"/>
        </w:rPr>
        <w:t>行政事业单位医疗（款）</w:t>
      </w:r>
      <w:r>
        <w:rPr>
          <w:rFonts w:hint="eastAsia" w:ascii="仿宋" w:hAnsi="仿宋" w:eastAsia="仿宋"/>
          <w:b/>
          <w:bCs/>
          <w:sz w:val="32"/>
          <w:szCs w:val="32"/>
        </w:rPr>
        <w:t>其他行政事业单位医疗支出（项）</w:t>
      </w:r>
      <w:r>
        <w:rPr>
          <w:rFonts w:hint="eastAsia" w:ascii="仿宋" w:hAnsi="仿宋" w:eastAsia="仿宋"/>
          <w:sz w:val="32"/>
          <w:szCs w:val="32"/>
        </w:rPr>
        <w:t>：支出决算为</w:t>
      </w:r>
      <w:r>
        <w:rPr>
          <w:rFonts w:ascii="仿宋" w:hAnsi="仿宋" w:eastAsia="仿宋"/>
          <w:sz w:val="32"/>
          <w:szCs w:val="32"/>
        </w:rPr>
        <w:t>5.43</w:t>
      </w:r>
      <w:r>
        <w:rPr>
          <w:rFonts w:hint="eastAsia" w:ascii="仿宋" w:hAnsi="仿宋" w:eastAsia="仿宋"/>
          <w:sz w:val="32"/>
          <w:szCs w:val="32"/>
        </w:rPr>
        <w:t>万元，完成预算100%；</w:t>
      </w:r>
    </w:p>
    <w:p>
      <w:pPr>
        <w:spacing w:line="600" w:lineRule="exact"/>
        <w:ind w:firstLine="420" w:firstLineChars="200"/>
        <w:rPr>
          <w:rFonts w:ascii="仿宋" w:hAnsi="仿宋" w:eastAsia="仿宋"/>
          <w:sz w:val="32"/>
          <w:szCs w:val="32"/>
        </w:rPr>
      </w:pPr>
      <w:r>
        <w:rPr>
          <w:rFonts w:hint="eastAsia"/>
        </w:rPr>
        <w:t xml:space="preserve"> </w:t>
      </w:r>
      <w:r>
        <w:t xml:space="preserve">  </w:t>
      </w:r>
      <w:r>
        <w:rPr>
          <w:rStyle w:val="17"/>
          <w:rFonts w:hint="eastAsia" w:ascii="仿宋" w:hAnsi="仿宋" w:eastAsia="仿宋"/>
          <w:b w:val="0"/>
          <w:sz w:val="32"/>
          <w:szCs w:val="32"/>
        </w:rPr>
        <w:t>卫生健康支出（类）</w:t>
      </w:r>
      <w:r>
        <w:rPr>
          <w:rFonts w:hint="eastAsia" w:ascii="仿宋" w:hAnsi="仿宋" w:eastAsia="仿宋"/>
          <w:b/>
          <w:sz w:val="32"/>
          <w:szCs w:val="32"/>
        </w:rPr>
        <w:t>其他卫生健康支出</w:t>
      </w:r>
      <w:r>
        <w:rPr>
          <w:rStyle w:val="17"/>
          <w:rFonts w:hint="eastAsia" w:ascii="仿宋" w:hAnsi="仿宋" w:eastAsia="仿宋"/>
          <w:b w:val="0"/>
          <w:sz w:val="32"/>
          <w:szCs w:val="32"/>
        </w:rPr>
        <w:t>（款）</w:t>
      </w:r>
      <w:r>
        <w:rPr>
          <w:rFonts w:hint="eastAsia" w:ascii="仿宋" w:hAnsi="仿宋" w:eastAsia="仿宋"/>
          <w:b/>
          <w:sz w:val="32"/>
          <w:szCs w:val="32"/>
        </w:rPr>
        <w:t>其他卫生健康支出（</w:t>
      </w:r>
      <w:r>
        <w:rPr>
          <w:rFonts w:hint="eastAsia" w:ascii="仿宋" w:hAnsi="仿宋" w:eastAsia="仿宋"/>
          <w:b/>
          <w:bCs/>
          <w:sz w:val="32"/>
          <w:szCs w:val="32"/>
        </w:rPr>
        <w:t>项）</w:t>
      </w:r>
      <w:r>
        <w:rPr>
          <w:rFonts w:hint="eastAsia" w:ascii="仿宋" w:hAnsi="仿宋" w:eastAsia="仿宋"/>
          <w:sz w:val="32"/>
          <w:szCs w:val="32"/>
        </w:rPr>
        <w:t>：支出决算为</w:t>
      </w:r>
      <w:r>
        <w:rPr>
          <w:rFonts w:ascii="仿宋" w:hAnsi="仿宋" w:eastAsia="仿宋"/>
          <w:sz w:val="32"/>
          <w:szCs w:val="32"/>
        </w:rPr>
        <w:t>140.88</w:t>
      </w:r>
      <w:r>
        <w:rPr>
          <w:rFonts w:hint="eastAsia" w:ascii="仿宋" w:hAnsi="仿宋" w:eastAsia="仿宋"/>
          <w:sz w:val="32"/>
          <w:szCs w:val="32"/>
        </w:rPr>
        <w:t>万元，完成预算100%。</w:t>
      </w:r>
    </w:p>
    <w:p>
      <w:pPr>
        <w:spacing w:line="600" w:lineRule="exact"/>
        <w:ind w:left="741"/>
        <w:rPr>
          <w:rStyle w:val="17"/>
          <w:rFonts w:ascii="仿宋" w:hAnsi="仿宋" w:eastAsia="仿宋"/>
          <w:bCs/>
          <w:sz w:val="32"/>
          <w:szCs w:val="32"/>
        </w:rPr>
      </w:pPr>
      <w:r>
        <w:rPr>
          <w:rFonts w:hint="eastAsia" w:ascii="仿宋" w:hAnsi="仿宋" w:eastAsia="仿宋"/>
          <w:b/>
          <w:bCs/>
          <w:sz w:val="32"/>
          <w:szCs w:val="32"/>
        </w:rPr>
        <w:t>3.住房保障支出</w:t>
      </w:r>
      <w:r>
        <w:rPr>
          <w:rStyle w:val="17"/>
          <w:rFonts w:ascii="仿宋" w:hAnsi="仿宋" w:eastAsia="仿宋"/>
          <w:bCs/>
          <w:sz w:val="32"/>
          <w:szCs w:val="32"/>
        </w:rPr>
        <w:t>:</w:t>
      </w:r>
    </w:p>
    <w:p>
      <w:pPr>
        <w:spacing w:line="600" w:lineRule="exact"/>
        <w:ind w:left="630" w:leftChars="300"/>
        <w:rPr>
          <w:rFonts w:ascii="仿宋" w:hAnsi="仿宋" w:eastAsia="仿宋"/>
          <w:sz w:val="32"/>
          <w:szCs w:val="32"/>
        </w:rPr>
      </w:pPr>
      <w:r>
        <w:rPr>
          <w:rStyle w:val="17"/>
          <w:rFonts w:hint="eastAsia" w:ascii="仿宋" w:hAnsi="仿宋" w:eastAsia="仿宋"/>
          <w:bCs/>
          <w:sz w:val="32"/>
          <w:szCs w:val="32"/>
        </w:rPr>
        <w:t>住房保障支出（类）</w:t>
      </w:r>
      <w:r>
        <w:rPr>
          <w:rStyle w:val="17"/>
          <w:rFonts w:hint="eastAsia" w:ascii="仿宋" w:hAnsi="仿宋" w:eastAsia="仿宋"/>
          <w:sz w:val="32"/>
          <w:szCs w:val="32"/>
        </w:rPr>
        <w:t>住房改革支出（款）住房公积金（项）</w:t>
      </w:r>
      <w:r>
        <w:rPr>
          <w:rFonts w:hint="eastAsia" w:ascii="仿宋" w:hAnsi="仿宋" w:eastAsia="仿宋"/>
          <w:sz w:val="32"/>
          <w:szCs w:val="32"/>
        </w:rPr>
        <w:t>：支出决算为</w:t>
      </w:r>
      <w:r>
        <w:rPr>
          <w:rFonts w:ascii="仿宋" w:hAnsi="仿宋" w:eastAsia="仿宋"/>
          <w:sz w:val="32"/>
          <w:szCs w:val="32"/>
        </w:rPr>
        <w:t>113.04</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p>
    <w:p>
      <w:pPr>
        <w:tabs>
          <w:tab w:val="right" w:pos="8306"/>
        </w:tabs>
        <w:spacing w:line="600" w:lineRule="exact"/>
        <w:ind w:firstLine="640"/>
        <w:outlineLvl w:val="1"/>
        <w:rPr>
          <w:rStyle w:val="20"/>
        </w:rPr>
      </w:pPr>
      <w:bookmarkStart w:id="30" w:name="_Toc15377214"/>
      <w:bookmarkStart w:id="3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0"/>
          <w:rFonts w:hint="eastAsia" w:ascii="黑体" w:hAnsi="黑体" w:eastAsia="黑体"/>
        </w:rPr>
        <w:t>般公共预算财政拨款基本支出决算情况说明</w:t>
      </w:r>
      <w:bookmarkEnd w:id="30"/>
      <w:bookmarkEnd w:id="31"/>
      <w:r>
        <w:rPr>
          <w:rStyle w:val="20"/>
          <w:rFonts w:ascii="黑体" w:hAnsi="黑体" w:eastAsia="黑体"/>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ascii="仿宋" w:hAnsi="仿宋" w:eastAsia="仿宋"/>
          <w:sz w:val="32"/>
          <w:szCs w:val="32"/>
        </w:rPr>
        <w:t>1591.71</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1519.11</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72.60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0"/>
          <w:rFonts w:ascii="黑体" w:hAnsi="黑体" w:eastAsia="黑体"/>
          <w:b w:val="0"/>
        </w:rPr>
      </w:pPr>
      <w:bookmarkStart w:id="32" w:name="_Toc15396609"/>
      <w:bookmarkStart w:id="33" w:name="_Toc15377215"/>
      <w:r>
        <w:rPr>
          <w:rFonts w:hint="eastAsia" w:ascii="黑体" w:eastAsia="黑体"/>
          <w:sz w:val="32"/>
          <w:szCs w:val="32"/>
        </w:rPr>
        <w:t>七、</w:t>
      </w:r>
      <w:r>
        <w:rPr>
          <w:rStyle w:val="20"/>
          <w:rFonts w:hint="eastAsia" w:ascii="黑体" w:hAnsi="黑体" w:eastAsia="黑体"/>
        </w:rPr>
        <w:t>“三公”经费财政拨款支出决算情况说明</w:t>
      </w:r>
      <w:bookmarkEnd w:id="32"/>
      <w:bookmarkEnd w:id="33"/>
    </w:p>
    <w:p>
      <w:pPr>
        <w:pStyle w:val="5"/>
        <w:spacing w:before="0" w:after="0" w:line="600" w:lineRule="exact"/>
        <w:ind w:firstLine="640"/>
        <w:rPr>
          <w:rFonts w:ascii="仿宋" w:hAnsi="仿宋" w:eastAsia="仿宋"/>
          <w:bCs w:val="0"/>
        </w:rPr>
      </w:pPr>
      <w:r>
        <w:rPr>
          <w:rFonts w:hint="eastAsia" w:ascii="仿宋" w:hAnsi="仿宋" w:eastAsia="仿宋"/>
          <w:bCs w:val="0"/>
        </w:rPr>
        <w:t>（一）“三公”经费财政拨款支出决算总体情况说明</w:t>
      </w:r>
    </w:p>
    <w:p>
      <w:pPr>
        <w:pStyle w:val="25"/>
        <w:spacing w:before="0" w:beforeAutospacing="0" w:after="0" w:afterAutospacing="0" w:line="600" w:lineRule="exact"/>
        <w:ind w:firstLine="640"/>
        <w:jc w:val="both"/>
        <w:rPr>
          <w:rFonts w:ascii="仿宋" w:hAnsi="仿宋" w:eastAsia="仿宋"/>
          <w:kern w:val="2"/>
          <w:sz w:val="32"/>
          <w:szCs w:val="32"/>
        </w:rPr>
      </w:pPr>
      <w:r>
        <w:rPr>
          <w:rFonts w:hint="eastAsia" w:ascii="仿宋" w:hAnsi="仿宋" w:eastAsia="仿宋"/>
          <w:kern w:val="2"/>
          <w:sz w:val="32"/>
          <w:szCs w:val="32"/>
        </w:rPr>
        <w:t>2022年“三公”经费财政拨款支出决算为</w:t>
      </w:r>
      <w:r>
        <w:rPr>
          <w:rFonts w:ascii="仿宋" w:hAnsi="仿宋" w:eastAsia="仿宋"/>
          <w:kern w:val="2"/>
          <w:sz w:val="32"/>
          <w:szCs w:val="32"/>
        </w:rPr>
        <w:t>13.37</w:t>
      </w:r>
      <w:r>
        <w:rPr>
          <w:rFonts w:hint="eastAsia" w:ascii="仿宋" w:hAnsi="仿宋" w:eastAsia="仿宋"/>
          <w:kern w:val="2"/>
          <w:sz w:val="32"/>
          <w:szCs w:val="32"/>
        </w:rPr>
        <w:t>万元，</w:t>
      </w:r>
      <w:r>
        <w:rPr>
          <w:rFonts w:ascii="仿宋" w:hAnsi="仿宋" w:eastAsia="仿宋"/>
          <w:kern w:val="2"/>
          <w:sz w:val="32"/>
          <w:szCs w:val="32"/>
        </w:rPr>
        <w:t>完成预算</w:t>
      </w:r>
      <w:r>
        <w:rPr>
          <w:rFonts w:hint="eastAsia" w:ascii="仿宋" w:hAnsi="仿宋" w:eastAsia="仿宋"/>
          <w:kern w:val="2"/>
          <w:sz w:val="32"/>
          <w:szCs w:val="32"/>
        </w:rPr>
        <w:t>10</w:t>
      </w:r>
      <w:r>
        <w:rPr>
          <w:rFonts w:ascii="仿宋" w:hAnsi="仿宋" w:eastAsia="仿宋"/>
          <w:kern w:val="2"/>
          <w:sz w:val="32"/>
          <w:szCs w:val="32"/>
        </w:rPr>
        <w:t>0%，</w:t>
      </w:r>
      <w:r>
        <w:rPr>
          <w:rFonts w:hint="eastAsia" w:ascii="仿宋" w:hAnsi="仿宋" w:eastAsia="仿宋"/>
          <w:kern w:val="2"/>
          <w:sz w:val="32"/>
          <w:szCs w:val="32"/>
        </w:rPr>
        <w:t>较上年增加0</w:t>
      </w:r>
      <w:r>
        <w:rPr>
          <w:rFonts w:ascii="仿宋" w:hAnsi="仿宋" w:eastAsia="仿宋"/>
          <w:kern w:val="2"/>
          <w:sz w:val="32"/>
          <w:szCs w:val="32"/>
        </w:rPr>
        <w:t>.33</w:t>
      </w:r>
      <w:r>
        <w:rPr>
          <w:rFonts w:hint="eastAsia" w:ascii="仿宋" w:hAnsi="仿宋" w:eastAsia="仿宋"/>
          <w:kern w:val="2"/>
          <w:sz w:val="32"/>
          <w:szCs w:val="32"/>
        </w:rPr>
        <w:t>万元，增长2</w:t>
      </w:r>
      <w:r>
        <w:rPr>
          <w:rFonts w:ascii="仿宋" w:hAnsi="仿宋" w:eastAsia="仿宋"/>
          <w:kern w:val="2"/>
          <w:sz w:val="32"/>
          <w:szCs w:val="32"/>
        </w:rPr>
        <w:t>.53</w:t>
      </w:r>
      <w:r>
        <w:rPr>
          <w:rFonts w:hint="eastAsia" w:ascii="仿宋" w:hAnsi="仿宋" w:eastAsia="仿宋"/>
          <w:kern w:val="2"/>
          <w:sz w:val="32"/>
          <w:szCs w:val="32"/>
        </w:rPr>
        <w:t>%。</w:t>
      </w:r>
      <w:r>
        <w:rPr>
          <w:rFonts w:ascii="仿宋" w:hAnsi="仿宋" w:eastAsia="仿宋"/>
          <w:kern w:val="2"/>
          <w:sz w:val="32"/>
          <w:szCs w:val="32"/>
        </w:rPr>
        <w:t>决算数与预算数持平</w:t>
      </w:r>
      <w:r>
        <w:rPr>
          <w:rFonts w:hint="eastAsia" w:ascii="仿宋" w:hAnsi="仿宋" w:eastAsia="仿宋"/>
          <w:kern w:val="2"/>
          <w:sz w:val="32"/>
          <w:szCs w:val="32"/>
        </w:rPr>
        <w:t>。</w:t>
      </w:r>
    </w:p>
    <w:p>
      <w:pPr>
        <w:pStyle w:val="5"/>
        <w:spacing w:before="0" w:after="0" w:line="600" w:lineRule="exact"/>
        <w:ind w:firstLine="640"/>
        <w:rPr>
          <w:rFonts w:ascii="仿宋" w:hAnsi="仿宋" w:eastAsia="仿宋"/>
          <w:bCs w:val="0"/>
        </w:rPr>
      </w:pPr>
      <w:r>
        <w:rPr>
          <w:rFonts w:hint="eastAsia" w:ascii="仿宋" w:hAnsi="仿宋" w:eastAsia="仿宋"/>
          <w:bCs w:val="0"/>
        </w:rPr>
        <w:t>（二）“三公”经费财政拨款支出决算具体情况说明</w:t>
      </w:r>
    </w:p>
    <w:p>
      <w:pPr>
        <w:pStyle w:val="25"/>
        <w:spacing w:before="0" w:beforeAutospacing="0" w:after="0" w:afterAutospacing="0" w:line="600" w:lineRule="exact"/>
        <w:ind w:firstLine="640"/>
        <w:jc w:val="both"/>
        <w:rPr>
          <w:rFonts w:ascii="仿宋" w:hAnsi="仿宋" w:eastAsia="仿宋"/>
          <w:kern w:val="2"/>
          <w:sz w:val="32"/>
          <w:szCs w:val="32"/>
        </w:rPr>
      </w:pPr>
      <w:r>
        <w:rPr>
          <w:rFonts w:hint="eastAsia" w:ascii="仿宋" w:hAnsi="仿宋" w:eastAsia="仿宋"/>
          <w:kern w:val="2"/>
          <w:sz w:val="32"/>
          <w:szCs w:val="32"/>
        </w:rPr>
        <w:drawing>
          <wp:anchor distT="0" distB="0" distL="114300" distR="114300" simplePos="0" relativeHeight="251660288" behindDoc="0" locked="0" layoutInCell="1" allowOverlap="1">
            <wp:simplePos x="0" y="0"/>
            <wp:positionH relativeFrom="column">
              <wp:posOffset>161925</wp:posOffset>
            </wp:positionH>
            <wp:positionV relativeFrom="paragraph">
              <wp:posOffset>1666875</wp:posOffset>
            </wp:positionV>
            <wp:extent cx="5274310" cy="3076575"/>
            <wp:effectExtent l="0" t="0" r="2540" b="952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kern w:val="2"/>
          <w:sz w:val="32"/>
          <w:szCs w:val="32"/>
        </w:rPr>
        <w:t>2022年“三公”经费财政拨款支出决算中，因公出国（境）费支出决算0万元，</w:t>
      </w:r>
      <w:r>
        <w:rPr>
          <w:rFonts w:ascii="仿宋" w:hAnsi="仿宋" w:eastAsia="仿宋"/>
          <w:kern w:val="2"/>
          <w:sz w:val="32"/>
          <w:szCs w:val="32"/>
        </w:rPr>
        <w:t>占0%</w:t>
      </w:r>
      <w:r>
        <w:rPr>
          <w:rFonts w:hint="eastAsia" w:ascii="仿宋" w:hAnsi="仿宋" w:eastAsia="仿宋"/>
          <w:kern w:val="2"/>
          <w:sz w:val="32"/>
          <w:szCs w:val="32"/>
        </w:rPr>
        <w:t>；公务用车购置及运行维护费支出决算</w:t>
      </w:r>
      <w:r>
        <w:rPr>
          <w:rFonts w:ascii="仿宋" w:hAnsi="仿宋" w:eastAsia="仿宋"/>
          <w:kern w:val="2"/>
          <w:sz w:val="32"/>
          <w:szCs w:val="32"/>
        </w:rPr>
        <w:t>13.19</w:t>
      </w:r>
      <w:r>
        <w:rPr>
          <w:rFonts w:hint="eastAsia" w:ascii="仿宋" w:hAnsi="仿宋" w:eastAsia="仿宋"/>
          <w:kern w:val="2"/>
          <w:sz w:val="32"/>
          <w:szCs w:val="32"/>
        </w:rPr>
        <w:t>万元，</w:t>
      </w:r>
      <w:r>
        <w:rPr>
          <w:rFonts w:ascii="仿宋" w:hAnsi="仿宋" w:eastAsia="仿宋"/>
          <w:kern w:val="2"/>
          <w:sz w:val="32"/>
          <w:szCs w:val="32"/>
        </w:rPr>
        <w:t>占98.65%</w:t>
      </w:r>
      <w:r>
        <w:rPr>
          <w:rFonts w:hint="eastAsia" w:ascii="仿宋" w:hAnsi="仿宋" w:eastAsia="仿宋"/>
          <w:kern w:val="2"/>
          <w:sz w:val="32"/>
          <w:szCs w:val="32"/>
        </w:rPr>
        <w:t>；</w:t>
      </w:r>
      <w:bookmarkStart w:id="34" w:name="_Hlk149234780"/>
      <w:r>
        <w:rPr>
          <w:rFonts w:hint="eastAsia" w:ascii="仿宋" w:hAnsi="仿宋" w:eastAsia="仿宋"/>
          <w:kern w:val="2"/>
          <w:sz w:val="32"/>
          <w:szCs w:val="32"/>
        </w:rPr>
        <w:t>公务接待费支出</w:t>
      </w:r>
      <w:bookmarkEnd w:id="34"/>
      <w:r>
        <w:rPr>
          <w:rFonts w:hint="eastAsia" w:ascii="仿宋" w:hAnsi="仿宋" w:eastAsia="仿宋"/>
          <w:kern w:val="2"/>
          <w:sz w:val="32"/>
          <w:szCs w:val="32"/>
        </w:rPr>
        <w:t>决算0.18万元，</w:t>
      </w:r>
      <w:r>
        <w:rPr>
          <w:rFonts w:ascii="仿宋" w:hAnsi="仿宋" w:eastAsia="仿宋"/>
          <w:kern w:val="2"/>
          <w:sz w:val="32"/>
          <w:szCs w:val="32"/>
        </w:rPr>
        <w:t>占</w:t>
      </w:r>
      <w:r>
        <w:rPr>
          <w:rFonts w:hint="eastAsia" w:ascii="仿宋" w:hAnsi="仿宋" w:eastAsia="仿宋"/>
          <w:kern w:val="2"/>
          <w:sz w:val="32"/>
          <w:szCs w:val="32"/>
        </w:rPr>
        <w:t>1</w:t>
      </w:r>
      <w:r>
        <w:rPr>
          <w:rFonts w:ascii="仿宋" w:hAnsi="仿宋" w:eastAsia="仿宋"/>
          <w:kern w:val="2"/>
          <w:sz w:val="32"/>
          <w:szCs w:val="32"/>
        </w:rPr>
        <w:t>.35%</w:t>
      </w:r>
      <w:r>
        <w:rPr>
          <w:rFonts w:hint="eastAsia" w:ascii="仿宋" w:hAnsi="仿宋" w:eastAsia="仿宋"/>
          <w:kern w:val="2"/>
          <w:sz w:val="32"/>
          <w:szCs w:val="32"/>
        </w:rPr>
        <w:t>。</w:t>
      </w:r>
      <w:r>
        <w:rPr>
          <w:rFonts w:ascii="仿宋" w:hAnsi="仿宋" w:eastAsia="仿宋"/>
          <w:kern w:val="2"/>
          <w:sz w:val="32"/>
          <w:szCs w:val="32"/>
        </w:rPr>
        <w:t>具体情况如下：</w:t>
      </w:r>
    </w:p>
    <w:p>
      <w:pPr>
        <w:pStyle w:val="25"/>
        <w:spacing w:before="0" w:beforeAutospacing="0" w:after="0" w:afterAutospacing="0" w:line="600" w:lineRule="exact"/>
        <w:ind w:firstLine="640"/>
        <w:jc w:val="both"/>
        <w:rPr>
          <w:rFonts w:ascii="仿宋" w:hAnsi="仿宋" w:eastAsia="仿宋"/>
          <w:kern w:val="2"/>
          <w:sz w:val="32"/>
          <w:szCs w:val="32"/>
        </w:rPr>
      </w:pPr>
      <w:r>
        <w:rPr>
          <w:rFonts w:hint="eastAsia" w:ascii="仿宋" w:hAnsi="仿宋" w:eastAsia="仿宋"/>
          <w:kern w:val="2"/>
          <w:sz w:val="32"/>
          <w:szCs w:val="32"/>
        </w:rPr>
        <w:t>1.因公出国（境）经费支出0万元</w:t>
      </w:r>
      <w:r>
        <w:rPr>
          <w:rFonts w:ascii="仿宋" w:hAnsi="仿宋" w:eastAsia="仿宋"/>
          <w:kern w:val="2"/>
          <w:sz w:val="32"/>
          <w:szCs w:val="32"/>
        </w:rPr>
        <w:t>，完成预算0%。全年安排因公出国（境）团组0次，出国（境）0人。因公出国（境）支出决算与202</w:t>
      </w:r>
      <w:r>
        <w:rPr>
          <w:rFonts w:hint="eastAsia" w:ascii="仿宋" w:hAnsi="仿宋" w:eastAsia="仿宋"/>
          <w:kern w:val="2"/>
          <w:sz w:val="32"/>
          <w:szCs w:val="32"/>
        </w:rPr>
        <w:t>1</w:t>
      </w:r>
      <w:r>
        <w:rPr>
          <w:rFonts w:ascii="仿宋" w:hAnsi="仿宋" w:eastAsia="仿宋"/>
          <w:kern w:val="2"/>
          <w:sz w:val="32"/>
          <w:szCs w:val="32"/>
        </w:rPr>
        <w:t>年持平</w:t>
      </w:r>
      <w:r>
        <w:rPr>
          <w:rFonts w:hint="eastAsia" w:ascii="仿宋" w:hAnsi="仿宋" w:eastAsia="仿宋"/>
          <w:kern w:val="2"/>
          <w:sz w:val="32"/>
          <w:szCs w:val="32"/>
        </w:rPr>
        <w:t>。</w:t>
      </w:r>
    </w:p>
    <w:p>
      <w:pPr>
        <w:pStyle w:val="25"/>
        <w:spacing w:before="0" w:beforeAutospacing="0" w:after="0" w:afterAutospacing="0" w:line="600" w:lineRule="exact"/>
        <w:ind w:firstLine="640"/>
        <w:jc w:val="both"/>
        <w:rPr>
          <w:rFonts w:ascii="仿宋" w:hAnsi="仿宋" w:eastAsia="仿宋"/>
          <w:kern w:val="2"/>
          <w:sz w:val="32"/>
          <w:szCs w:val="32"/>
        </w:rPr>
      </w:pPr>
      <w:r>
        <w:rPr>
          <w:rFonts w:hint="eastAsia" w:ascii="仿宋" w:hAnsi="仿宋" w:eastAsia="仿宋"/>
          <w:kern w:val="2"/>
          <w:sz w:val="32"/>
          <w:szCs w:val="32"/>
        </w:rPr>
        <w:t>2.公务用车购置及运行维护费支出</w:t>
      </w:r>
      <w:r>
        <w:rPr>
          <w:rFonts w:ascii="仿宋" w:hAnsi="仿宋" w:eastAsia="仿宋"/>
          <w:kern w:val="2"/>
          <w:sz w:val="32"/>
          <w:szCs w:val="32"/>
        </w:rPr>
        <w:t>13.19</w:t>
      </w:r>
      <w:r>
        <w:rPr>
          <w:rFonts w:hint="eastAsia" w:ascii="仿宋" w:hAnsi="仿宋" w:eastAsia="仿宋"/>
          <w:kern w:val="2"/>
          <w:sz w:val="32"/>
          <w:szCs w:val="32"/>
        </w:rPr>
        <w:t>万元，</w:t>
      </w:r>
      <w:r>
        <w:rPr>
          <w:rFonts w:ascii="仿宋" w:hAnsi="仿宋" w:eastAsia="仿宋"/>
          <w:kern w:val="2"/>
          <w:sz w:val="32"/>
          <w:szCs w:val="32"/>
        </w:rPr>
        <w:t>完成预算0%。公务用车购置及运行维护费支出决算</w:t>
      </w:r>
      <w:r>
        <w:rPr>
          <w:rFonts w:hint="eastAsia" w:ascii="仿宋" w:hAnsi="仿宋" w:eastAsia="仿宋"/>
          <w:kern w:val="2"/>
          <w:sz w:val="32"/>
          <w:szCs w:val="32"/>
        </w:rPr>
        <w:t>比</w:t>
      </w:r>
      <w:r>
        <w:rPr>
          <w:rFonts w:ascii="仿宋" w:hAnsi="仿宋" w:eastAsia="仿宋"/>
          <w:kern w:val="2"/>
          <w:sz w:val="32"/>
          <w:szCs w:val="32"/>
        </w:rPr>
        <w:t>202</w:t>
      </w:r>
      <w:r>
        <w:rPr>
          <w:rFonts w:hint="eastAsia" w:ascii="仿宋" w:hAnsi="仿宋" w:eastAsia="仿宋"/>
          <w:kern w:val="2"/>
          <w:sz w:val="32"/>
          <w:szCs w:val="32"/>
        </w:rPr>
        <w:t>1</w:t>
      </w:r>
      <w:r>
        <w:rPr>
          <w:rFonts w:ascii="仿宋" w:hAnsi="仿宋" w:eastAsia="仿宋"/>
          <w:kern w:val="2"/>
          <w:sz w:val="32"/>
          <w:szCs w:val="32"/>
        </w:rPr>
        <w:t>年</w:t>
      </w:r>
      <w:r>
        <w:rPr>
          <w:rFonts w:hint="eastAsia" w:ascii="仿宋" w:hAnsi="仿宋" w:eastAsia="仿宋"/>
          <w:kern w:val="2"/>
          <w:sz w:val="32"/>
          <w:szCs w:val="32"/>
        </w:rPr>
        <w:t>增加0</w:t>
      </w:r>
      <w:r>
        <w:rPr>
          <w:rFonts w:ascii="仿宋" w:hAnsi="仿宋" w:eastAsia="仿宋"/>
          <w:kern w:val="2"/>
          <w:sz w:val="32"/>
          <w:szCs w:val="32"/>
        </w:rPr>
        <w:t>.15</w:t>
      </w:r>
      <w:r>
        <w:rPr>
          <w:rFonts w:hint="eastAsia" w:ascii="仿宋" w:hAnsi="仿宋" w:eastAsia="仿宋"/>
          <w:kern w:val="2"/>
          <w:sz w:val="32"/>
          <w:szCs w:val="32"/>
        </w:rPr>
        <w:t>万元，增长1</w:t>
      </w:r>
      <w:r>
        <w:rPr>
          <w:rFonts w:ascii="仿宋" w:hAnsi="仿宋" w:eastAsia="仿宋"/>
          <w:kern w:val="2"/>
          <w:sz w:val="32"/>
          <w:szCs w:val="32"/>
        </w:rPr>
        <w:t>.15%。</w:t>
      </w:r>
      <w:r>
        <w:rPr>
          <w:rFonts w:hint="eastAsia" w:ascii="仿宋_GB2312" w:eastAsia="仿宋_GB2312"/>
          <w:sz w:val="32"/>
          <w:szCs w:val="32"/>
        </w:rPr>
        <w:t>主要原因是受新冠疫情影响增加公务用车使用量。</w:t>
      </w:r>
      <w:r>
        <w:rPr>
          <w:rFonts w:ascii="仿宋" w:hAnsi="仿宋" w:eastAsia="仿宋"/>
          <w:color w:val="FF0000"/>
          <w:kern w:val="2"/>
          <w:sz w:val="32"/>
          <w:szCs w:val="32"/>
        </w:rPr>
        <w:br w:type="textWrapping"/>
      </w:r>
      <w:r>
        <w:rPr>
          <w:rFonts w:hint="eastAsia" w:ascii="仿宋" w:hAnsi="仿宋" w:eastAsia="仿宋"/>
          <w:color w:val="FF0000"/>
          <w:kern w:val="2"/>
          <w:sz w:val="32"/>
          <w:szCs w:val="32"/>
        </w:rPr>
        <w:t xml:space="preserve">    </w:t>
      </w:r>
      <w:r>
        <w:rPr>
          <w:rFonts w:ascii="仿宋" w:hAnsi="仿宋" w:eastAsia="仿宋"/>
          <w:kern w:val="2"/>
          <w:sz w:val="32"/>
          <w:szCs w:val="32"/>
        </w:rPr>
        <w:t>其中：公务用车购置支出0万元。全年按规定更新购置公务用车0辆，其中：轿车0辆、金额0万元，越野车0辆、金额0万元，载客汽车0辆、金额0万元。截至202</w:t>
      </w:r>
      <w:r>
        <w:rPr>
          <w:rFonts w:hint="eastAsia" w:ascii="仿宋" w:hAnsi="仿宋" w:eastAsia="仿宋"/>
          <w:kern w:val="2"/>
          <w:sz w:val="32"/>
          <w:szCs w:val="32"/>
        </w:rPr>
        <w:t>2</w:t>
      </w:r>
      <w:r>
        <w:rPr>
          <w:rFonts w:ascii="仿宋" w:hAnsi="仿宋" w:eastAsia="仿宋"/>
          <w:kern w:val="2"/>
          <w:sz w:val="32"/>
          <w:szCs w:val="32"/>
        </w:rPr>
        <w:t>年12月底，</w:t>
      </w:r>
      <w:r>
        <w:rPr>
          <w:rFonts w:hint="eastAsia" w:ascii="仿宋" w:hAnsi="仿宋" w:eastAsia="仿宋"/>
          <w:kern w:val="2"/>
          <w:sz w:val="32"/>
          <w:szCs w:val="32"/>
        </w:rPr>
        <w:t>部门</w:t>
      </w:r>
      <w:r>
        <w:rPr>
          <w:rFonts w:ascii="仿宋" w:hAnsi="仿宋" w:eastAsia="仿宋"/>
          <w:kern w:val="2"/>
          <w:sz w:val="32"/>
          <w:szCs w:val="32"/>
        </w:rPr>
        <w:t>共有公务用车8辆，其中：轿车0辆、越野车4辆、载客汽车2辆。</w:t>
      </w:r>
      <w:r>
        <w:rPr>
          <w:rFonts w:ascii="仿宋" w:hAnsi="仿宋" w:eastAsia="仿宋"/>
          <w:kern w:val="2"/>
          <w:sz w:val="32"/>
          <w:szCs w:val="32"/>
        </w:rPr>
        <w:br w:type="textWrapping"/>
      </w:r>
      <w:r>
        <w:rPr>
          <w:rFonts w:hint="eastAsia" w:ascii="仿宋" w:hAnsi="仿宋" w:eastAsia="仿宋"/>
          <w:kern w:val="2"/>
          <w:sz w:val="32"/>
          <w:szCs w:val="32"/>
        </w:rPr>
        <w:t xml:space="preserve">    </w:t>
      </w:r>
      <w:r>
        <w:rPr>
          <w:rFonts w:ascii="仿宋" w:hAnsi="仿宋" w:eastAsia="仿宋"/>
          <w:kern w:val="2"/>
          <w:sz w:val="32"/>
          <w:szCs w:val="32"/>
        </w:rPr>
        <w:t>公务用车运行维护费支出13.19万元</w:t>
      </w:r>
      <w:r>
        <w:rPr>
          <w:rFonts w:hint="eastAsia" w:ascii="仿宋" w:hAnsi="仿宋" w:eastAsia="仿宋"/>
          <w:kern w:val="2"/>
          <w:sz w:val="32"/>
          <w:szCs w:val="32"/>
        </w:rPr>
        <w:t>。</w:t>
      </w:r>
      <w:r>
        <w:rPr>
          <w:rFonts w:hint="eastAsia" w:ascii="仿宋_GB2312" w:eastAsia="仿宋_GB2312"/>
          <w:sz w:val="32"/>
          <w:szCs w:val="32"/>
        </w:rPr>
        <w:t>主要用于卫生监督巡查、卫生应急处置、传染病监测、样本运输、工作督导、健康教育宣传、基本公共卫生服务等所需的公务用车燃料费、维修费、过路过桥费、保险费等支出。</w:t>
      </w:r>
    </w:p>
    <w:p>
      <w:pPr>
        <w:pStyle w:val="25"/>
        <w:spacing w:before="0" w:beforeAutospacing="0" w:after="0" w:afterAutospacing="0" w:line="600" w:lineRule="exact"/>
        <w:ind w:firstLine="640"/>
        <w:jc w:val="both"/>
        <w:rPr>
          <w:rFonts w:ascii="黑体" w:eastAsia="黑体"/>
          <w:sz w:val="32"/>
          <w:szCs w:val="32"/>
        </w:rPr>
      </w:pPr>
      <w:r>
        <w:rPr>
          <w:rFonts w:hint="eastAsia" w:ascii="仿宋" w:hAnsi="仿宋" w:eastAsia="仿宋"/>
          <w:kern w:val="2"/>
          <w:sz w:val="32"/>
          <w:szCs w:val="32"/>
        </w:rPr>
        <w:t>3.公务接待费支出0.18万元</w:t>
      </w:r>
      <w:r>
        <w:rPr>
          <w:rFonts w:ascii="仿宋" w:hAnsi="仿宋" w:eastAsia="仿宋"/>
          <w:kern w:val="2"/>
          <w:sz w:val="32"/>
          <w:szCs w:val="32"/>
        </w:rPr>
        <w:t>，完成预算</w:t>
      </w:r>
      <w:r>
        <w:rPr>
          <w:rFonts w:hint="eastAsia" w:ascii="仿宋" w:hAnsi="仿宋" w:eastAsia="仿宋"/>
          <w:kern w:val="2"/>
          <w:sz w:val="32"/>
          <w:szCs w:val="32"/>
        </w:rPr>
        <w:t>10</w:t>
      </w:r>
      <w:r>
        <w:rPr>
          <w:rFonts w:ascii="仿宋" w:hAnsi="仿宋" w:eastAsia="仿宋"/>
          <w:kern w:val="2"/>
          <w:sz w:val="32"/>
          <w:szCs w:val="32"/>
        </w:rPr>
        <w:t>0%。公务接待费支出决算</w:t>
      </w:r>
      <w:r>
        <w:rPr>
          <w:rFonts w:hint="eastAsia" w:ascii="仿宋" w:hAnsi="仿宋" w:eastAsia="仿宋"/>
          <w:kern w:val="2"/>
          <w:sz w:val="32"/>
          <w:szCs w:val="32"/>
        </w:rPr>
        <w:t>比</w:t>
      </w:r>
      <w:r>
        <w:rPr>
          <w:rFonts w:ascii="仿宋" w:hAnsi="仿宋" w:eastAsia="仿宋"/>
          <w:kern w:val="2"/>
          <w:sz w:val="32"/>
          <w:szCs w:val="32"/>
        </w:rPr>
        <w:t>202</w:t>
      </w:r>
      <w:r>
        <w:rPr>
          <w:rFonts w:hint="eastAsia" w:ascii="仿宋" w:hAnsi="仿宋" w:eastAsia="仿宋"/>
          <w:kern w:val="2"/>
          <w:sz w:val="32"/>
          <w:szCs w:val="32"/>
        </w:rPr>
        <w:t>1</w:t>
      </w:r>
      <w:r>
        <w:rPr>
          <w:rFonts w:ascii="仿宋" w:hAnsi="仿宋" w:eastAsia="仿宋"/>
          <w:kern w:val="2"/>
          <w:sz w:val="32"/>
          <w:szCs w:val="32"/>
        </w:rPr>
        <w:t>年</w:t>
      </w:r>
      <w:r>
        <w:rPr>
          <w:rFonts w:hint="eastAsia" w:ascii="仿宋" w:hAnsi="仿宋" w:eastAsia="仿宋"/>
          <w:kern w:val="2"/>
          <w:sz w:val="32"/>
          <w:szCs w:val="32"/>
        </w:rPr>
        <w:t>增加0.18万元，增长100%。主要原因是接待传染病信息报告管理评估检查等工作。其中</w:t>
      </w:r>
      <w:r>
        <w:rPr>
          <w:rFonts w:ascii="仿宋" w:hAnsi="仿宋" w:eastAsia="仿宋"/>
          <w:kern w:val="2"/>
          <w:sz w:val="32"/>
          <w:szCs w:val="32"/>
        </w:rPr>
        <w:t>：</w:t>
      </w:r>
      <w:r>
        <w:rPr>
          <w:rFonts w:ascii="仿宋" w:hAnsi="仿宋" w:eastAsia="仿宋"/>
          <w:kern w:val="2"/>
          <w:sz w:val="32"/>
          <w:szCs w:val="32"/>
        </w:rPr>
        <w:br w:type="textWrapping"/>
      </w:r>
      <w:r>
        <w:rPr>
          <w:rFonts w:hint="eastAsia" w:ascii="仿宋" w:hAnsi="仿宋" w:eastAsia="仿宋"/>
          <w:kern w:val="2"/>
          <w:sz w:val="32"/>
          <w:szCs w:val="32"/>
        </w:rPr>
        <w:t xml:space="preserve">    </w:t>
      </w:r>
      <w:r>
        <w:rPr>
          <w:rFonts w:ascii="仿宋" w:hAnsi="仿宋" w:eastAsia="仿宋"/>
          <w:kern w:val="2"/>
          <w:sz w:val="32"/>
          <w:szCs w:val="32"/>
        </w:rPr>
        <w:t>国内公务接待支出</w:t>
      </w:r>
      <w:r>
        <w:rPr>
          <w:rFonts w:hint="eastAsia" w:ascii="仿宋" w:hAnsi="仿宋" w:eastAsia="仿宋"/>
          <w:kern w:val="2"/>
          <w:sz w:val="32"/>
          <w:szCs w:val="32"/>
        </w:rPr>
        <w:t>0.18</w:t>
      </w:r>
      <w:r>
        <w:rPr>
          <w:rFonts w:ascii="仿宋" w:hAnsi="仿宋" w:eastAsia="仿宋"/>
          <w:kern w:val="2"/>
          <w:sz w:val="32"/>
          <w:szCs w:val="32"/>
        </w:rPr>
        <w:t>万元</w:t>
      </w:r>
      <w:r>
        <w:rPr>
          <w:rFonts w:hint="eastAsia" w:ascii="仿宋" w:hAnsi="仿宋" w:eastAsia="仿宋"/>
          <w:kern w:val="2"/>
          <w:sz w:val="32"/>
          <w:szCs w:val="32"/>
        </w:rPr>
        <w:t>，主要用于接待传染病信息报告管理评估工作和米易县卫健局交叉检查用餐费</w:t>
      </w:r>
      <w:r>
        <w:rPr>
          <w:rFonts w:ascii="仿宋" w:hAnsi="仿宋" w:eastAsia="仿宋"/>
          <w:kern w:val="2"/>
          <w:sz w:val="32"/>
          <w:szCs w:val="32"/>
        </w:rPr>
        <w:t>。国内公务接待</w:t>
      </w:r>
      <w:r>
        <w:rPr>
          <w:rFonts w:hint="eastAsia" w:ascii="仿宋" w:hAnsi="仿宋" w:eastAsia="仿宋"/>
          <w:kern w:val="2"/>
          <w:sz w:val="32"/>
          <w:szCs w:val="32"/>
        </w:rPr>
        <w:t>2</w:t>
      </w:r>
      <w:r>
        <w:rPr>
          <w:rFonts w:ascii="仿宋" w:hAnsi="仿宋" w:eastAsia="仿宋"/>
          <w:kern w:val="2"/>
          <w:sz w:val="32"/>
          <w:szCs w:val="32"/>
        </w:rPr>
        <w:t>批次，</w:t>
      </w:r>
      <w:r>
        <w:rPr>
          <w:rFonts w:hint="eastAsia" w:ascii="仿宋" w:hAnsi="仿宋" w:eastAsia="仿宋"/>
          <w:kern w:val="2"/>
          <w:sz w:val="32"/>
          <w:szCs w:val="32"/>
        </w:rPr>
        <w:t>19</w:t>
      </w:r>
      <w:r>
        <w:rPr>
          <w:rFonts w:ascii="仿宋" w:hAnsi="仿宋" w:eastAsia="仿宋"/>
          <w:kern w:val="2"/>
          <w:sz w:val="32"/>
          <w:szCs w:val="32"/>
        </w:rPr>
        <w:t>人次（不包括陪同人员），共计支出0</w:t>
      </w:r>
      <w:r>
        <w:rPr>
          <w:rFonts w:hint="eastAsia" w:ascii="仿宋" w:hAnsi="仿宋" w:eastAsia="仿宋"/>
          <w:kern w:val="2"/>
          <w:sz w:val="32"/>
          <w:szCs w:val="32"/>
        </w:rPr>
        <w:t>.18</w:t>
      </w:r>
      <w:r>
        <w:rPr>
          <w:rFonts w:ascii="仿宋" w:hAnsi="仿宋" w:eastAsia="仿宋"/>
          <w:kern w:val="2"/>
          <w:sz w:val="32"/>
          <w:szCs w:val="32"/>
        </w:rPr>
        <w:t>万元。</w:t>
      </w:r>
      <w:r>
        <w:rPr>
          <w:rFonts w:ascii="仿宋" w:hAnsi="仿宋" w:eastAsia="仿宋"/>
          <w:kern w:val="2"/>
          <w:sz w:val="32"/>
          <w:szCs w:val="32"/>
        </w:rPr>
        <w:br w:type="textWrapping"/>
      </w:r>
      <w:r>
        <w:rPr>
          <w:rFonts w:hint="eastAsia" w:ascii="仿宋" w:hAnsi="仿宋" w:eastAsia="仿宋"/>
          <w:kern w:val="2"/>
          <w:sz w:val="32"/>
          <w:szCs w:val="32"/>
        </w:rPr>
        <w:t xml:space="preserve">    </w:t>
      </w:r>
      <w:r>
        <w:rPr>
          <w:rFonts w:ascii="仿宋" w:hAnsi="仿宋" w:eastAsia="仿宋"/>
          <w:kern w:val="2"/>
          <w:sz w:val="32"/>
          <w:szCs w:val="32"/>
        </w:rPr>
        <w:t>外事接待支出0万元，外事接待0批次，0人次（不包括陪同人员），共计支出0万元。</w:t>
      </w:r>
      <w:r>
        <w:rPr>
          <w:rFonts w:hint="eastAsia" w:ascii="仿宋" w:hAnsi="仿宋" w:eastAsia="仿宋"/>
          <w:kern w:val="2"/>
          <w:sz w:val="32"/>
          <w:szCs w:val="32"/>
        </w:rPr>
        <w:t xml:space="preserve"> </w:t>
      </w:r>
      <w:bookmarkStart w:id="35" w:name="_Toc15396610"/>
      <w:bookmarkStart w:id="36" w:name="_Toc15377218"/>
    </w:p>
    <w:p>
      <w:pPr>
        <w:spacing w:line="600" w:lineRule="exact"/>
        <w:ind w:firstLine="640"/>
        <w:outlineLvl w:val="1"/>
        <w:rPr>
          <w:rStyle w:val="20"/>
          <w:rFonts w:ascii="黑体" w:hAnsi="黑体" w:eastAsia="黑体"/>
        </w:rPr>
      </w:pPr>
      <w:r>
        <w:rPr>
          <w:rFonts w:hint="eastAsia" w:ascii="黑体" w:eastAsia="黑体"/>
          <w:sz w:val="32"/>
          <w:szCs w:val="32"/>
        </w:rPr>
        <w:t>八、</w:t>
      </w:r>
      <w:r>
        <w:rPr>
          <w:rStyle w:val="20"/>
          <w:rFonts w:hint="eastAsia" w:ascii="黑体" w:hAnsi="黑体" w:eastAsia="黑体"/>
        </w:rPr>
        <w:t>政府性基金预算支出决算情况说明</w:t>
      </w:r>
      <w:bookmarkEnd w:id="35"/>
      <w:bookmarkEnd w:id="3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3"/>
        </w:numPr>
        <w:spacing w:line="600" w:lineRule="exact"/>
        <w:ind w:firstLine="640"/>
        <w:outlineLvl w:val="1"/>
        <w:rPr>
          <w:rStyle w:val="20"/>
          <w:rFonts w:ascii="黑体" w:hAnsi="黑体" w:eastAsia="黑体"/>
          <w:b w:val="0"/>
        </w:rPr>
      </w:pPr>
      <w:bookmarkStart w:id="37" w:name="_Toc15377219"/>
      <w:bookmarkStart w:id="38" w:name="_Toc15396611"/>
      <w:r>
        <w:rPr>
          <w:rStyle w:val="20"/>
          <w:rFonts w:hint="eastAsia" w:ascii="黑体" w:hAnsi="黑体" w:eastAsia="黑体"/>
        </w:rPr>
        <w:t>国有资本经营预算支出决算情况说明</w:t>
      </w:r>
      <w:bookmarkEnd w:id="37"/>
      <w:bookmarkEnd w:id="38"/>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4"/>
        </w:numPr>
        <w:spacing w:line="600" w:lineRule="exact"/>
        <w:ind w:firstLine="640"/>
        <w:outlineLvl w:val="1"/>
        <w:rPr>
          <w:rStyle w:val="20"/>
          <w:rFonts w:ascii="黑体" w:hAnsi="黑体" w:eastAsia="黑体"/>
          <w:b w:val="0"/>
        </w:rPr>
      </w:pPr>
      <w:bookmarkStart w:id="39" w:name="_Toc15377221"/>
      <w:bookmarkStart w:id="40" w:name="_Toc15396612"/>
      <w:r>
        <w:rPr>
          <w:rStyle w:val="20"/>
          <w:rFonts w:hint="eastAsia" w:ascii="黑体" w:hAnsi="黑体" w:eastAsia="黑体"/>
        </w:rPr>
        <w:t>其他重要事项的情况说明</w:t>
      </w:r>
      <w:bookmarkEnd w:id="39"/>
      <w:bookmarkEnd w:id="40"/>
    </w:p>
    <w:p>
      <w:pPr>
        <w:spacing w:line="600" w:lineRule="exact"/>
        <w:ind w:firstLine="643" w:firstLineChars="200"/>
        <w:outlineLvl w:val="2"/>
        <w:rPr>
          <w:rFonts w:ascii="楷体" w:hAnsi="楷体" w:eastAsia="楷体"/>
        </w:rPr>
      </w:pPr>
      <w:bookmarkStart w:id="41" w:name="_Toc15377222"/>
      <w:r>
        <w:rPr>
          <w:rFonts w:hint="eastAsia" w:ascii="楷体" w:hAnsi="楷体" w:eastAsia="楷体"/>
          <w:b/>
          <w:sz w:val="32"/>
          <w:szCs w:val="32"/>
        </w:rPr>
        <w:t>（一）机关运行经费支出情况</w:t>
      </w:r>
      <w:bookmarkEnd w:id="41"/>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2</w:t>
      </w:r>
      <w:r>
        <w:rPr>
          <w:rFonts w:hint="eastAsia" w:ascii="仿宋_GB2312" w:hAnsi="仿宋" w:eastAsia="仿宋_GB2312"/>
          <w:sz w:val="32"/>
          <w:szCs w:val="32"/>
        </w:rPr>
        <w:t>年，西区卫生健康局及所属二级单位机关运行经费支出</w:t>
      </w:r>
      <w:r>
        <w:rPr>
          <w:rFonts w:ascii="仿宋_GB2312" w:hAnsi="仿宋" w:eastAsia="仿宋_GB2312"/>
          <w:sz w:val="32"/>
          <w:szCs w:val="32"/>
        </w:rPr>
        <w:t>30.49</w:t>
      </w:r>
      <w:r>
        <w:rPr>
          <w:rFonts w:hint="eastAsia" w:ascii="仿宋_GB2312" w:hAnsi="仿宋" w:eastAsia="仿宋_GB2312"/>
          <w:sz w:val="32"/>
          <w:szCs w:val="32"/>
        </w:rPr>
        <w:t>万元，比202</w:t>
      </w:r>
      <w:r>
        <w:rPr>
          <w:rFonts w:ascii="仿宋_GB2312" w:hAnsi="仿宋" w:eastAsia="仿宋_GB2312"/>
          <w:sz w:val="32"/>
          <w:szCs w:val="32"/>
        </w:rPr>
        <w:t>1</w:t>
      </w:r>
      <w:r>
        <w:rPr>
          <w:rFonts w:hint="eastAsia" w:ascii="仿宋_GB2312" w:hAnsi="仿宋" w:eastAsia="仿宋_GB2312"/>
          <w:sz w:val="32"/>
          <w:szCs w:val="32"/>
        </w:rPr>
        <w:t>年减少2</w:t>
      </w:r>
      <w:r>
        <w:rPr>
          <w:rFonts w:ascii="仿宋_GB2312" w:hAnsi="仿宋" w:eastAsia="仿宋_GB2312"/>
          <w:sz w:val="32"/>
          <w:szCs w:val="32"/>
        </w:rPr>
        <w:t>0.66</w:t>
      </w:r>
      <w:r>
        <w:rPr>
          <w:rFonts w:hint="eastAsia" w:ascii="仿宋_GB2312" w:hAnsi="仿宋" w:eastAsia="仿宋_GB2312"/>
          <w:sz w:val="32"/>
          <w:szCs w:val="32"/>
        </w:rPr>
        <w:t>万元，下降4</w:t>
      </w:r>
      <w:r>
        <w:rPr>
          <w:rFonts w:ascii="仿宋_GB2312" w:hAnsi="仿宋" w:eastAsia="仿宋_GB2312"/>
          <w:sz w:val="32"/>
          <w:szCs w:val="32"/>
        </w:rPr>
        <w:t>0.39</w:t>
      </w:r>
      <w:r>
        <w:rPr>
          <w:rFonts w:hint="eastAsia" w:ascii="仿宋_GB2312" w:hAnsi="仿宋" w:eastAsia="仿宋_GB2312"/>
          <w:sz w:val="32"/>
          <w:szCs w:val="32"/>
        </w:rPr>
        <w:t>%。主要原因是</w:t>
      </w:r>
      <w:r>
        <w:rPr>
          <w:rFonts w:hint="eastAsia" w:ascii="仿宋_GB2312" w:eastAsia="仿宋_GB2312"/>
          <w:sz w:val="32"/>
          <w:szCs w:val="32"/>
        </w:rPr>
        <w:t>按照节约机关运行成本要求，办公费、邮电费、差旅费、福利费、公务交通补贴等均减少</w:t>
      </w:r>
      <w:r>
        <w:rPr>
          <w:rFonts w:hint="eastAsia" w:ascii="仿宋_GB2312" w:hAnsi="仿宋" w:eastAsia="仿宋_GB2312"/>
          <w:sz w:val="32"/>
          <w:szCs w:val="32"/>
        </w:rPr>
        <w:t>。</w:t>
      </w:r>
    </w:p>
    <w:p>
      <w:pPr>
        <w:autoSpaceDE w:val="0"/>
        <w:autoSpaceDN w:val="0"/>
        <w:adjustRightInd w:val="0"/>
        <w:spacing w:line="600" w:lineRule="exact"/>
        <w:ind w:firstLine="643" w:firstLineChars="200"/>
        <w:jc w:val="left"/>
        <w:outlineLvl w:val="2"/>
        <w:rPr>
          <w:rFonts w:ascii="楷体" w:hAnsi="楷体" w:eastAsia="楷体"/>
          <w:b/>
          <w:sz w:val="32"/>
          <w:szCs w:val="32"/>
        </w:rPr>
      </w:pPr>
      <w:bookmarkStart w:id="42" w:name="_Toc15377223"/>
      <w:r>
        <w:rPr>
          <w:rFonts w:hint="eastAsia" w:ascii="楷体" w:hAnsi="楷体" w:eastAsia="楷体"/>
          <w:b/>
          <w:sz w:val="32"/>
          <w:szCs w:val="32"/>
        </w:rPr>
        <w:t>（二）政府采购支出情况</w:t>
      </w:r>
      <w:bookmarkEnd w:id="42"/>
    </w:p>
    <w:p>
      <w:pPr>
        <w:spacing w:line="600" w:lineRule="exact"/>
        <w:ind w:firstLine="640" w:firstLineChars="200"/>
        <w:rPr>
          <w:rFonts w:ascii="仿宋_GB2312"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2</w:t>
      </w:r>
      <w:r>
        <w:rPr>
          <w:rFonts w:hint="eastAsia" w:ascii="仿宋_GB2312" w:hAnsi="仿宋" w:eastAsia="仿宋_GB2312"/>
          <w:sz w:val="32"/>
          <w:szCs w:val="32"/>
        </w:rPr>
        <w:t>年，西区卫生健康局及所属二级单位</w:t>
      </w:r>
      <w:r>
        <w:rPr>
          <w:rFonts w:hint="eastAsia" w:ascii="仿宋_GB2312" w:eastAsia="仿宋_GB2312"/>
          <w:sz w:val="32"/>
          <w:szCs w:val="32"/>
        </w:rPr>
        <w:t>政府采购支出总额</w:t>
      </w:r>
      <w:r>
        <w:rPr>
          <w:rFonts w:ascii="仿宋_GB2312" w:eastAsia="仿宋_GB2312"/>
          <w:sz w:val="32"/>
          <w:szCs w:val="32"/>
        </w:rPr>
        <w:t>199.12</w:t>
      </w:r>
      <w:r>
        <w:rPr>
          <w:rFonts w:hint="eastAsia" w:ascii="仿宋_GB2312" w:eastAsia="仿宋_GB2312"/>
          <w:sz w:val="32"/>
          <w:szCs w:val="32"/>
        </w:rPr>
        <w:t>万元，其中：政府采购货物支出</w:t>
      </w:r>
      <w:r>
        <w:rPr>
          <w:rFonts w:ascii="仿宋_GB2312" w:eastAsia="仿宋_GB2312"/>
          <w:sz w:val="32"/>
          <w:szCs w:val="32"/>
        </w:rPr>
        <w:t>199.12</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万元。授予中小企业合同金额</w:t>
      </w:r>
      <w:r>
        <w:rPr>
          <w:rFonts w:ascii="仿宋_GB2312" w:eastAsia="仿宋_GB2312"/>
          <w:sz w:val="32"/>
          <w:szCs w:val="32"/>
        </w:rPr>
        <w:t>199.12</w:t>
      </w:r>
      <w:r>
        <w:rPr>
          <w:rFonts w:hint="eastAsia" w:ascii="仿宋_GB2312" w:eastAsia="仿宋_GB2312"/>
          <w:sz w:val="32"/>
          <w:szCs w:val="32"/>
        </w:rPr>
        <w:t>万元，占政府采购支出总额的1</w:t>
      </w:r>
      <w:r>
        <w:rPr>
          <w:rFonts w:ascii="仿宋_GB2312" w:eastAsia="仿宋_GB2312"/>
          <w:sz w:val="32"/>
          <w:szCs w:val="32"/>
        </w:rPr>
        <w:t>00%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楷体" w:hAnsi="楷体" w:eastAsia="楷体"/>
          <w:b/>
          <w:sz w:val="32"/>
          <w:szCs w:val="32"/>
        </w:rPr>
      </w:pPr>
      <w:bookmarkStart w:id="43" w:name="_Toc15377224"/>
      <w:r>
        <w:rPr>
          <w:rFonts w:hint="eastAsia" w:ascii="楷体" w:hAnsi="楷体" w:eastAsia="楷体"/>
          <w:b/>
          <w:sz w:val="32"/>
          <w:szCs w:val="32"/>
        </w:rPr>
        <w:t>（三）国有资产占有使用情况</w:t>
      </w:r>
      <w:bookmarkEnd w:id="43"/>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截至202</w:t>
      </w:r>
      <w:r>
        <w:rPr>
          <w:rFonts w:ascii="仿宋_GB2312" w:hAnsi="仿宋" w:eastAsia="仿宋_GB2312"/>
          <w:sz w:val="32"/>
          <w:szCs w:val="32"/>
        </w:rPr>
        <w:t>2</w:t>
      </w:r>
      <w:r>
        <w:rPr>
          <w:rFonts w:hint="eastAsia" w:ascii="仿宋_GB2312" w:hAnsi="仿宋" w:eastAsia="仿宋_GB2312"/>
          <w:sz w:val="32"/>
          <w:szCs w:val="32"/>
        </w:rPr>
        <w:t>年12月31日，西区卫生健康局及所属二级单位共有车辆8辆，其中：执勤执法用车3辆、特种专业技术用车4辆、其他用车1辆，其他用车主要是用于保障卫生应急处置、传染病监测、样本运输、工作督导、健康教育宣传、基本公共卫生服务等项目工作。单价50万元以上通用设备0台（套），单价100万元以上专用设备1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根据预算绩效管理要求，本部门在2022年度预算编制阶段，组织对计划生育服务等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个项目开展绩效监控。</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本部门整体（含部门预算项目）绩效自评报告、计划生育服务等专项预算项目绩效自评报告，其中，本部门整体（含部门预算项目）绩效自评得分为</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分，2022年</w:t>
      </w:r>
      <w:r>
        <w:rPr>
          <w:rFonts w:ascii="仿宋_GB2312" w:hAnsi="仿宋_GB2312" w:eastAsia="仿宋_GB2312" w:cs="仿宋_GB2312"/>
          <w:sz w:val="32"/>
          <w:szCs w:val="32"/>
        </w:rPr>
        <w:t>部门整体绩效评价报告</w:t>
      </w:r>
      <w:r>
        <w:rPr>
          <w:rFonts w:hint="eastAsia" w:ascii="仿宋_GB2312" w:hAnsi="仿宋_GB2312" w:eastAsia="仿宋_GB2312" w:cs="仿宋_GB2312"/>
          <w:sz w:val="32"/>
          <w:szCs w:val="32"/>
        </w:rPr>
        <w:t>详见附件。</w:t>
      </w:r>
    </w:p>
    <w:p>
      <w:pPr>
        <w:ind w:firstLine="420" w:firstLineChars="200"/>
      </w:pPr>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spacing w:line="600" w:lineRule="exact"/>
        <w:ind w:firstLine="663" w:firstLineChars="150"/>
        <w:jc w:val="center"/>
        <w:outlineLvl w:val="0"/>
        <w:rPr>
          <w:rStyle w:val="19"/>
          <w:rFonts w:ascii="黑体" w:hAnsi="黑体" w:eastAsia="黑体"/>
        </w:rPr>
      </w:pPr>
      <w:bookmarkStart w:id="44" w:name="_Toc15396613"/>
      <w:bookmarkStart w:id="45" w:name="_Toc15377225"/>
      <w:r>
        <w:rPr>
          <w:rStyle w:val="19"/>
          <w:rFonts w:hint="eastAsia" w:ascii="黑体" w:hAnsi="黑体" w:eastAsia="黑体"/>
        </w:rPr>
        <w:t>名词解释</w:t>
      </w:r>
      <w:bookmarkEnd w:id="44"/>
      <w:bookmarkEnd w:id="45"/>
    </w:p>
    <w:p>
      <w:pPr>
        <w:pStyle w:val="2"/>
      </w:pP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 xml:space="preserve">1.财政拨款收入：指单位从同级财政部门取得的财政预算资金。 </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2.行政事业性收费收入：指预防接种服务费等收入。</w:t>
      </w:r>
    </w:p>
    <w:p>
      <w:pPr>
        <w:pStyle w:val="26"/>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3.罚没收入：指医疗、公共卫生场所违规罚没收入。</w:t>
      </w:r>
    </w:p>
    <w:p>
      <w:pPr>
        <w:pStyle w:val="26"/>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4</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利息收入：指银行存款利息收入。</w:t>
      </w:r>
    </w:p>
    <w:p>
      <w:pPr>
        <w:pStyle w:val="26"/>
        <w:spacing w:line="560" w:lineRule="exact"/>
        <w:ind w:firstLine="640" w:firstLineChars="200"/>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5</w:t>
      </w:r>
      <w:r>
        <w:rPr>
          <w:rFonts w:ascii="仿宋_GB2312" w:hAnsi="仿宋" w:eastAsia="仿宋_GB2312" w:cs="Times New Roman"/>
          <w:color w:val="auto"/>
          <w:kern w:val="2"/>
          <w:sz w:val="32"/>
          <w:szCs w:val="32"/>
        </w:rPr>
        <w:t>.</w:t>
      </w:r>
      <w:r>
        <w:rPr>
          <w:rFonts w:hint="eastAsia" w:ascii="仿宋_GB2312" w:hAnsi="仿宋" w:eastAsia="仿宋_GB2312" w:cs="Times New Roman"/>
          <w:color w:val="auto"/>
          <w:kern w:val="2"/>
          <w:sz w:val="32"/>
          <w:szCs w:val="32"/>
        </w:rPr>
        <w:t>非经营性国有资产收入：指固定资产处置残值收入。</w:t>
      </w:r>
    </w:p>
    <w:p>
      <w:pPr>
        <w:spacing w:line="600" w:lineRule="exact"/>
        <w:ind w:firstLine="64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.行政运行：反映行政及参公单位的人员经费和公用经费支出。</w:t>
      </w:r>
    </w:p>
    <w:p>
      <w:pPr>
        <w:pStyle w:val="2"/>
        <w:spacing w:before="72"/>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w:t>
      </w:r>
      <w:r>
        <w:rPr>
          <w:rFonts w:hint="eastAsia" w:ascii="仿宋_GB2312" w:hAnsi="仿宋" w:eastAsia="仿宋_GB2312"/>
          <w:sz w:val="32"/>
          <w:szCs w:val="32"/>
        </w:rPr>
        <w:t>行政单位离退休：指行政单位退休人员退休费。</w:t>
      </w:r>
    </w:p>
    <w:p>
      <w:pPr>
        <w:pStyle w:val="2"/>
        <w:spacing w:before="72"/>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.事业单位离退休：指事业单位退休人员退休费。</w:t>
      </w:r>
    </w:p>
    <w:p>
      <w:pPr>
        <w:spacing w:line="600" w:lineRule="exact"/>
        <w:ind w:firstLine="640"/>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.机关事业单位基本养老保险缴费支出：指机关事业单位实施养老保险制度由单位缴纳的基本养老保险费支出。</w:t>
      </w:r>
    </w:p>
    <w:p>
      <w:pPr>
        <w:pStyle w:val="2"/>
        <w:spacing w:before="72"/>
        <w:ind w:firstLine="640" w:firstLineChars="200"/>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.机关事业单位职业年金缴费支出：反映机关事业单位实施养老保险制度由单位缴纳的基本养老保险费支出。</w:t>
      </w:r>
    </w:p>
    <w:p>
      <w:pPr>
        <w:pStyle w:val="2"/>
        <w:rPr>
          <w:rFonts w:ascii="仿宋_GB2312" w:hAnsi="仿宋" w:eastAsia="仿宋_GB2312"/>
          <w:sz w:val="32"/>
          <w:szCs w:val="32"/>
        </w:rPr>
      </w:pPr>
      <w:r>
        <w:rPr>
          <w:rFonts w:ascii="仿宋_GB2312" w:hAnsi="仿宋" w:eastAsia="仿宋_GB2312"/>
          <w:sz w:val="32"/>
          <w:szCs w:val="32"/>
        </w:rPr>
        <w:t xml:space="preserve">    11.</w:t>
      </w:r>
      <w:r>
        <w:rPr>
          <w:rFonts w:hint="eastAsia" w:ascii="仿宋_GB2312" w:hAnsi="仿宋" w:eastAsia="仿宋_GB2312"/>
          <w:sz w:val="32"/>
          <w:szCs w:val="32"/>
        </w:rPr>
        <w:t>死亡抚恤：指按规定开支的机关事业单位职工和离退休人员丧葬费和抚恤金。</w:t>
      </w:r>
    </w:p>
    <w:p>
      <w:pPr>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2</w:t>
      </w:r>
      <w:r>
        <w:rPr>
          <w:rFonts w:hint="eastAsia" w:ascii="仿宋_GB2312" w:hAnsi="仿宋" w:eastAsia="仿宋_GB2312"/>
          <w:sz w:val="32"/>
          <w:szCs w:val="32"/>
        </w:rPr>
        <w:t>.其他红十字事业支出：指用于红十字事业方面的支出。</w:t>
      </w:r>
    </w:p>
    <w:p>
      <w:pPr>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3</w:t>
      </w:r>
      <w:r>
        <w:rPr>
          <w:rFonts w:hint="eastAsia" w:ascii="仿宋_GB2312" w:hAnsi="仿宋" w:eastAsia="仿宋_GB2312"/>
          <w:sz w:val="32"/>
          <w:szCs w:val="32"/>
        </w:rPr>
        <w:t>.其他卫生健康管事事务支出：指公共卫生特别服务岗聘用人员经费支出。</w:t>
      </w:r>
    </w:p>
    <w:p>
      <w:pPr>
        <w:pStyle w:val="2"/>
        <w:spacing w:before="72"/>
        <w:ind w:firstLine="64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4</w:t>
      </w:r>
      <w:r>
        <w:rPr>
          <w:rFonts w:hint="eastAsia" w:ascii="仿宋_GB2312" w:hAnsi="仿宋" w:eastAsia="仿宋_GB2312"/>
          <w:sz w:val="32"/>
          <w:szCs w:val="32"/>
        </w:rPr>
        <w:t>.其他基层医疗卫生机构：指基药补助、从业人员健康体检经费。</w:t>
      </w:r>
    </w:p>
    <w:p>
      <w:pPr>
        <w:pStyle w:val="26"/>
        <w:spacing w:line="300" w:lineRule="auto"/>
        <w:ind w:firstLine="640" w:firstLineChars="200"/>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15</w:t>
      </w:r>
      <w:r>
        <w:rPr>
          <w:rFonts w:hint="eastAsia" w:ascii="仿宋_GB2312" w:hAnsi="仿宋" w:eastAsia="仿宋_GB2312" w:cs="Times New Roman"/>
          <w:color w:val="auto"/>
          <w:kern w:val="2"/>
          <w:sz w:val="32"/>
          <w:szCs w:val="32"/>
        </w:rPr>
        <w:t>.疾病预防控制机构：指反映疾病预防控制机构的支出。</w:t>
      </w:r>
    </w:p>
    <w:p>
      <w:pPr>
        <w:spacing w:line="600" w:lineRule="exact"/>
        <w:ind w:left="630" w:leftChars="300"/>
        <w:rPr>
          <w:rFonts w:ascii="仿宋_GB2312" w:hAnsi="仿宋" w:eastAsia="仿宋_GB2312"/>
          <w:sz w:val="32"/>
          <w:szCs w:val="32"/>
        </w:rPr>
      </w:pPr>
      <w:r>
        <w:rPr>
          <w:rFonts w:ascii="仿宋_GB2312" w:hAnsi="仿宋" w:eastAsia="仿宋_GB2312"/>
          <w:sz w:val="32"/>
          <w:szCs w:val="32"/>
        </w:rPr>
        <w:t>16</w:t>
      </w:r>
      <w:r>
        <w:rPr>
          <w:rFonts w:hint="eastAsia" w:ascii="仿宋_GB2312" w:hAnsi="仿宋" w:eastAsia="仿宋_GB2312"/>
          <w:sz w:val="32"/>
          <w:szCs w:val="32"/>
        </w:rPr>
        <w:t>.卫生监督机构：反映卫生监督机构的支出。</w:t>
      </w:r>
    </w:p>
    <w:p>
      <w:pPr>
        <w:pStyle w:val="2"/>
        <w:spacing w:before="72"/>
        <w:ind w:firstLine="640" w:firstLineChars="200"/>
        <w:jc w:val="left"/>
        <w:rPr>
          <w:rFonts w:ascii="仿宋_GB2312" w:hAnsi="仿宋" w:eastAsia="仿宋_GB2312"/>
          <w:sz w:val="32"/>
          <w:szCs w:val="32"/>
        </w:rPr>
      </w:pPr>
      <w:r>
        <w:rPr>
          <w:rFonts w:ascii="仿宋_GB2312" w:hAnsi="仿宋" w:eastAsia="仿宋_GB2312"/>
          <w:sz w:val="32"/>
          <w:szCs w:val="32"/>
        </w:rPr>
        <w:t>17</w:t>
      </w:r>
      <w:r>
        <w:rPr>
          <w:rFonts w:hint="eastAsia" w:ascii="仿宋_GB2312" w:hAnsi="仿宋" w:eastAsia="仿宋_GB2312"/>
          <w:sz w:val="32"/>
          <w:szCs w:val="32"/>
        </w:rPr>
        <w:t>.妇幼保健机构:反应卫生和计划生育部门所属妇幼保健机构支出。</w:t>
      </w:r>
    </w:p>
    <w:p>
      <w:pPr>
        <w:pStyle w:val="2"/>
        <w:spacing w:before="72"/>
        <w:ind w:firstLine="64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8</w:t>
      </w:r>
      <w:r>
        <w:rPr>
          <w:rFonts w:hint="eastAsia" w:ascii="仿宋_GB2312" w:hAnsi="仿宋" w:eastAsia="仿宋_GB2312"/>
          <w:sz w:val="32"/>
          <w:szCs w:val="32"/>
        </w:rPr>
        <w:t>.其他专业公共卫生机构：指公共卫生服务中心人员经费及公用经费。</w:t>
      </w:r>
    </w:p>
    <w:p>
      <w:pPr>
        <w:pStyle w:val="2"/>
        <w:spacing w:before="72"/>
        <w:ind w:firstLine="64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9</w:t>
      </w:r>
      <w:r>
        <w:rPr>
          <w:rFonts w:hint="eastAsia" w:ascii="仿宋_GB2312" w:hAnsi="仿宋" w:eastAsia="仿宋_GB2312"/>
          <w:sz w:val="32"/>
          <w:szCs w:val="32"/>
        </w:rPr>
        <w:t>.基本公共卫生服务：指基本公共卫生服务补助经费。</w:t>
      </w:r>
    </w:p>
    <w:p>
      <w:pPr>
        <w:pStyle w:val="2"/>
        <w:spacing w:before="72"/>
        <w:ind w:firstLine="640" w:firstLineChars="200"/>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rPr>
        <w:t>.重大公共卫生服务：指重大疾病预防控制等重大公共卫生服务项目支出。</w:t>
      </w:r>
    </w:p>
    <w:p>
      <w:pPr>
        <w:pStyle w:val="2"/>
        <w:spacing w:before="72"/>
        <w:ind w:firstLine="640" w:firstLineChars="200"/>
        <w:rPr>
          <w:rFonts w:ascii="仿宋_GB2312" w:hAnsi="仿宋" w:eastAsia="仿宋_GB2312"/>
          <w:sz w:val="32"/>
          <w:szCs w:val="32"/>
        </w:rPr>
      </w:pPr>
      <w:r>
        <w:rPr>
          <w:rFonts w:ascii="仿宋_GB2312" w:hAnsi="仿宋" w:eastAsia="仿宋_GB2312"/>
          <w:sz w:val="32"/>
          <w:szCs w:val="32"/>
        </w:rPr>
        <w:t>21</w:t>
      </w:r>
      <w:r>
        <w:rPr>
          <w:rFonts w:hint="eastAsia" w:ascii="仿宋_GB2312" w:hAnsi="仿宋" w:eastAsia="仿宋_GB2312"/>
          <w:sz w:val="32"/>
          <w:szCs w:val="32"/>
        </w:rPr>
        <w:t>.突发公共卫生事件应急处理：指2022年新冠肺炎疫情防控省级补助资金。</w:t>
      </w:r>
    </w:p>
    <w:p>
      <w:pPr>
        <w:pStyle w:val="2"/>
        <w:spacing w:before="72"/>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2</w:t>
      </w:r>
      <w:r>
        <w:rPr>
          <w:rFonts w:hint="eastAsia" w:ascii="仿宋_GB2312" w:hAnsi="仿宋" w:eastAsia="仿宋_GB2312"/>
          <w:sz w:val="32"/>
          <w:szCs w:val="32"/>
        </w:rPr>
        <w:t>.其他公共卫生支出：指公共区域病媒生物集中防制、爱国卫生等工作经费。</w:t>
      </w:r>
    </w:p>
    <w:p>
      <w:pPr>
        <w:pStyle w:val="2"/>
        <w:spacing w:before="72"/>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3</w:t>
      </w:r>
      <w:r>
        <w:rPr>
          <w:rFonts w:hint="eastAsia" w:ascii="仿宋_GB2312" w:hAnsi="仿宋" w:eastAsia="仿宋_GB2312"/>
          <w:sz w:val="32"/>
          <w:szCs w:val="32"/>
        </w:rPr>
        <w:t>.中医（民族医）药专项：指中医药传承，人员培训等工作经费。</w:t>
      </w:r>
    </w:p>
    <w:p>
      <w:pPr>
        <w:pStyle w:val="2"/>
        <w:spacing w:before="72"/>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4</w:t>
      </w:r>
      <w:r>
        <w:rPr>
          <w:rFonts w:hint="eastAsia" w:ascii="仿宋_GB2312" w:hAnsi="仿宋" w:eastAsia="仿宋_GB2312"/>
          <w:sz w:val="32"/>
          <w:szCs w:val="32"/>
        </w:rPr>
        <w:t>.计划生育服务：指计划生育特别扶助补助经费。</w:t>
      </w:r>
    </w:p>
    <w:p>
      <w:pPr>
        <w:pStyle w:val="2"/>
        <w:spacing w:before="72"/>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5</w:t>
      </w:r>
      <w:r>
        <w:rPr>
          <w:rFonts w:hint="eastAsia" w:ascii="仿宋_GB2312" w:hAnsi="仿宋" w:eastAsia="仿宋_GB2312"/>
          <w:sz w:val="32"/>
          <w:szCs w:val="32"/>
        </w:rPr>
        <w:t>.其他计划生育事务支出：指独生子女父母奖励经费、计划生育家庭特别扶助资金和计生专项资金。</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6.</w:t>
      </w:r>
      <w:r>
        <w:rPr>
          <w:rFonts w:hint="eastAsia" w:ascii="仿宋_GB2312" w:hAnsi="仿宋" w:eastAsia="仿宋_GB2312"/>
          <w:sz w:val="32"/>
          <w:szCs w:val="32"/>
        </w:rPr>
        <w:t>行政单位医疗：指为行政、参公单位职工缴纳的基本医疗保险（含生育保险）费。</w:t>
      </w:r>
    </w:p>
    <w:p>
      <w:pPr>
        <w:spacing w:line="600" w:lineRule="exact"/>
        <w:ind w:firstLine="640"/>
      </w:pPr>
      <w:r>
        <w:rPr>
          <w:rFonts w:hint="eastAsia" w:ascii="仿宋_GB2312" w:hAnsi="仿宋" w:eastAsia="仿宋_GB2312"/>
          <w:sz w:val="32"/>
          <w:szCs w:val="32"/>
        </w:rPr>
        <w:t>2</w:t>
      </w:r>
      <w:r>
        <w:rPr>
          <w:rFonts w:ascii="仿宋_GB2312" w:hAnsi="仿宋" w:eastAsia="仿宋_GB2312"/>
          <w:sz w:val="32"/>
          <w:szCs w:val="32"/>
        </w:rPr>
        <w:t>7.</w:t>
      </w:r>
      <w:r>
        <w:rPr>
          <w:rFonts w:hint="eastAsia" w:ascii="仿宋_GB2312" w:hAnsi="仿宋" w:eastAsia="仿宋_GB2312"/>
          <w:sz w:val="32"/>
          <w:szCs w:val="32"/>
        </w:rPr>
        <w:t>事业单位医疗：指为事业单位职工缴纳的基本医疗保险（含生育保险）费。</w:t>
      </w:r>
    </w:p>
    <w:p>
      <w:pPr>
        <w:pStyle w:val="2"/>
        <w:spacing w:before="72"/>
        <w:ind w:firstLine="640" w:firstLineChars="200"/>
        <w:rPr>
          <w:rFonts w:ascii="仿宋_GB2312" w:hAnsi="仿宋" w:eastAsia="仿宋_GB2312"/>
          <w:sz w:val="32"/>
          <w:szCs w:val="32"/>
        </w:rPr>
      </w:pPr>
      <w:r>
        <w:rPr>
          <w:rFonts w:ascii="仿宋_GB2312" w:hAnsi="仿宋" w:eastAsia="仿宋_GB2312"/>
          <w:sz w:val="32"/>
          <w:szCs w:val="32"/>
        </w:rPr>
        <w:t>28</w:t>
      </w:r>
      <w:r>
        <w:rPr>
          <w:rFonts w:hint="eastAsia" w:ascii="仿宋_GB2312" w:hAnsi="仿宋" w:eastAsia="仿宋_GB2312"/>
          <w:sz w:val="32"/>
          <w:szCs w:val="32"/>
        </w:rPr>
        <w:t>.公务员医疗补助：反映财政部门集中安排的公务员医疗补助经费。</w:t>
      </w:r>
    </w:p>
    <w:p>
      <w:pPr>
        <w:pStyle w:val="2"/>
        <w:spacing w:before="72"/>
        <w:ind w:firstLine="640" w:firstLineChars="200"/>
        <w:rPr>
          <w:rFonts w:ascii="仿宋_GB2312" w:hAnsi="仿宋" w:eastAsia="仿宋_GB2312"/>
          <w:sz w:val="32"/>
          <w:szCs w:val="32"/>
        </w:rPr>
      </w:pPr>
      <w:r>
        <w:rPr>
          <w:rFonts w:ascii="仿宋_GB2312" w:hAnsi="仿宋" w:eastAsia="仿宋_GB2312"/>
          <w:sz w:val="32"/>
          <w:szCs w:val="32"/>
        </w:rPr>
        <w:t>29.</w:t>
      </w:r>
      <w:r>
        <w:rPr>
          <w:rFonts w:hint="eastAsia" w:ascii="仿宋_GB2312" w:hAnsi="仿宋" w:eastAsia="仿宋_GB2312"/>
          <w:sz w:val="32"/>
          <w:szCs w:val="32"/>
        </w:rPr>
        <w:t>其他行政事业单位医疗支出：指事业在职补充公务员医疗补助。</w:t>
      </w:r>
    </w:p>
    <w:p>
      <w:pPr>
        <w:pStyle w:val="2"/>
        <w:spacing w:before="72"/>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其他卫生健康支出：指2022年医疗服务与保障能力提升中央、省级补助资金。</w:t>
      </w:r>
    </w:p>
    <w:p>
      <w:pPr>
        <w:spacing w:line="600" w:lineRule="exact"/>
        <w:ind w:firstLine="640"/>
        <w:rPr>
          <w:rFonts w:ascii="仿宋_GB2312" w:hAnsi="仿宋" w:eastAsia="仿宋_GB2312"/>
          <w:sz w:val="32"/>
          <w:szCs w:val="32"/>
        </w:rPr>
      </w:pPr>
      <w:r>
        <w:rPr>
          <w:rFonts w:ascii="仿宋_GB2312" w:hAnsi="仿宋" w:eastAsia="仿宋_GB2312"/>
          <w:sz w:val="32"/>
          <w:szCs w:val="32"/>
        </w:rPr>
        <w:t>31</w:t>
      </w:r>
      <w:r>
        <w:rPr>
          <w:rFonts w:hint="eastAsia" w:ascii="仿宋_GB2312" w:hAnsi="仿宋" w:eastAsia="仿宋_GB2312"/>
          <w:sz w:val="32"/>
          <w:szCs w:val="32"/>
        </w:rPr>
        <w:t>.住房公积金：指行政事业单位按人力资源和社会保障部、财政部规定的基本工资和津贴补贴以及规定比例为职工缴纳的住房公积金。</w:t>
      </w:r>
    </w:p>
    <w:p>
      <w:pPr>
        <w:spacing w:line="600" w:lineRule="exact"/>
        <w:ind w:firstLine="640"/>
        <w:rPr>
          <w:rFonts w:ascii="仿宋_GB2312" w:hAnsi="仿宋" w:eastAsia="仿宋_GB2312"/>
          <w:sz w:val="32"/>
          <w:szCs w:val="32"/>
        </w:rPr>
      </w:pPr>
      <w:r>
        <w:rPr>
          <w:rFonts w:ascii="仿宋_GB2312" w:hAnsi="仿宋" w:eastAsia="仿宋_GB2312"/>
          <w:sz w:val="32"/>
          <w:szCs w:val="32"/>
        </w:rPr>
        <w:t>32</w:t>
      </w:r>
      <w:r>
        <w:rPr>
          <w:rFonts w:hint="eastAsia" w:ascii="仿宋_GB2312" w:hAnsi="仿宋" w:eastAsia="仿宋_GB2312"/>
          <w:sz w:val="32"/>
          <w:szCs w:val="32"/>
        </w:rPr>
        <w:t>.基本支出：指为保障机构正常运转、完成日常工作任务而发生的人员支出和公用支出。</w:t>
      </w:r>
    </w:p>
    <w:p>
      <w:pPr>
        <w:spacing w:line="600" w:lineRule="exact"/>
        <w:ind w:firstLine="640"/>
        <w:rPr>
          <w:rFonts w:ascii="仿宋_GB2312" w:hAnsi="仿宋" w:eastAsia="仿宋_GB2312"/>
          <w:sz w:val="32"/>
          <w:szCs w:val="32"/>
        </w:rPr>
      </w:pPr>
      <w:r>
        <w:rPr>
          <w:rFonts w:ascii="仿宋_GB2312" w:hAnsi="仿宋" w:eastAsia="仿宋_GB2312"/>
          <w:sz w:val="32"/>
          <w:szCs w:val="32"/>
        </w:rPr>
        <w:t>33</w:t>
      </w:r>
      <w:r>
        <w:rPr>
          <w:rFonts w:hint="eastAsia" w:ascii="仿宋_GB2312" w:hAnsi="仿宋" w:eastAsia="仿宋_GB2312"/>
          <w:sz w:val="32"/>
          <w:szCs w:val="32"/>
        </w:rPr>
        <w:t xml:space="preserve">.项目支出：指在基本支出之外为完成特定行政任务和事业发展目标所发生的支出。 </w:t>
      </w:r>
    </w:p>
    <w:p>
      <w:pPr>
        <w:pStyle w:val="26"/>
        <w:spacing w:line="560" w:lineRule="exact"/>
        <w:ind w:firstLine="640" w:firstLineChars="200"/>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34</w:t>
      </w:r>
      <w:r>
        <w:rPr>
          <w:rFonts w:hint="eastAsia" w:ascii="仿宋_GB2312" w:hAnsi="仿宋" w:eastAsia="仿宋_GB2312" w:cs="Times New Roman"/>
          <w:color w:val="auto"/>
          <w:kern w:val="2"/>
          <w:sz w:val="32"/>
          <w:szCs w:val="32"/>
        </w:rPr>
        <w:t>.年末结转和结余：指单位按有关规定结转到下年或以后年度继续使用的资金。</w:t>
      </w:r>
    </w:p>
    <w:p>
      <w:pPr>
        <w:pStyle w:val="26"/>
        <w:spacing w:line="560" w:lineRule="exact"/>
        <w:ind w:firstLine="640" w:firstLineChars="200"/>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35</w:t>
      </w:r>
      <w:r>
        <w:rPr>
          <w:rFonts w:hint="eastAsia" w:ascii="仿宋_GB2312" w:hAnsi="仿宋" w:eastAsia="仿宋_GB2312" w:cs="Times New Roman"/>
          <w:color w:val="auto"/>
          <w:kern w:val="2"/>
          <w:sz w:val="32"/>
          <w:szCs w:val="32"/>
        </w:rPr>
        <w:t>.结余分配：指事业单位按照会计制度规定缴纳的所得税、提取的专用结余以及转入非财政拨款结余的金额等。</w:t>
      </w:r>
    </w:p>
    <w:p>
      <w:pPr>
        <w:spacing w:line="600" w:lineRule="exact"/>
        <w:ind w:firstLine="640"/>
        <w:rPr>
          <w:rFonts w:ascii="仿宋_GB2312" w:hAnsi="仿宋" w:eastAsia="仿宋_GB2312"/>
          <w:sz w:val="32"/>
          <w:szCs w:val="32"/>
        </w:rPr>
      </w:pPr>
      <w:r>
        <w:rPr>
          <w:rFonts w:ascii="仿宋_GB2312" w:hAnsi="仿宋" w:eastAsia="仿宋_GB2312"/>
          <w:sz w:val="32"/>
          <w:szCs w:val="32"/>
        </w:rPr>
        <w:t>36</w:t>
      </w:r>
      <w:r>
        <w:rPr>
          <w:rFonts w:hint="eastAsia" w:ascii="仿宋_GB2312" w:hAnsi="仿宋" w:eastAsia="仿宋_GB2312"/>
          <w:sz w:val="32"/>
          <w:szCs w:val="32"/>
        </w:rPr>
        <w:t>.年初结转和结余：指以前年度尚未完成、结转到本年按有关规定继续使用的资金。</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7</w:t>
      </w:r>
      <w:r>
        <w:rPr>
          <w:rFonts w:hint="eastAsia" w:ascii="仿宋_GB2312" w:hAnsi="仿宋" w:eastAsia="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8</w:t>
      </w:r>
      <w:r>
        <w:rPr>
          <w:rFonts w:hint="eastAsia" w:ascii="仿宋_GB2312" w:hAnsi="仿宋"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pPr>
    </w:p>
    <w:p>
      <w:pPr>
        <w:pStyle w:val="2"/>
      </w:pPr>
    </w:p>
    <w:p>
      <w:pPr>
        <w:pStyle w:val="2"/>
      </w:pPr>
    </w:p>
    <w:p>
      <w:pPr>
        <w:pStyle w:val="2"/>
      </w:pPr>
    </w:p>
    <w:p>
      <w:pPr>
        <w:pStyle w:val="2"/>
      </w:pPr>
    </w:p>
    <w:p>
      <w:pPr>
        <w:spacing w:line="600" w:lineRule="exact"/>
        <w:jc w:val="center"/>
        <w:outlineLvl w:val="0"/>
        <w:rPr>
          <w:rStyle w:val="19"/>
          <w:rFonts w:ascii="黑体" w:hAnsi="黑体" w:eastAsia="黑体"/>
        </w:rPr>
      </w:pPr>
      <w:bookmarkStart w:id="46" w:name="_Toc15396614"/>
      <w:r>
        <w:rPr>
          <w:rStyle w:val="19"/>
          <w:rFonts w:hint="eastAsia" w:ascii="黑体" w:hAnsi="黑体" w:eastAsia="黑体"/>
        </w:rPr>
        <w:t>第四部分 附件</w:t>
      </w:r>
      <w:bookmarkEnd w:id="46"/>
    </w:p>
    <w:p>
      <w:pPr>
        <w:pStyle w:val="2"/>
      </w:pPr>
    </w:p>
    <w:p>
      <w:pPr>
        <w:widowControl/>
        <w:numPr>
          <w:ilvl w:val="0"/>
          <w:numId w:val="6"/>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pStyle w:val="21"/>
        <w:widowControl/>
        <w:numPr>
          <w:ilvl w:val="0"/>
          <w:numId w:val="7"/>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widowControl/>
        <w:adjustRightInd w:val="0"/>
        <w:snapToGrid w:val="0"/>
        <w:spacing w:line="580" w:lineRule="exact"/>
        <w:ind w:firstLine="420" w:firstLineChars="200"/>
        <w:jc w:val="left"/>
        <w:rPr>
          <w:rFonts w:ascii="仿宋_GB2312" w:eastAsia="仿宋_GB2312"/>
          <w:spacing w:val="-4"/>
          <w:sz w:val="32"/>
          <w:szCs w:val="32"/>
        </w:rPr>
      </w:pPr>
      <w:r>
        <w:rPr>
          <w:rFonts w:hint="eastAsia"/>
        </w:rPr>
        <w:t xml:space="preserve"> </w:t>
      </w:r>
      <w:r>
        <w:t xml:space="preserve">   </w:t>
      </w:r>
      <w:r>
        <w:rPr>
          <w:rFonts w:hint="eastAsia" w:ascii="仿宋_GB2312" w:eastAsia="仿宋_GB2312"/>
          <w:spacing w:val="-4"/>
          <w:sz w:val="32"/>
          <w:szCs w:val="32"/>
        </w:rPr>
        <w:t>攀枝花市西区卫生健康局机关内设办公室、医政医管与职业健康股、</w:t>
      </w:r>
      <w:r>
        <w:rPr>
          <w:rFonts w:hint="eastAsia" w:ascii="仿宋_GB2312" w:eastAsia="仿宋_GB2312"/>
          <w:color w:val="000000"/>
          <w:sz w:val="32"/>
          <w:szCs w:val="32"/>
        </w:rPr>
        <w:t>信息统计与家庭发展股（区爱国卫生运动委员会办公室）、疾病预防控制股（区重大传染病防治工作委员会办公室）、基层卫生健康股（区深化医药卫生体制改革领导小组办公室）</w:t>
      </w:r>
      <w:r>
        <w:rPr>
          <w:rFonts w:hint="eastAsia" w:ascii="仿宋_GB2312" w:eastAsia="仿宋_GB2312"/>
          <w:spacing w:val="-4"/>
          <w:sz w:val="32"/>
          <w:szCs w:val="32"/>
        </w:rPr>
        <w:t>5个机构。</w:t>
      </w:r>
    </w:p>
    <w:p>
      <w:pPr>
        <w:pStyle w:val="2"/>
        <w:adjustRightInd w:val="0"/>
        <w:snapToGrid w:val="0"/>
        <w:spacing w:before="93" w:line="600" w:lineRule="exact"/>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攀枝花市西区红十字会、攀枝花市西区计划生育协会、攀枝花市西区老龄健康服务中心</w:t>
      </w:r>
      <w:r>
        <w:rPr>
          <w:rFonts w:ascii="仿宋_GB2312" w:eastAsia="仿宋_GB2312"/>
          <w:color w:val="000000"/>
          <w:sz w:val="32"/>
          <w:szCs w:val="32"/>
        </w:rPr>
        <w:t>3</w:t>
      </w:r>
      <w:r>
        <w:rPr>
          <w:rFonts w:hint="eastAsia" w:ascii="仿宋_GB2312" w:eastAsia="仿宋_GB2312"/>
          <w:color w:val="000000"/>
          <w:sz w:val="32"/>
          <w:szCs w:val="32"/>
        </w:rPr>
        <w:t>个未独立核算的单位及攀枝花市西区公共卫生服务中心、攀枝花市西区卫生和计划生育监督执法大队、攀枝花市西区疾病预防控制中心、攀枝花市西区妇幼保健服务中心、攀枝花市西区清香坪社区卫生服务中心、攀枝花市西区玉泉社区卫生服务中心、攀枝花市西区河门口社区卫生服务中心、攀枝花市西区陶家渡社区卫生服务中心、攀枝花市西区格里坪镇卫生院</w:t>
      </w:r>
      <w:r>
        <w:rPr>
          <w:rFonts w:ascii="仿宋_GB2312" w:eastAsia="仿宋_GB2312"/>
          <w:color w:val="000000"/>
          <w:sz w:val="32"/>
          <w:szCs w:val="32"/>
        </w:rPr>
        <w:t>9</w:t>
      </w:r>
      <w:r>
        <w:rPr>
          <w:rFonts w:hint="eastAsia" w:ascii="仿宋_GB2312" w:eastAsia="仿宋_GB2312"/>
          <w:color w:val="000000"/>
          <w:sz w:val="32"/>
          <w:szCs w:val="32"/>
        </w:rPr>
        <w:t>个独立核算单位。</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pPr>
        <w:ind w:firstLine="640" w:firstLineChars="200"/>
        <w:rPr>
          <w:rFonts w:ascii="仿宋_GB2312" w:eastAsia="仿宋_GB2312"/>
          <w:color w:val="000000"/>
          <w:sz w:val="33"/>
          <w:szCs w:val="33"/>
        </w:rPr>
      </w:pPr>
      <w:r>
        <w:rPr>
          <w:rFonts w:hint="eastAsia" w:ascii="仿宋_GB2312" w:eastAsia="仿宋_GB2312"/>
          <w:color w:val="000000"/>
          <w:sz w:val="32"/>
          <w:szCs w:val="32"/>
        </w:rPr>
        <w:t>1.</w:t>
      </w:r>
      <w:r>
        <w:rPr>
          <w:rFonts w:hint="eastAsia" w:ascii="仿宋_GB2312" w:eastAsia="仿宋_GB2312"/>
          <w:b/>
          <w:color w:val="000000"/>
          <w:sz w:val="33"/>
          <w:szCs w:val="33"/>
        </w:rPr>
        <w:t>办公室。</w:t>
      </w:r>
      <w:r>
        <w:rPr>
          <w:rFonts w:hint="eastAsia" w:ascii="仿宋_GB2312" w:eastAsia="仿宋_GB2312"/>
          <w:color w:val="000000"/>
          <w:sz w:val="33"/>
          <w:szCs w:val="33"/>
        </w:rPr>
        <w:t>负责文电、会务、档案、机要、安全、财务、国有资产管理等机关日常运转工作。承担保密、信息、绩效管理、综治维稳信访、有关综合性文稿起草和史志编纂工作。组织办理人大代表建议、政协委员提案。组织拟订卫生健康事业发展中长期规划。拟订卫生健康人才发展规划及政策并组织实施。承担机关人事管理、机构编制和队伍建设等工作。指导局管预算单位预决算、财务、资产管理、基本建设、政府采购工作。负责局管预算单位内部审计工作，拟订工作计划等并组织实施。指导全区卫生系统内部审计工作。配合审计机关实施审计，依法运用审计结果。</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2.医政医管与职业健康股。</w:t>
      </w:r>
      <w:r>
        <w:rPr>
          <w:rFonts w:hint="eastAsia" w:ascii="仿宋_GB2312" w:eastAsia="仿宋_GB2312"/>
          <w:color w:val="000000"/>
          <w:sz w:val="32"/>
          <w:szCs w:val="32"/>
        </w:rPr>
        <w:t>指导医务人员继续教育工作。负责卫生健康专业技术人员资格考试、评审管理。监督实施医疗机构及医务人员、医疗技术应用、医疗质量和安全、医疗服务、采供血机构管理以及行风建设等行业管理有关地方规范和标准。承担推进护理、康复等事业发展工作。承担医疗卫生行业综合监管牵头工作。组织查处、督办卫生健康违规行为和违法案件。组织医疗机构履行公共卫生服务职责。牵头促进医疗卫生机构履行危险物品、医疗废弃物等的安全管理和处置工作职责。负责推进区域医疗卫生合作。贯彻落实国家药物政策和国家基本药物制度，制定医疗机构优先使用基本药物的政策措施。制定医疗机构药品、医疗器械使用监测和综合评价的政策措施。开展短缺药品监测预警。针对民营医疗机构制定优惠卫生政策。会同有关部门制定民营医疗机构运行发展的各项优惠政策和措施。建立完善民营医疗机构诚信服务激励约束机制。牵头协调推进本系统“放管服”改革，承担审批服务便民化有关工作。牵头清理规范本系统审批服务事项，规范审批过程，集中承担区本级有关审批服务事项的受理、审批等工作，推进纳入一体化政务服务平台。组织实施集中审批的有关业务培训指导工作。承担依法行政、普法宣传、政务公开、质量强区工作。承担重大行政决策合法性审查和规范性文件合法性审查与报备等工作。承担有关行政复议、行政应诉、行政调解等工作。承担本系统权责清单制度建设、动态调整等工作。组织开展职业卫生监督检查。承担全区卫生健康领域信用体系建设有关工作。组织实施全区卫生健康监管体系建设。拟订职业卫生、放射卫生相关政策并组织实施。组织开展职业病防治、重点职业病监测、专项调查治理、职业健康风险评估和职业人群健康管理及宣传教育工作。负责化学品毒性鉴定机构、职业健康检查机构、职业病诊断机构、放射卫生技术服务机构的安全监督管理，负责放射诊疗机构的放射卫生监督管理。指导职业病危害因素申报、工程项目职业病防治技术实施。承担职业危害事故调查处理工作。</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3.信息统计与家庭发展股（区爱国卫生运动委员会办公室）。</w:t>
      </w:r>
      <w:r>
        <w:rPr>
          <w:rFonts w:hint="eastAsia" w:ascii="仿宋_GB2312" w:eastAsia="仿宋_GB2312"/>
          <w:color w:val="000000"/>
          <w:sz w:val="32"/>
          <w:szCs w:val="32"/>
        </w:rPr>
        <w:t>指导卫生健康信息化建设工作。推动卫生健康信息资源开发与共享。提出促进“互联网+医疗健康”发展建议。参与人口基础信息库建设。承担卫生健康、人口信息统计调查与分析等统计管理工作。承担人口统计管理、人口监测预警工作，并提出人口与家庭发展相关健康政策建议。落实和完善计划生育家庭扶助制度和特殊家庭扶助关怀政策。组织实施生育政策。指导基层加强计划生育基础管理和服务工作。推进基层计划生育工作网络建设。承担舆情监测及舆论引导工作。拟订爱国卫生、健康教育与健康促进规划和政策。组织开展城乡环境整洁、卫生创建、病媒生物防制、健康教育、健康促进、卫生健康宣传等活动。承担健康城市建设和卫生城市创建工作。承担卫生健康科学普及工作；承担病媒生物预防控制工作。牵头组织控烟工作。承担区爱国卫生运动委员会日常工作。</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4.疾病预防控制股（区重大传染病防治工作委员会办公室）。</w:t>
      </w:r>
      <w:r>
        <w:rPr>
          <w:rFonts w:hint="eastAsia" w:ascii="仿宋_GB2312" w:eastAsia="仿宋_GB2312"/>
          <w:color w:val="000000"/>
          <w:sz w:val="32"/>
          <w:szCs w:val="32"/>
        </w:rPr>
        <w:t>拟订疾病防治规划、免疫规划、公共卫生干预措施并组织实施。组织实施疾病预防控制机构等级评审和绩效评价，完善疾病预防控制体系。负责传染病、慢性病、精神卫生等防治工作。拟订艾滋病等重大传染病、寄生虫病、地方病防治有关政策、规划和干预措施并组织实施。指导有关专业机构及队伍建设。组织开展传染病防治监督检查。开展食品安全企业标准备案。跟踪评价食品安全标准执行情况。拟订食品安全风险监测计划并组织实施。组织开展食品安全事故流行病学调查。拟订卫生应急政策、制度、规划、预案和规范措施。负责突发公共事件卫生应急处置，承担重大自然灾害、事故灾难、社会安全等突发公共事件紧急医疗救援工作。承担卫生应急预案演练的组织实施和指导监督工作。指导推进卫生应急体系和能力建设。根据授权发布突发公共卫生事件应急处置信息。承担实验室生物安全监督工作。负责重要任务和重大会议活动的医疗保障工作。承担区重大传染病防治工作委员会日常工作。</w:t>
      </w:r>
    </w:p>
    <w:p>
      <w:pPr>
        <w:ind w:firstLine="643" w:firstLineChars="200"/>
        <w:rPr>
          <w:rFonts w:ascii="仿宋_GB2312" w:eastAsia="仿宋_GB2312"/>
          <w:color w:val="000000"/>
          <w:sz w:val="32"/>
          <w:szCs w:val="32"/>
        </w:rPr>
      </w:pPr>
      <w:r>
        <w:rPr>
          <w:rFonts w:hint="eastAsia" w:ascii="仿宋_GB2312" w:eastAsia="仿宋_GB2312"/>
          <w:b/>
          <w:color w:val="000000"/>
          <w:sz w:val="32"/>
          <w:szCs w:val="32"/>
        </w:rPr>
        <w:t>5.基层卫生健康股（区深化医药卫生体制改革领导小组办公室）。</w:t>
      </w:r>
      <w:r>
        <w:rPr>
          <w:rFonts w:hint="eastAsia" w:ascii="仿宋_GB2312" w:eastAsia="仿宋_GB2312"/>
          <w:color w:val="000000"/>
          <w:sz w:val="32"/>
          <w:szCs w:val="32"/>
        </w:rPr>
        <w:t>拟订基层卫生健康政策并组织实施。拟订基层医疗卫生机构绩效评价和考核制度并组织实施。指导基层卫生健康服务体系建设、基本医疗、基本公共卫生服务等工作，推进家庭医生签约服务和乡村医生相关管理工作。牵头负责基本公共卫生服务均等化工作。拟订妇幼卫生健康技术服务政策、规划并组织实施。指导妇幼健康服务体系建设和评审评价工作。指导妇幼卫生、出生缺陷防治、婴幼儿早期发展和生育技术服务工作。组织实施中医药相关政策和标准。拟订全区中医药事业发展规划并组织实施，协调全区中医药资源配置。监督管理全区中医、中西医结合医疗机构的医疗质量和服务质量。负责中医、中西医结合科技、教育、重点专科和学科发展工作。负责指导农村及社区中医药工作。拟订健康服务业政策、制度并组织实施。牵头推动数字技术、人工智能与健康服务业的融合发展。负责推进康养+医疗产业发展、健康服务业项目实施。组织拟订并协调落实应对老龄化的政策措施。组织拟订医养结合的政策，建立和完善老年健康服务体系。负责保健对象预防保健和医疗工作。负责预防保健体系和信息化建设。拟订并组织实施医疗保健工作政策及规划。负责对口支援工作。研究提出深化医药卫生体制改革重大政策、措施的建议。组织建立分级诊疗制度。</w:t>
      </w:r>
    </w:p>
    <w:p>
      <w:pPr>
        <w:ind w:firstLine="643" w:firstLineChars="200"/>
        <w:rPr>
          <w:rFonts w:ascii="仿宋_GB2312" w:eastAsia="仿宋_GB2312"/>
          <w:b/>
          <w:color w:val="000000"/>
          <w:sz w:val="32"/>
          <w:szCs w:val="32"/>
        </w:rPr>
      </w:pPr>
      <w:r>
        <w:rPr>
          <w:rFonts w:hint="eastAsia" w:ascii="仿宋_GB2312" w:eastAsia="仿宋_GB2312"/>
          <w:b/>
          <w:color w:val="000000"/>
          <w:sz w:val="32"/>
          <w:szCs w:val="32"/>
        </w:rPr>
        <w:t>6. 攀枝花市西区公共卫生服务中心</w:t>
      </w:r>
    </w:p>
    <w:p>
      <w:pPr>
        <w:pStyle w:val="7"/>
        <w:spacing w:line="352"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负责社区、农村卫生服务体系建设，对社区、农村卫生服务机构的建设项目进行管理。负责制定社区、农村卫生建设规划、年度计划，并组织实施。负责社区、农村卫生服务标准化、规范化建设与管理；负责社区、农村卫生服务。拟订基层卫生健康政策并组织实施。拟订基层医疗卫生机构绩效评价和考核制度并组织实施。牵头负责基本公共卫生服务均等化工作。指导基层卫生健康服务体系建设、基本医疗、基本公共卫生服务等工作，推进家庭医生签约服务和乡村医生相关管理工作。负责探索社区卫生服务机构“收支两条线”“首诊制”“药品零利率”等运行机制体制。负责对社区卫生服务公共补助经费的划拨和管理。负责对社区卫生服务机构人事管理。负责深化医药卫生体制改革相关工作，研究提出深化医药卫生体制改革重大政策、措施的建议。组织建立分级诊疗制度。负责基层医疗卫生机构基本药物制度的实施、考核及补助经费的划拨、管理。负责社区、农村医务人员的培训考试。负责公共卫生统计工作。完成区卫生健康局交办的其他任务。 </w:t>
      </w:r>
    </w:p>
    <w:p>
      <w:pPr>
        <w:ind w:firstLine="643" w:firstLineChars="200"/>
        <w:rPr>
          <w:rFonts w:ascii="仿宋_GB2312" w:eastAsia="仿宋_GB2312"/>
          <w:b/>
          <w:color w:val="000000"/>
          <w:sz w:val="32"/>
          <w:szCs w:val="32"/>
        </w:rPr>
      </w:pPr>
      <w:r>
        <w:rPr>
          <w:rFonts w:hint="eastAsia" w:ascii="仿宋_GB2312" w:eastAsia="仿宋_GB2312"/>
          <w:b/>
          <w:color w:val="000000"/>
          <w:sz w:val="32"/>
          <w:szCs w:val="32"/>
        </w:rPr>
        <w:t>7. 攀枝花市西区卫生和计划生育监督执法大队</w:t>
      </w:r>
    </w:p>
    <w:p>
      <w:pPr>
        <w:ind w:firstLine="640" w:firstLineChars="200"/>
        <w:rPr>
          <w:rFonts w:ascii="仿宋_GB2312" w:eastAsia="仿宋_GB2312"/>
          <w:sz w:val="32"/>
          <w:szCs w:val="32"/>
        </w:rPr>
      </w:pPr>
      <w:r>
        <w:rPr>
          <w:rFonts w:hint="eastAsia" w:ascii="仿宋_GB2312" w:eastAsia="仿宋_GB2312"/>
          <w:sz w:val="32"/>
          <w:szCs w:val="32"/>
        </w:rPr>
        <w:t>办理公共场所、集中式供水以及二次供水、放射诊疗等卫生行政许可及相关事宜；依法开展公共场所、学校卫生、生活饮用水、传染病防治、医疗卫生、职业卫生、消毒产品和放射诊疗等卫生执法监督工作；依法承担辖区卫生法律法规宣传培训、卫生现场监督、重大活动卫生安全保障、各类突发公共卫生事件的应急处置等工作。</w:t>
      </w:r>
    </w:p>
    <w:p>
      <w:pPr>
        <w:ind w:firstLine="643" w:firstLineChars="200"/>
        <w:rPr>
          <w:rFonts w:ascii="仿宋_GB2312" w:eastAsia="仿宋_GB2312"/>
          <w:b/>
          <w:color w:val="000000"/>
          <w:sz w:val="32"/>
          <w:szCs w:val="32"/>
        </w:rPr>
      </w:pPr>
      <w:r>
        <w:rPr>
          <w:rFonts w:hint="eastAsia" w:ascii="仿宋_GB2312" w:eastAsia="仿宋_GB2312"/>
          <w:b/>
          <w:color w:val="000000"/>
          <w:sz w:val="32"/>
          <w:szCs w:val="32"/>
        </w:rPr>
        <w:t>8.攀枝花市西区疾病预防控制中心</w:t>
      </w:r>
    </w:p>
    <w:p>
      <w:pPr>
        <w:spacing w:line="352" w:lineRule="auto"/>
        <w:ind w:firstLine="640" w:firstLineChars="200"/>
        <w:rPr>
          <w:rStyle w:val="28"/>
          <w:rFonts w:ascii="仿宋_GB2312" w:eastAsia="仿宋_GB2312"/>
          <w:szCs w:val="32"/>
        </w:rPr>
      </w:pPr>
      <w:r>
        <w:rPr>
          <w:rStyle w:val="28"/>
          <w:rFonts w:hint="eastAsia" w:ascii="仿宋_GB2312" w:eastAsia="仿宋_GB2312"/>
        </w:rPr>
        <w:t>（1）执行传染病预防控制规划和方案, 完成传染病、慢性非传染病、计划免疫、地方病、职业病、学生常见病及寄生虫监测和预防控制工作，开展传染病及其流行因素监测报告、流行病学调查、处置及效果评估。指导城市社区和农村基层卫生服务机构开展慢性非传染性疾病综合防治工作。</w:t>
      </w:r>
    </w:p>
    <w:p>
      <w:pPr>
        <w:spacing w:line="352" w:lineRule="auto"/>
        <w:ind w:firstLine="640" w:firstLineChars="200"/>
        <w:rPr>
          <w:rStyle w:val="28"/>
          <w:rFonts w:ascii="仿宋_GB2312" w:eastAsia="仿宋_GB2312"/>
        </w:rPr>
      </w:pPr>
      <w:r>
        <w:rPr>
          <w:rStyle w:val="28"/>
          <w:rFonts w:hint="eastAsia" w:ascii="仿宋_GB2312" w:eastAsia="仿宋_GB2312"/>
        </w:rPr>
        <w:t>（2）开展突发公共卫生事件监测与预警, 提供应急储备的技术支持, 组建突发公共卫生事件应急队伍，开展人员培训、演练及技术指导, 承担辖区内突发公共卫生事件及相关信息核实报告、现场调查与处理工作。</w:t>
      </w:r>
    </w:p>
    <w:p>
      <w:pPr>
        <w:spacing w:line="352" w:lineRule="auto"/>
        <w:ind w:firstLine="640" w:firstLineChars="200"/>
        <w:rPr>
          <w:rStyle w:val="28"/>
          <w:rFonts w:ascii="仿宋_GB2312" w:eastAsia="仿宋_GB2312"/>
        </w:rPr>
      </w:pPr>
      <w:r>
        <w:rPr>
          <w:rStyle w:val="28"/>
          <w:rFonts w:hint="eastAsia" w:ascii="仿宋_GB2312" w:eastAsia="仿宋_GB2312"/>
        </w:rPr>
        <w:t>（3）开展辖区内食源性疾病和食品污染物的监测和报告，开展食品污染、食物中毒和食源性疾病的流行病学调查和处置, 开展常见健康影响因素、有毒有害因素及中毒事件毒物的检测。</w:t>
      </w:r>
    </w:p>
    <w:p>
      <w:pPr>
        <w:spacing w:line="352" w:lineRule="auto"/>
        <w:ind w:firstLine="640" w:firstLineChars="200"/>
        <w:rPr>
          <w:rStyle w:val="28"/>
          <w:rFonts w:ascii="仿宋_GB2312" w:eastAsia="仿宋_GB2312"/>
        </w:rPr>
      </w:pPr>
      <w:r>
        <w:rPr>
          <w:rStyle w:val="28"/>
          <w:rFonts w:hint="eastAsia" w:ascii="仿宋_GB2312" w:eastAsia="仿宋_GB2312"/>
        </w:rPr>
        <w:t>（4）负责指导预防接种工作、管理和使用预防用生物制品、保证冷链正常运转。</w:t>
      </w:r>
    </w:p>
    <w:p>
      <w:pPr>
        <w:spacing w:line="352" w:lineRule="auto"/>
        <w:ind w:firstLine="640" w:firstLineChars="200"/>
        <w:rPr>
          <w:rStyle w:val="28"/>
          <w:rFonts w:ascii="仿宋_GB2312" w:eastAsia="仿宋_GB2312"/>
        </w:rPr>
      </w:pPr>
      <w:r>
        <w:rPr>
          <w:rStyle w:val="28"/>
          <w:rFonts w:hint="eastAsia" w:ascii="仿宋_GB2312" w:eastAsia="仿宋_GB2312"/>
        </w:rPr>
        <w:t>（5）承担“四害”密度监测, 疫源地、疫区、灾区、重要行业的消毒指导与评价，负责农村改水、改厕卫生技术培训和指导等。</w:t>
      </w:r>
    </w:p>
    <w:p>
      <w:pPr>
        <w:spacing w:line="352" w:lineRule="auto"/>
        <w:ind w:firstLine="640" w:firstLineChars="200"/>
        <w:rPr>
          <w:rStyle w:val="28"/>
          <w:rFonts w:ascii="仿宋_GB2312" w:eastAsia="仿宋_GB2312"/>
        </w:rPr>
      </w:pPr>
      <w:r>
        <w:rPr>
          <w:rStyle w:val="28"/>
          <w:rFonts w:hint="eastAsia" w:ascii="仿宋_GB2312" w:eastAsia="仿宋_GB2312"/>
        </w:rPr>
        <w:t>（6）实施辖区健康教育、健康促进方案，开展健康教育活动项目，指导城市社区和农村基层卫生服务机构开展健康教育和健康促进活动。</w:t>
      </w:r>
    </w:p>
    <w:p>
      <w:pPr>
        <w:spacing w:line="352" w:lineRule="auto"/>
        <w:ind w:firstLine="643" w:firstLineChars="200"/>
        <w:rPr>
          <w:b/>
          <w:color w:val="000000"/>
        </w:rPr>
      </w:pPr>
      <w:r>
        <w:rPr>
          <w:rFonts w:hint="eastAsia" w:ascii="仿宋_GB2312" w:eastAsia="仿宋_GB2312"/>
          <w:b/>
          <w:color w:val="000000"/>
          <w:sz w:val="32"/>
          <w:szCs w:val="32"/>
        </w:rPr>
        <w:t>9. 攀枝花市西区妇幼保健服务中心</w:t>
      </w:r>
    </w:p>
    <w:p>
      <w:pPr>
        <w:spacing w:line="352" w:lineRule="auto"/>
        <w:ind w:firstLine="640" w:firstLineChars="200"/>
        <w:rPr>
          <w:rStyle w:val="28"/>
          <w:rFonts w:ascii="仿宋_GB2312" w:eastAsia="仿宋_GB2312"/>
          <w:szCs w:val="32"/>
        </w:rPr>
      </w:pPr>
      <w:r>
        <w:rPr>
          <w:rStyle w:val="28"/>
          <w:rFonts w:hint="eastAsia" w:ascii="仿宋_GB2312" w:eastAsia="仿宋_GB2312"/>
        </w:rPr>
        <w:t>针对国家妇女儿童健康目标和支持性目标的要求，协助卫生行政部门制定具体规划并牵头实施。负责全区孕、产妇健康系统保健及其管理工作，提高孕、产妇及新生儿健康水平，降低孕、产妇死亡率和新生儿出生缺陷的发生。负责全区七岁以下儿童健康系统保健及其管理工作、提高儿童身心健康水平，降低儿童死亡率。负责妇女经、孕、产、哺乳、更年期的卫生保健，做好妇女病的普查普治工作。负责全区计划生育技术服务，掌握全区计划生育技术服务的质量、存在的问题；负责开展婚前医学检查、优生咨询工作，提高人口素质。负责全区妇女、儿童保健和计划生育知识等健康教育工作，提高妇女、儿童的自我保健意识和能力。负责全区妇幼保健信息收集、统计、整理、分析评价及上报工作，为卫生行政部门提供妇幼保健服务决策依据。负责全区产科助产技术服务的检查、指导工作，改善产科服务条件，提高服务质量。负责全区儿童入托、入学前健康体检及托幼机构(学前班)保教人员的健康体检，对托幼工作进行培训、指导、检查及考核等工作。负责对全区承担妇幼保健工作任务医院及社区医院的保健工作业务培训、工作质量检查、指导及评估等工作。负责全区流动人口生育信息采集和基本公共卫生服务均等化等工作。完成区卫生健康局交办的其他任务。</w:t>
      </w:r>
    </w:p>
    <w:p>
      <w:pPr>
        <w:widowControl/>
        <w:adjustRightInd w:val="0"/>
        <w:snapToGrid w:val="0"/>
        <w:spacing w:line="572" w:lineRule="exact"/>
        <w:ind w:left="643"/>
        <w:contextualSpacing/>
        <w:jc w:val="left"/>
        <w:rPr>
          <w:rFonts w:hAnsi="宋体" w:cs="宋体"/>
          <w:b/>
          <w:kern w:val="0"/>
          <w:shd w:val="clear" w:color="auto" w:fill="FFFFFF"/>
          <w:lang w:val="zh-CN"/>
        </w:rPr>
      </w:pPr>
      <w:r>
        <w:rPr>
          <w:rFonts w:hint="eastAsia" w:ascii="仿宋_GB2312" w:hAnsi="宋体" w:eastAsia="仿宋_GB2312" w:cs="宋体"/>
          <w:b/>
          <w:kern w:val="0"/>
          <w:sz w:val="32"/>
          <w:szCs w:val="32"/>
          <w:shd w:val="clear" w:color="auto" w:fill="FFFFFF"/>
          <w:lang w:val="zh-CN"/>
        </w:rPr>
        <w:t>1</w:t>
      </w:r>
      <w:r>
        <w:rPr>
          <w:rFonts w:ascii="仿宋_GB2312" w:hAnsi="宋体" w:eastAsia="仿宋_GB2312" w:cs="宋体"/>
          <w:b/>
          <w:kern w:val="0"/>
          <w:sz w:val="32"/>
          <w:szCs w:val="32"/>
          <w:shd w:val="clear" w:color="auto" w:fill="FFFFFF"/>
          <w:lang w:val="zh-CN"/>
        </w:rPr>
        <w:t>0.</w:t>
      </w:r>
      <w:r>
        <w:rPr>
          <w:rFonts w:hint="eastAsia" w:ascii="仿宋_GB2312" w:hAnsi="宋体" w:eastAsia="仿宋_GB2312" w:cs="宋体"/>
          <w:b/>
          <w:kern w:val="0"/>
          <w:sz w:val="32"/>
          <w:szCs w:val="32"/>
          <w:shd w:val="clear" w:color="auto" w:fill="FFFFFF"/>
          <w:lang w:val="zh-CN"/>
        </w:rPr>
        <w:t>人员概况</w:t>
      </w:r>
    </w:p>
    <w:p>
      <w:pPr>
        <w:snapToGrid w:val="0"/>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攀枝花市西区卫生健康局行政编制8名，西区计划生育协会参公编制</w:t>
      </w:r>
      <w:r>
        <w:rPr>
          <w:rFonts w:ascii="仿宋_GB2312" w:eastAsia="仿宋_GB2312"/>
          <w:color w:val="000000"/>
          <w:sz w:val="32"/>
          <w:szCs w:val="32"/>
        </w:rPr>
        <w:t>2</w:t>
      </w:r>
      <w:r>
        <w:rPr>
          <w:rFonts w:hint="eastAsia" w:ascii="仿宋_GB2312" w:eastAsia="仿宋_GB2312"/>
          <w:color w:val="000000"/>
          <w:sz w:val="32"/>
          <w:szCs w:val="32"/>
        </w:rPr>
        <w:t>名，西区老龄健康服务中心参公编制</w:t>
      </w:r>
      <w:r>
        <w:rPr>
          <w:rFonts w:ascii="仿宋_GB2312" w:eastAsia="仿宋_GB2312"/>
          <w:color w:val="000000"/>
          <w:sz w:val="32"/>
          <w:szCs w:val="32"/>
        </w:rPr>
        <w:t>1</w:t>
      </w:r>
      <w:r>
        <w:rPr>
          <w:rFonts w:hint="eastAsia" w:ascii="仿宋_GB2312" w:eastAsia="仿宋_GB2312"/>
          <w:color w:val="000000"/>
          <w:sz w:val="32"/>
          <w:szCs w:val="32"/>
        </w:rPr>
        <w:t>名，</w:t>
      </w:r>
      <w:r>
        <w:rPr>
          <w:rFonts w:hint="eastAsia" w:ascii="仿宋_GB2312" w:eastAsia="仿宋_GB2312"/>
          <w:sz w:val="32"/>
          <w:szCs w:val="32"/>
        </w:rPr>
        <w:t>西区红十字会参公编制</w:t>
      </w:r>
      <w:r>
        <w:rPr>
          <w:rFonts w:ascii="仿宋_GB2312" w:eastAsia="仿宋_GB2312"/>
          <w:sz w:val="32"/>
          <w:szCs w:val="32"/>
        </w:rPr>
        <w:t>4</w:t>
      </w:r>
      <w:r>
        <w:rPr>
          <w:rFonts w:hint="eastAsia" w:ascii="仿宋_GB2312" w:eastAsia="仿宋_GB2312"/>
          <w:sz w:val="32"/>
          <w:szCs w:val="32"/>
        </w:rPr>
        <w:t>名，</w:t>
      </w:r>
      <w:r>
        <w:rPr>
          <w:rFonts w:hint="eastAsia" w:ascii="仿宋_GB2312" w:eastAsia="仿宋_GB2312"/>
          <w:color w:val="000000"/>
          <w:sz w:val="32"/>
          <w:szCs w:val="32"/>
        </w:rPr>
        <w:t>共1</w:t>
      </w:r>
      <w:r>
        <w:rPr>
          <w:rFonts w:ascii="仿宋_GB2312" w:eastAsia="仿宋_GB2312"/>
          <w:color w:val="000000"/>
          <w:sz w:val="32"/>
          <w:szCs w:val="32"/>
        </w:rPr>
        <w:t>5</w:t>
      </w:r>
      <w:r>
        <w:rPr>
          <w:rFonts w:hint="eastAsia" w:ascii="仿宋_GB2312" w:eastAsia="仿宋_GB2312"/>
          <w:color w:val="000000"/>
          <w:sz w:val="32"/>
          <w:szCs w:val="32"/>
        </w:rPr>
        <w:t>名；</w:t>
      </w:r>
      <w:r>
        <w:rPr>
          <w:rFonts w:hint="eastAsia" w:ascii="仿宋_GB2312" w:eastAsia="仿宋_GB2312"/>
          <w:spacing w:val="-4"/>
          <w:sz w:val="32"/>
          <w:szCs w:val="32"/>
        </w:rPr>
        <w:t>年末实有在职人员1</w:t>
      </w:r>
      <w:r>
        <w:rPr>
          <w:rFonts w:ascii="仿宋_GB2312" w:eastAsia="仿宋_GB2312"/>
          <w:spacing w:val="-4"/>
          <w:sz w:val="32"/>
          <w:szCs w:val="32"/>
        </w:rPr>
        <w:t>5</w:t>
      </w:r>
      <w:r>
        <w:rPr>
          <w:rFonts w:hint="eastAsia" w:ascii="仿宋_GB2312" w:eastAsia="仿宋_GB2312"/>
          <w:spacing w:val="-4"/>
          <w:sz w:val="32"/>
          <w:szCs w:val="32"/>
        </w:rPr>
        <w:t>人，其中：行政人员8人，参公人员</w:t>
      </w:r>
      <w:r>
        <w:rPr>
          <w:rFonts w:ascii="仿宋_GB2312" w:eastAsia="仿宋_GB2312"/>
          <w:spacing w:val="-4"/>
          <w:sz w:val="32"/>
          <w:szCs w:val="32"/>
        </w:rPr>
        <w:t>7</w:t>
      </w:r>
      <w:r>
        <w:rPr>
          <w:rFonts w:hint="eastAsia" w:ascii="仿宋_GB2312" w:eastAsia="仿宋_GB2312"/>
          <w:spacing w:val="-4"/>
          <w:sz w:val="32"/>
          <w:szCs w:val="32"/>
        </w:rPr>
        <w:t>人</w:t>
      </w:r>
      <w:r>
        <w:rPr>
          <w:rFonts w:hint="eastAsia" w:ascii="仿宋_GB2312" w:eastAsia="仿宋_GB2312"/>
          <w:bCs/>
          <w:color w:val="000000"/>
          <w:sz w:val="32"/>
          <w:szCs w:val="32"/>
        </w:rPr>
        <w:t>。</w:t>
      </w:r>
    </w:p>
    <w:p>
      <w:pPr>
        <w:spacing w:line="600" w:lineRule="exact"/>
        <w:ind w:firstLine="624" w:firstLineChars="200"/>
        <w:rPr>
          <w:rFonts w:ascii="仿宋_GB2312" w:eastAsia="仿宋_GB2312"/>
          <w:color w:val="000000"/>
          <w:sz w:val="32"/>
          <w:szCs w:val="32"/>
        </w:rPr>
      </w:pPr>
      <w:r>
        <w:rPr>
          <w:rFonts w:hint="eastAsia" w:ascii="仿宋_GB2312" w:eastAsia="仿宋_GB2312"/>
          <w:spacing w:val="-4"/>
          <w:sz w:val="32"/>
          <w:szCs w:val="32"/>
        </w:rPr>
        <w:t>攀枝花市西区公共卫生服务中心</w:t>
      </w:r>
      <w:r>
        <w:rPr>
          <w:rFonts w:hint="eastAsia" w:ascii="仿宋_GB2312" w:eastAsia="仿宋_GB2312"/>
          <w:bCs/>
          <w:color w:val="000000"/>
          <w:sz w:val="32"/>
          <w:szCs w:val="32"/>
        </w:rPr>
        <w:t>事业编制6人，各基层医疗机构事业编制108人，共114人；年末实有在职人员1</w:t>
      </w:r>
      <w:r>
        <w:rPr>
          <w:rFonts w:ascii="仿宋_GB2312" w:eastAsia="仿宋_GB2312"/>
          <w:bCs/>
          <w:color w:val="000000"/>
          <w:sz w:val="32"/>
          <w:szCs w:val="32"/>
        </w:rPr>
        <w:t>20</w:t>
      </w:r>
      <w:r>
        <w:rPr>
          <w:rFonts w:hint="eastAsia" w:ascii="仿宋_GB2312" w:eastAsia="仿宋_GB2312"/>
          <w:bCs/>
          <w:color w:val="000000"/>
          <w:sz w:val="32"/>
          <w:szCs w:val="32"/>
        </w:rPr>
        <w:t>人，其中：公卫中心2人，各基层医疗机构20人，另各基层医疗机构财政拨款补助聘用人员8</w:t>
      </w:r>
      <w:r>
        <w:rPr>
          <w:rFonts w:ascii="仿宋_GB2312" w:eastAsia="仿宋_GB2312"/>
          <w:bCs/>
          <w:color w:val="000000"/>
          <w:sz w:val="32"/>
          <w:szCs w:val="32"/>
        </w:rPr>
        <w:t>9</w:t>
      </w:r>
      <w:r>
        <w:rPr>
          <w:rFonts w:hint="eastAsia" w:ascii="仿宋_GB2312" w:eastAsia="仿宋_GB2312"/>
          <w:bCs/>
          <w:color w:val="000000"/>
          <w:sz w:val="32"/>
          <w:szCs w:val="32"/>
        </w:rPr>
        <w:t>人、财政拨款补助村卫生室9人无编制。</w:t>
      </w:r>
    </w:p>
    <w:p>
      <w:pPr>
        <w:ind w:firstLine="640" w:firstLineChars="200"/>
        <w:rPr>
          <w:rFonts w:ascii="仿宋_GB2312" w:eastAsia="仿宋_GB2312"/>
          <w:sz w:val="32"/>
          <w:szCs w:val="32"/>
        </w:rPr>
      </w:pPr>
      <w:r>
        <w:rPr>
          <w:rFonts w:hint="eastAsia" w:ascii="仿宋_GB2312" w:eastAsia="仿宋_GB2312"/>
          <w:sz w:val="32"/>
          <w:szCs w:val="32"/>
        </w:rPr>
        <w:t>攀枝花市西区卫生和计划生育监督执法大队参公编制7名，临聘编制20名，共27名；年末实有在职人员</w:t>
      </w:r>
      <w:r>
        <w:rPr>
          <w:rFonts w:ascii="仿宋_GB2312" w:eastAsia="仿宋_GB2312"/>
          <w:sz w:val="32"/>
          <w:szCs w:val="32"/>
        </w:rPr>
        <w:t>21</w:t>
      </w:r>
      <w:r>
        <w:rPr>
          <w:rFonts w:hint="eastAsia" w:ascii="仿宋_GB2312" w:eastAsia="仿宋_GB2312"/>
          <w:sz w:val="32"/>
          <w:szCs w:val="32"/>
        </w:rPr>
        <w:t>名，其中：参公人员</w:t>
      </w:r>
      <w:r>
        <w:rPr>
          <w:rFonts w:ascii="仿宋_GB2312" w:eastAsia="仿宋_GB2312"/>
          <w:sz w:val="32"/>
          <w:szCs w:val="32"/>
        </w:rPr>
        <w:t>6</w:t>
      </w:r>
      <w:r>
        <w:rPr>
          <w:rFonts w:hint="eastAsia" w:ascii="仿宋_GB2312" w:eastAsia="仿宋_GB2312"/>
          <w:sz w:val="32"/>
          <w:szCs w:val="32"/>
        </w:rPr>
        <w:t>名，临聘人员1</w:t>
      </w:r>
      <w:r>
        <w:rPr>
          <w:rFonts w:ascii="仿宋_GB2312" w:eastAsia="仿宋_GB2312"/>
          <w:sz w:val="32"/>
          <w:szCs w:val="32"/>
        </w:rPr>
        <w:t>5</w:t>
      </w:r>
      <w:r>
        <w:rPr>
          <w:rFonts w:hint="eastAsia" w:ascii="仿宋_GB2312" w:eastAsia="仿宋_GB2312"/>
          <w:sz w:val="32"/>
          <w:szCs w:val="32"/>
        </w:rPr>
        <w:t>名。</w:t>
      </w:r>
    </w:p>
    <w:p>
      <w:pPr>
        <w:ind w:firstLine="624" w:firstLineChars="200"/>
        <w:rPr>
          <w:rFonts w:ascii="仿宋_GB2312" w:eastAsia="仿宋_GB2312"/>
          <w:spacing w:val="-4"/>
          <w:sz w:val="32"/>
          <w:szCs w:val="32"/>
        </w:rPr>
      </w:pPr>
      <w:r>
        <w:rPr>
          <w:rFonts w:hint="eastAsia" w:ascii="仿宋_GB2312" w:eastAsia="仿宋_GB2312"/>
          <w:spacing w:val="-4"/>
          <w:sz w:val="32"/>
          <w:szCs w:val="32"/>
        </w:rPr>
        <w:t>攀枝花市西区疾病预防控制中心事业编制32人，临聘编制8人，共40人；年末实有在职人员36人，其中：事业编制人员30人，临聘人员6人。</w:t>
      </w:r>
    </w:p>
    <w:p>
      <w:pPr>
        <w:ind w:firstLine="640" w:firstLineChars="200"/>
        <w:rPr>
          <w:rFonts w:ascii="仿宋_GB2312" w:eastAsia="仿宋_GB2312"/>
          <w:color w:val="FF0000"/>
          <w:sz w:val="32"/>
          <w:szCs w:val="32"/>
        </w:rPr>
      </w:pPr>
      <w:r>
        <w:rPr>
          <w:rFonts w:hint="eastAsia" w:ascii="仿宋_GB2312" w:eastAsia="仿宋_GB2312"/>
          <w:sz w:val="32"/>
          <w:szCs w:val="32"/>
        </w:rPr>
        <w:t>攀枝花市西区妇幼保健服务中心事业编制16人，年末实有在职人员2</w:t>
      </w:r>
      <w:r>
        <w:rPr>
          <w:rFonts w:ascii="仿宋_GB2312" w:eastAsia="仿宋_GB2312"/>
          <w:sz w:val="32"/>
          <w:szCs w:val="32"/>
        </w:rPr>
        <w:t>3</w:t>
      </w:r>
      <w:r>
        <w:rPr>
          <w:rFonts w:hint="eastAsia" w:ascii="仿宋_GB2312" w:eastAsia="仿宋_GB2312"/>
          <w:sz w:val="32"/>
          <w:szCs w:val="32"/>
        </w:rPr>
        <w:t>人，其中：在编人员1</w:t>
      </w:r>
      <w:r>
        <w:rPr>
          <w:rFonts w:ascii="仿宋_GB2312" w:eastAsia="仿宋_GB2312"/>
          <w:sz w:val="32"/>
          <w:szCs w:val="32"/>
        </w:rPr>
        <w:t>3</w:t>
      </w:r>
      <w:r>
        <w:rPr>
          <w:rFonts w:hint="eastAsia" w:ascii="仿宋_GB2312" w:eastAsia="仿宋_GB2312"/>
          <w:sz w:val="32"/>
          <w:szCs w:val="32"/>
        </w:rPr>
        <w:t>人，项目工作聘用人员10人。</w:t>
      </w:r>
    </w:p>
    <w:p>
      <w:pPr>
        <w:pStyle w:val="21"/>
        <w:widowControl/>
        <w:numPr>
          <w:ilvl w:val="0"/>
          <w:numId w:val="7"/>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年度主要工作任务</w:t>
      </w:r>
    </w:p>
    <w:p>
      <w:pPr>
        <w:adjustRightInd w:val="0"/>
        <w:snapToGrid w:val="0"/>
        <w:spacing w:line="353" w:lineRule="auto"/>
        <w:ind w:firstLine="640" w:firstLineChars="200"/>
        <w:rPr>
          <w:rFonts w:eastAsia="仿宋_GB2312" w:cs="仿宋_GB2312"/>
          <w:sz w:val="32"/>
          <w:szCs w:val="32"/>
        </w:rPr>
      </w:pPr>
      <w:r>
        <w:rPr>
          <w:rFonts w:hint="eastAsia" w:eastAsia="楷体_GB2312" w:cs="楷体_GB2312"/>
          <w:sz w:val="32"/>
          <w:szCs w:val="32"/>
        </w:rPr>
        <w:t>1.新冠肺炎疫情防控常抓不懈。</w:t>
      </w:r>
      <w:r>
        <w:rPr>
          <w:rFonts w:hint="eastAsia" w:eastAsia="仿宋_GB2312" w:cs="仿宋_GB2312"/>
          <w:b/>
          <w:bCs/>
          <w:sz w:val="32"/>
          <w:szCs w:val="32"/>
        </w:rPr>
        <w:t>一是</w:t>
      </w:r>
      <w:r>
        <w:rPr>
          <w:rFonts w:hint="eastAsia" w:eastAsia="仿宋_GB2312" w:cs="仿宋_GB2312"/>
          <w:color w:val="000000"/>
          <w:sz w:val="32"/>
          <w:szCs w:val="32"/>
        </w:rPr>
        <w:t>及时研判，动态调整措施。</w:t>
      </w:r>
      <w:r>
        <w:rPr>
          <w:rFonts w:hint="eastAsia" w:eastAsia="仿宋_GB2312" w:cs="仿宋_GB2312"/>
          <w:sz w:val="32"/>
          <w:szCs w:val="32"/>
        </w:rPr>
        <w:t>动态关注国内疫情形势和中高风险地区变化，每日进行研判，并通过微信工作群推送每日推送“四川疾控健康提示”“四川省疫情防控重点地区提示表”和“风险人员管控措施表”，根据</w:t>
      </w:r>
      <w:r>
        <w:rPr>
          <w:rFonts w:hint="eastAsia" w:eastAsia="仿宋_GB2312" w:cs="仿宋_GB2312"/>
          <w:color w:val="000000"/>
          <w:sz w:val="32"/>
          <w:szCs w:val="32"/>
        </w:rPr>
        <w:t>上级最新疫情防控文件和要求，完善</w:t>
      </w:r>
      <w:r>
        <w:rPr>
          <w:rFonts w:hint="eastAsia" w:eastAsia="仿宋_GB2312" w:cs="仿宋_GB2312"/>
          <w:sz w:val="32"/>
          <w:szCs w:val="32"/>
        </w:rPr>
        <w:t>相关方案、预案，</w:t>
      </w:r>
      <w:r>
        <w:rPr>
          <w:rFonts w:hint="eastAsia" w:eastAsia="仿宋_GB2312" w:cs="仿宋_GB2312"/>
          <w:color w:val="000000"/>
          <w:sz w:val="32"/>
          <w:szCs w:val="32"/>
        </w:rPr>
        <w:t>动态调整防控措施。</w:t>
      </w:r>
      <w:r>
        <w:rPr>
          <w:rFonts w:hint="eastAsia" w:eastAsia="仿宋_GB2312" w:cs="仿宋_GB2312"/>
          <w:b/>
          <w:bCs/>
          <w:sz w:val="32"/>
          <w:szCs w:val="32"/>
        </w:rPr>
        <w:t>二是</w:t>
      </w:r>
      <w:r>
        <w:rPr>
          <w:rFonts w:hint="eastAsia" w:eastAsia="仿宋_GB2312" w:cs="仿宋_GB2312"/>
          <w:sz w:val="32"/>
          <w:szCs w:val="32"/>
        </w:rPr>
        <w:t>强化重点人员排查管控。有效指导风险人员排查、管控。2022年累计排查境外来（返）西区人员59人，国内重点地区来（返）西区人员8782人，</w:t>
      </w:r>
      <w:r>
        <w:rPr>
          <w:rFonts w:hint="eastAsia" w:eastAsia="仿宋_GB2312" w:cs="仿宋_GB2312"/>
          <w:kern w:val="0"/>
          <w:sz w:val="32"/>
          <w:szCs w:val="32"/>
        </w:rPr>
        <w:t>所有人员按照要求进行管理。</w:t>
      </w:r>
      <w:r>
        <w:rPr>
          <w:rFonts w:hint="eastAsia" w:eastAsia="仿宋_GB2312" w:cs="仿宋_GB2312"/>
          <w:b/>
          <w:bCs/>
          <w:kern w:val="0"/>
          <w:sz w:val="32"/>
          <w:szCs w:val="32"/>
        </w:rPr>
        <w:t>三是</w:t>
      </w:r>
      <w:r>
        <w:rPr>
          <w:rFonts w:hint="eastAsia" w:eastAsia="仿宋_GB2312" w:cs="仿宋_GB2312"/>
          <w:kern w:val="0"/>
          <w:sz w:val="32"/>
          <w:szCs w:val="32"/>
        </w:rPr>
        <w:t>强化</w:t>
      </w:r>
      <w:r>
        <w:rPr>
          <w:rFonts w:hint="eastAsia" w:eastAsia="仿宋_GB2312" w:cs="仿宋_GB2312"/>
          <w:sz w:val="32"/>
          <w:szCs w:val="32"/>
        </w:rPr>
        <w:t>疫情多点监测。严格落实“人、物、环境”同防同检要求，采集各类重点人员咽拭子样本391723份、环境（物体及物体表面）样本15964份进行新冠病毒核酸检测，切实做到早发现早报告。</w:t>
      </w:r>
      <w:r>
        <w:rPr>
          <w:rFonts w:hint="eastAsia" w:eastAsia="仿宋_GB2312" w:cs="仿宋_GB2312"/>
          <w:b/>
          <w:bCs/>
          <w:snapToGrid w:val="0"/>
          <w:sz w:val="32"/>
          <w:szCs w:val="32"/>
        </w:rPr>
        <w:t>四是</w:t>
      </w:r>
      <w:r>
        <w:rPr>
          <w:rFonts w:hint="eastAsia" w:eastAsia="仿宋_GB2312" w:cs="仿宋_GB2312"/>
          <w:snapToGrid w:val="0"/>
          <w:sz w:val="32"/>
          <w:szCs w:val="32"/>
        </w:rPr>
        <w:t>强化防控能力提升。对镇（街道）、村（社区）、各部门（单位）和各行业人员开展社区卫生员培训4期，专项培训1场，累计培训504人次。</w:t>
      </w:r>
      <w:r>
        <w:rPr>
          <w:rFonts w:hint="eastAsia" w:eastAsia="仿宋_GB2312" w:cs="仿宋_GB2312"/>
          <w:b/>
          <w:bCs/>
          <w:sz w:val="32"/>
          <w:szCs w:val="32"/>
        </w:rPr>
        <w:t>五是</w:t>
      </w:r>
      <w:r>
        <w:rPr>
          <w:rFonts w:hint="eastAsia" w:eastAsia="仿宋_GB2312" w:cs="仿宋_GB2312"/>
          <w:sz w:val="32"/>
          <w:szCs w:val="32"/>
        </w:rPr>
        <w:t>筑牢院感防线。全面强化对基层医疗卫生机构的监管和执法，组织各类疫情防控督导检查2688户次，发现问题200余个并全部现场督促整改完成，行政处罚医疗机构22家，辖区医疗卫生机构始终保持“零感染”。</w:t>
      </w:r>
      <w:r>
        <w:rPr>
          <w:rFonts w:hint="eastAsia" w:eastAsia="仿宋_GB2312" w:cs="仿宋_GB2312"/>
          <w:b/>
          <w:bCs/>
          <w:sz w:val="32"/>
          <w:szCs w:val="32"/>
        </w:rPr>
        <w:t>六是</w:t>
      </w:r>
      <w:r>
        <w:rPr>
          <w:rFonts w:hint="eastAsia" w:eastAsia="仿宋_GB2312" w:cs="仿宋_GB2312"/>
          <w:sz w:val="32"/>
          <w:szCs w:val="32"/>
        </w:rPr>
        <w:t>认真开展隔离管控工作。建成田家湾方舱隔离点并投入使用，储备8家集中隔离点（含）844间房间和204名工作人员，累计集中隔离686人次，转运人员904人次。</w:t>
      </w:r>
      <w:r>
        <w:rPr>
          <w:rFonts w:hint="eastAsia" w:eastAsia="仿宋_GB2312" w:cs="仿宋_GB2312"/>
          <w:b/>
          <w:bCs/>
          <w:sz w:val="32"/>
          <w:szCs w:val="32"/>
        </w:rPr>
        <w:t>七是</w:t>
      </w:r>
      <w:r>
        <w:rPr>
          <w:rFonts w:hint="eastAsia" w:eastAsia="仿宋_GB2312" w:cs="仿宋_GB2312"/>
          <w:sz w:val="32"/>
          <w:szCs w:val="32"/>
        </w:rPr>
        <w:t>快速规范处置疫情。组建采样、流调、消杀等队伍247人，开展流调溯源工作233次，排查管理各类风险人员1528人次。妥善应对9月市内区外突发的新冠肺炎疫情，规范处置11月13日—12月7日区内报告新冠肺炎无症状感染者13例，期间划定高风险区2个、临时管控区域7个，未发生社会面传播。</w:t>
      </w:r>
      <w:r>
        <w:rPr>
          <w:rFonts w:hint="eastAsia" w:eastAsia="仿宋_GB2312" w:cs="仿宋_GB2312"/>
          <w:b/>
          <w:bCs/>
          <w:sz w:val="32"/>
          <w:szCs w:val="32"/>
        </w:rPr>
        <w:t>八是</w:t>
      </w:r>
      <w:r>
        <w:rPr>
          <w:rFonts w:hint="eastAsia" w:eastAsia="仿宋_GB2312" w:cs="仿宋_GB2312"/>
          <w:sz w:val="32"/>
          <w:szCs w:val="32"/>
        </w:rPr>
        <w:t>全力做好核酸检测工作。科学规划设置采样点42个（含社区便民核酸检测采样点6个、交通卡点采样点3个）、采样台102个，强化各类人员、设备、物资“点位化”匹配，确保落点落位落人落责，核酸检测“采、送、检、报”各环节高效衔接，累计提供核酸检测121万人次。</w:t>
      </w:r>
      <w:r>
        <w:rPr>
          <w:rFonts w:hint="eastAsia" w:eastAsia="仿宋_GB2312" w:cs="仿宋_GB2312"/>
          <w:b/>
          <w:bCs/>
          <w:sz w:val="32"/>
          <w:szCs w:val="32"/>
        </w:rPr>
        <w:t>九是</w:t>
      </w:r>
      <w:r>
        <w:rPr>
          <w:rFonts w:hint="eastAsia" w:eastAsia="仿宋_GB2312" w:cs="仿宋_GB2312"/>
          <w:sz w:val="32"/>
          <w:szCs w:val="32"/>
        </w:rPr>
        <w:t>优化疫情防控措施。严格落实国家疫情防控第九版、二十条优化措施和十条优化措施，调整人员管理措施，完成重点人群健康调查22754人，全面恢复基层医疗机构诊疗秩序，依托5家基层医疗卫生机构现有发热哨点，提升改造为10间发热诊室，截至目前已接诊有新冠肺炎相关症状患者11人，转诊至上级医院治疗3人。</w:t>
      </w:r>
    </w:p>
    <w:p>
      <w:pPr>
        <w:adjustRightInd w:val="0"/>
        <w:snapToGrid w:val="0"/>
        <w:spacing w:line="353" w:lineRule="auto"/>
        <w:ind w:firstLine="640" w:firstLineChars="200"/>
        <w:rPr>
          <w:rFonts w:eastAsia="仿宋_GB2312" w:cs="仿宋_GB2312"/>
          <w:sz w:val="32"/>
          <w:szCs w:val="32"/>
        </w:rPr>
      </w:pPr>
      <w:r>
        <w:rPr>
          <w:rFonts w:hint="eastAsia" w:eastAsia="楷体_GB2312" w:cs="楷体_GB2312"/>
          <w:sz w:val="32"/>
          <w:szCs w:val="32"/>
        </w:rPr>
        <w:t>2.持续推进新冠病毒疫苗接种。</w:t>
      </w:r>
      <w:r>
        <w:rPr>
          <w:rFonts w:hint="eastAsia" w:eastAsia="仿宋_GB2312" w:cs="仿宋_GB2312"/>
          <w:sz w:val="32"/>
          <w:szCs w:val="32"/>
        </w:rPr>
        <w:t>积极协调疫苗，科学设置疫苗接种点，开展2轮60岁及以上人群新冠病毒疫苗接种攻坚工作，完成对辖区所有60岁及以上居民入户走访摸排、摸底人数上报和台账建立工作，组建巡回接种队伍入村入户为行动不便、高龄等特殊群体提供“家门口”接种服务，服务覆盖所有镇（街道）和养老机构。全区累计接种318494剂次，现有新冠病毒疫苗库存2114剂次。</w:t>
      </w:r>
    </w:p>
    <w:p>
      <w:pPr>
        <w:adjustRightInd w:val="0"/>
        <w:snapToGrid w:val="0"/>
        <w:spacing w:line="353" w:lineRule="auto"/>
        <w:ind w:firstLine="640" w:firstLineChars="200"/>
        <w:rPr>
          <w:rFonts w:eastAsia="仿宋_GB2312" w:cs="仿宋_GB2312"/>
          <w:sz w:val="32"/>
          <w:szCs w:val="32"/>
        </w:rPr>
      </w:pPr>
      <w:r>
        <w:rPr>
          <w:rFonts w:hint="eastAsia" w:eastAsia="楷体_GB2312" w:cs="楷体_GB2312"/>
          <w:sz w:val="32"/>
          <w:szCs w:val="32"/>
        </w:rPr>
        <w:t>3.深化医改重点任务进展良好。</w:t>
      </w:r>
      <w:r>
        <w:rPr>
          <w:rFonts w:hint="eastAsia" w:eastAsia="仿宋_GB2312" w:cs="仿宋_GB2312"/>
          <w:b/>
          <w:bCs/>
          <w:sz w:val="32"/>
          <w:szCs w:val="32"/>
        </w:rPr>
        <w:t>一是</w:t>
      </w:r>
      <w:r>
        <w:rPr>
          <w:rFonts w:hint="eastAsia" w:eastAsia="仿宋_GB2312" w:cs="仿宋_GB2312"/>
          <w:sz w:val="32"/>
          <w:szCs w:val="32"/>
        </w:rPr>
        <w:t>持续深化医联体建设，积极推进区人民政府与市第二人民医院战略合作相关事项，由市第二人民医院选派1名年轻干部到区卫生健康局挂职副局长，推动深度合作。</w:t>
      </w:r>
      <w:r>
        <w:rPr>
          <w:rFonts w:hint="eastAsia" w:eastAsia="仿宋_GB2312" w:cs="仿宋_GB2312"/>
          <w:b/>
          <w:bCs/>
          <w:sz w:val="32"/>
          <w:szCs w:val="32"/>
        </w:rPr>
        <w:t>二是</w:t>
      </w:r>
      <w:r>
        <w:rPr>
          <w:rFonts w:hint="eastAsia" w:eastAsia="仿宋_GB2312" w:cs="仿宋_GB2312"/>
          <w:sz w:val="32"/>
          <w:szCs w:val="32"/>
        </w:rPr>
        <w:t>全面落实分级诊疗，依托攀枝花市第二人民医院作为医联体牵头医院，攀煤总医院作为补充医院，覆盖辖区5家基层医疗机构，构建西区医联体网络，建立转诊关系，畅通双向转诊机制，实现发热等新冠肺炎相关症状患者的基层首诊、有序转诊。</w:t>
      </w:r>
    </w:p>
    <w:p>
      <w:pPr>
        <w:adjustRightInd w:val="0"/>
        <w:snapToGrid w:val="0"/>
        <w:spacing w:line="353" w:lineRule="auto"/>
        <w:ind w:firstLine="640" w:firstLineChars="200"/>
        <w:rPr>
          <w:rFonts w:eastAsia="仿宋_GB2312" w:cs="仿宋_GB2312"/>
          <w:sz w:val="32"/>
          <w:szCs w:val="32"/>
        </w:rPr>
      </w:pPr>
      <w:r>
        <w:rPr>
          <w:rFonts w:hint="eastAsia" w:eastAsia="楷体_GB2312" w:cs="楷体_GB2312"/>
          <w:sz w:val="32"/>
          <w:szCs w:val="32"/>
        </w:rPr>
        <w:t>4.传染病防控工作稳步推进。</w:t>
      </w:r>
      <w:r>
        <w:rPr>
          <w:rFonts w:hint="eastAsia" w:eastAsia="仿宋_GB2312" w:cs="仿宋_GB2312"/>
          <w:color w:val="000000"/>
          <w:sz w:val="32"/>
          <w:szCs w:val="32"/>
        </w:rPr>
        <w:t>全面开展传染病疫情监测，突发急性传染病有效处置率达100％。加大传染病防控工作力度，严格执行疫情报告管理制度，</w:t>
      </w:r>
      <w:r>
        <w:rPr>
          <w:rFonts w:hint="eastAsia" w:eastAsia="仿宋_GB2312" w:cs="仿宋_GB2312"/>
          <w:sz w:val="32"/>
          <w:szCs w:val="32"/>
        </w:rPr>
        <w:t>开展全区传染病报告管理工作专项督导1次，覆盖辖区所有基层医疗机构。</w:t>
      </w:r>
      <w:r>
        <w:rPr>
          <w:rFonts w:hint="eastAsia" w:eastAsia="仿宋_GB2312" w:cs="仿宋_GB2312"/>
          <w:color w:val="000000"/>
          <w:sz w:val="32"/>
          <w:szCs w:val="32"/>
        </w:rPr>
        <w:t>截至目前，全区法定传染病发病率低于全市平均水平，</w:t>
      </w:r>
      <w:r>
        <w:rPr>
          <w:rFonts w:hint="eastAsia" w:eastAsia="仿宋_GB2312" w:cs="仿宋_GB2312"/>
          <w:sz w:val="32"/>
          <w:szCs w:val="32"/>
        </w:rPr>
        <w:t>艾滋病、结核病等重大传染病防治工作成效明显。</w:t>
      </w:r>
      <w:r>
        <w:rPr>
          <w:rFonts w:hint="eastAsia" w:eastAsia="仿宋_GB2312" w:cs="仿宋_GB2312"/>
          <w:color w:val="000000"/>
          <w:sz w:val="32"/>
          <w:szCs w:val="32"/>
        </w:rPr>
        <w:t>全区报告法定传染病11种379例，发病率292.88/10万，发病率较去年同期下降37.97%；死亡6例，死亡率4.64/10万，死亡率较去年同期（6例）无明显变化。</w:t>
      </w:r>
    </w:p>
    <w:p>
      <w:pPr>
        <w:adjustRightInd w:val="0"/>
        <w:snapToGrid w:val="0"/>
        <w:spacing w:line="353" w:lineRule="auto"/>
        <w:ind w:firstLine="640" w:firstLineChars="200"/>
        <w:rPr>
          <w:rFonts w:eastAsia="仿宋_GB2312" w:cs="仿宋_GB2312"/>
          <w:sz w:val="32"/>
          <w:szCs w:val="32"/>
        </w:rPr>
      </w:pPr>
      <w:r>
        <w:rPr>
          <w:rFonts w:hint="eastAsia" w:eastAsia="楷体_GB2312" w:cs="楷体_GB2312"/>
          <w:sz w:val="32"/>
          <w:szCs w:val="32"/>
        </w:rPr>
        <w:t>5.中医药服务能力不断提升。</w:t>
      </w:r>
      <w:r>
        <w:rPr>
          <w:rFonts w:hint="eastAsia" w:eastAsia="仿宋_GB2312" w:cs="仿宋_GB2312"/>
          <w:b/>
          <w:bCs/>
          <w:sz w:val="32"/>
          <w:szCs w:val="32"/>
        </w:rPr>
        <w:t>一是</w:t>
      </w:r>
      <w:r>
        <w:rPr>
          <w:rFonts w:hint="eastAsia" w:eastAsia="仿宋_GB2312" w:cs="仿宋_GB2312"/>
          <w:sz w:val="32"/>
          <w:szCs w:val="32"/>
        </w:rPr>
        <w:t>积极完善中医药领导小组机制，开展中医强基层“百千万”行动，统筹辖区中医医疗资源，以高年资中医医师为主，选派中医医师下沉村卫生室、社区卫生服务站，确保每个村卫生室、社区卫生服务站均有1名区级中医类别医师驻点帮扶。截至目前，到基层坐诊诊疗1473人次，指导运用中医理论诊1433人次，开展中医适宜技术培训94次，开展中医药健康知识宣讲94次。</w:t>
      </w:r>
      <w:r>
        <w:rPr>
          <w:rFonts w:hint="eastAsia" w:eastAsia="仿宋_GB2312" w:cs="仿宋_GB2312"/>
          <w:b/>
          <w:bCs/>
          <w:sz w:val="32"/>
          <w:szCs w:val="32"/>
        </w:rPr>
        <w:t>二是</w:t>
      </w:r>
      <w:r>
        <w:rPr>
          <w:rFonts w:hint="eastAsia" w:eastAsia="仿宋_GB2312" w:cs="仿宋_GB2312"/>
          <w:sz w:val="32"/>
          <w:szCs w:val="32"/>
        </w:rPr>
        <w:t>健全中医药服务网络，100%的乡镇卫生院、社区卫生服务中心配备有中医类别执业医师，95%以上的村卫生室、社区卫生服务站能提供中医药服务。</w:t>
      </w:r>
      <w:r>
        <w:rPr>
          <w:rFonts w:hint="eastAsia" w:eastAsia="仿宋_GB2312" w:cs="仿宋_GB2312"/>
          <w:b/>
          <w:bCs/>
          <w:sz w:val="32"/>
          <w:szCs w:val="32"/>
        </w:rPr>
        <w:t>三是</w:t>
      </w:r>
      <w:r>
        <w:rPr>
          <w:rFonts w:hint="eastAsia" w:eastAsia="仿宋_GB2312" w:cs="仿宋_GB2312"/>
          <w:sz w:val="32"/>
          <w:szCs w:val="32"/>
        </w:rPr>
        <w:t>大力实施中医治未病健康促进行动。开展65岁以上老年人和0-36个月儿童的中医药健康管理，截</w:t>
      </w:r>
      <w:r>
        <w:rPr>
          <w:rFonts w:hint="eastAsia" w:eastAsia="仿宋_GB2312" w:cs="仿宋_GB2312"/>
          <w:sz w:val="32"/>
          <w:szCs w:val="32"/>
          <w:lang w:val="en-US" w:eastAsia="zh-CN"/>
        </w:rPr>
        <w:t>至</w:t>
      </w:r>
      <w:r>
        <w:rPr>
          <w:rFonts w:hint="eastAsia" w:eastAsia="仿宋_GB2312" w:cs="仿宋_GB2312"/>
          <w:sz w:val="32"/>
          <w:szCs w:val="32"/>
        </w:rPr>
        <w:t>目前，服务覆盖率分别达到41%和87%。</w:t>
      </w:r>
      <w:r>
        <w:rPr>
          <w:rFonts w:hint="eastAsia" w:eastAsia="仿宋_GB2312" w:cs="仿宋_GB2312"/>
          <w:b/>
          <w:bCs/>
          <w:sz w:val="32"/>
          <w:szCs w:val="32"/>
        </w:rPr>
        <w:t>四是</w:t>
      </w:r>
      <w:r>
        <w:rPr>
          <w:rFonts w:hint="eastAsia" w:eastAsia="仿宋_GB2312" w:cs="仿宋_GB2312"/>
          <w:sz w:val="32"/>
          <w:szCs w:val="32"/>
        </w:rPr>
        <w:t>中医药助力疫情防控，开展中医药防疫科普宣教，为高速路口卡点工作人员、居家隔离人员、隔离点工作人员、居家健康监测居民等重点人群免费提供中药“大锅汤”4500余份。</w:t>
      </w:r>
      <w:r>
        <w:rPr>
          <w:rFonts w:hint="eastAsia" w:eastAsia="仿宋_GB2312" w:cs="仿宋_GB2312"/>
          <w:b/>
          <w:bCs/>
          <w:sz w:val="32"/>
          <w:szCs w:val="32"/>
        </w:rPr>
        <w:t>五是</w:t>
      </w:r>
      <w:r>
        <w:rPr>
          <w:rFonts w:hint="eastAsia" w:eastAsia="仿宋_GB2312" w:cs="仿宋_GB2312"/>
          <w:sz w:val="32"/>
          <w:szCs w:val="32"/>
        </w:rPr>
        <w:t>中医药特色优势凸显。清香坪社区卫生服务中心妇科、小儿推拿中心，河门口社区卫生服务中心颈椎病、肩周炎慢性病治疗中心等特色中医理疗科室建设初具规模，创新研发香囊、酒饮、保健枕等中医药产品20余个。</w:t>
      </w:r>
    </w:p>
    <w:p>
      <w:pPr>
        <w:adjustRightInd w:val="0"/>
        <w:snapToGrid w:val="0"/>
        <w:spacing w:line="353" w:lineRule="auto"/>
        <w:ind w:firstLine="640" w:firstLineChars="200"/>
        <w:rPr>
          <w:rFonts w:eastAsia="仿宋_GB2312" w:cs="仿宋_GB2312"/>
          <w:sz w:val="32"/>
          <w:szCs w:val="32"/>
        </w:rPr>
      </w:pPr>
      <w:r>
        <w:rPr>
          <w:rFonts w:hint="eastAsia" w:eastAsia="楷体_GB2312" w:cs="楷体_GB2312"/>
          <w:sz w:val="32"/>
          <w:szCs w:val="32"/>
        </w:rPr>
        <w:t>6.稳步推进卫生监督执法，切实消除职业卫生“零办案”。</w:t>
      </w:r>
      <w:r>
        <w:rPr>
          <w:rFonts w:hint="eastAsia" w:eastAsia="仿宋_GB2312" w:cs="仿宋_GB2312"/>
          <w:b/>
          <w:sz w:val="32"/>
          <w:szCs w:val="32"/>
        </w:rPr>
        <w:t>一是</w:t>
      </w:r>
      <w:r>
        <w:rPr>
          <w:rFonts w:hint="eastAsia" w:eastAsia="仿宋_GB2312" w:cs="仿宋_GB2312"/>
          <w:sz w:val="32"/>
          <w:szCs w:val="32"/>
        </w:rPr>
        <w:t>推动“网络+监管”，确保医废管理更安全。积极谋划、提前布局，逐步在基层医疗卫生机构推广医废暂存间安装监控设备，利用现代网络对医疗废物开展可视化管理，实现基层医疗卫生机构医疗废物在线监管，在线追溯医疗废物转运过程。共有87家基层医疗卫生机构安装了在线监控设备。</w:t>
      </w:r>
      <w:r>
        <w:rPr>
          <w:rFonts w:hint="eastAsia" w:eastAsia="仿宋_GB2312" w:cs="仿宋_GB2312"/>
          <w:b/>
          <w:sz w:val="32"/>
          <w:szCs w:val="32"/>
        </w:rPr>
        <w:t>二是</w:t>
      </w:r>
      <w:r>
        <w:rPr>
          <w:rFonts w:hint="eastAsia" w:eastAsia="仿宋_GB2312" w:cs="仿宋_GB2312"/>
          <w:sz w:val="32"/>
          <w:szCs w:val="32"/>
        </w:rPr>
        <w:t>强化学校卫生监督检查，确保校园卫生安全。开展2022年春、秋季学期学校、托幼机构卫生安全专项整治工作，累计检查区属学校11所、托幼机构20所。</w:t>
      </w:r>
      <w:r>
        <w:rPr>
          <w:rFonts w:hint="eastAsia" w:eastAsia="仿宋_GB2312" w:cs="仿宋_GB2312"/>
          <w:b/>
          <w:sz w:val="32"/>
          <w:szCs w:val="32"/>
        </w:rPr>
        <w:t>三是</w:t>
      </w:r>
      <w:r>
        <w:rPr>
          <w:rFonts w:hint="eastAsia" w:eastAsia="仿宋_GB2312" w:cs="仿宋_GB2312"/>
          <w:sz w:val="32"/>
          <w:szCs w:val="32"/>
        </w:rPr>
        <w:t>强化随机监督抽查，引导尊法守法。完成2022年“双随机、一公开”监督抽检任务52户，任务完结率100%，立案查处违法违规行为3件，罚款0.45万元。</w:t>
      </w:r>
      <w:r>
        <w:rPr>
          <w:rFonts w:hint="eastAsia" w:eastAsia="仿宋_GB2312" w:cs="仿宋_GB2312"/>
          <w:b/>
          <w:sz w:val="32"/>
          <w:szCs w:val="32"/>
        </w:rPr>
        <w:t>四是</w:t>
      </w:r>
      <w:r>
        <w:rPr>
          <w:rFonts w:hint="eastAsia" w:eastAsia="仿宋_GB2312" w:cs="仿宋_GB2312"/>
          <w:sz w:val="32"/>
          <w:szCs w:val="32"/>
        </w:rPr>
        <w:t>严格日常监督检查，查处各行业违法行为。对公共卫生、医疗卫生、职业卫生、计划生育等领域开展日常监督检查，累计出动卫生监督员7000余人次，检查各类经营场所3000余户次，办理卫生行政处罚案件66件，罚没金额6.72万元。</w:t>
      </w:r>
      <w:r>
        <w:rPr>
          <w:rFonts w:hint="eastAsia" w:eastAsia="仿宋_GB2312" w:cs="仿宋_GB2312"/>
          <w:b/>
          <w:sz w:val="32"/>
          <w:szCs w:val="32"/>
        </w:rPr>
        <w:t>五是</w:t>
      </w:r>
      <w:r>
        <w:rPr>
          <w:rFonts w:hint="eastAsia" w:eastAsia="仿宋_GB2312" w:cs="仿宋_GB2312"/>
          <w:sz w:val="32"/>
          <w:szCs w:val="32"/>
        </w:rPr>
        <w:t>积极开展卫生健康行业突出问题专项整治和卫生健康行业领域不合理医疗检查专项治理工作，累计出动执法人员220余人次，完成联合打击非法行医突击行动2次，打非巡查80余次，均未发现有非法行医的相关人员和行为。</w:t>
      </w:r>
      <w:r>
        <w:rPr>
          <w:rFonts w:hint="eastAsia" w:eastAsia="仿宋_GB2312" w:cs="仿宋_GB2312"/>
          <w:b/>
          <w:bCs/>
          <w:sz w:val="32"/>
          <w:szCs w:val="32"/>
        </w:rPr>
        <w:t>六是</w:t>
      </w:r>
      <w:r>
        <w:rPr>
          <w:rFonts w:hint="eastAsia" w:eastAsia="仿宋_GB2312" w:cs="仿宋_GB2312"/>
          <w:sz w:val="32"/>
          <w:szCs w:val="32"/>
        </w:rPr>
        <w:t>深入推进职业病防治工作。建立健全职业病防治基础建设和监管责任体系，开展职业病危害专项治理，完成治理任务10户，</w:t>
      </w:r>
      <w:r>
        <w:rPr>
          <w:rFonts w:hint="eastAsia" w:eastAsia="仿宋_GB2312" w:cs="仿宋_GB2312"/>
          <w:kern w:val="0"/>
          <w:sz w:val="32"/>
          <w:szCs w:val="32"/>
        </w:rPr>
        <w:t>对67户职业健康管理用人单位开展监督检查，共下达监督意见100余份，办理处罚案件8件，罚款1.1万元。</w:t>
      </w:r>
      <w:r>
        <w:rPr>
          <w:rFonts w:hint="eastAsia" w:eastAsia="仿宋_GB2312" w:cs="仿宋_GB2312"/>
          <w:sz w:val="32"/>
          <w:szCs w:val="32"/>
        </w:rPr>
        <w:t>建成格里坪镇尘肺病康复站为全区尘肺患者提供康复理疗、康复训练等医疗服务，系统内档案建立107人，全面评估107人。2022年省级专家组2次到尘肺病康复站调研指导，工作情况得到专家组充分肯定。</w:t>
      </w:r>
    </w:p>
    <w:p>
      <w:pPr>
        <w:pStyle w:val="29"/>
        <w:adjustRightInd w:val="0"/>
        <w:snapToGrid w:val="0"/>
        <w:spacing w:line="353" w:lineRule="auto"/>
        <w:ind w:firstLine="640"/>
        <w:rPr>
          <w:rFonts w:hint="default" w:eastAsia="仿宋_GB2312" w:cs="仿宋_GB2312"/>
          <w:color w:val="000000" w:themeColor="text1"/>
          <w:sz w:val="32"/>
          <w:szCs w:val="32"/>
          <w14:textFill>
            <w14:solidFill>
              <w14:schemeClr w14:val="tx1"/>
            </w14:solidFill>
          </w14:textFill>
        </w:rPr>
      </w:pPr>
      <w:r>
        <w:rPr>
          <w:rFonts w:eastAsia="楷体_GB2312" w:cs="楷体_GB2312"/>
          <w:color w:val="000000" w:themeColor="text1"/>
          <w:sz w:val="32"/>
          <w:szCs w:val="32"/>
          <w14:textFill>
            <w14:solidFill>
              <w14:schemeClr w14:val="tx1"/>
            </w14:solidFill>
          </w14:textFill>
        </w:rPr>
        <w:t>7.基层公卫优化效能。</w:t>
      </w:r>
      <w:r>
        <w:rPr>
          <w:rFonts w:eastAsia="仿宋_GB2312" w:cs="仿宋_GB2312"/>
          <w:b/>
          <w:sz w:val="32"/>
          <w:szCs w:val="32"/>
        </w:rPr>
        <w:t>一是</w:t>
      </w:r>
      <w:r>
        <w:rPr>
          <w:rFonts w:eastAsia="仿宋_GB2312" w:cs="仿宋_GB2312"/>
          <w:sz w:val="32"/>
          <w:szCs w:val="32"/>
        </w:rPr>
        <w:t>严格落实12项国家基本公共卫生服务。累计为12.84万人提供基本公共卫生服务，服务人口进度达到100%。全区累计建立电子健康档案122615份，建档率94.83%，0—6儿童健康管理率94.16%，0—3岁儿童中医药健康管理服务率90.19%，社区在册居家严重精神障碍患者健康管理率92.42%，早孕建册率和产后访视率分别为94.49%、97.80%。</w:t>
      </w:r>
      <w:r>
        <w:rPr>
          <w:rFonts w:eastAsia="仿宋_GB2312" w:cs="仿宋_GB2312"/>
          <w:b/>
          <w:bCs/>
          <w:sz w:val="32"/>
          <w:szCs w:val="32"/>
        </w:rPr>
        <w:t>二是</w:t>
      </w:r>
      <w:r>
        <w:rPr>
          <w:rFonts w:eastAsia="仿宋_GB2312" w:cs="仿宋_GB2312"/>
          <w:sz w:val="32"/>
          <w:szCs w:val="32"/>
        </w:rPr>
        <w:t>深入推进家庭医生签约服务。27个家庭医生服务团队签约重点人群24571人，签约普通人群22909人。</w:t>
      </w:r>
    </w:p>
    <w:p>
      <w:pPr>
        <w:adjustRightInd w:val="0"/>
        <w:snapToGrid w:val="0"/>
        <w:spacing w:line="353" w:lineRule="auto"/>
        <w:ind w:firstLine="640" w:firstLineChars="200"/>
        <w:rPr>
          <w:rFonts w:eastAsia="仿宋_GB2312" w:cs="仿宋_GB2312"/>
          <w:sz w:val="32"/>
          <w:szCs w:val="32"/>
        </w:rPr>
      </w:pPr>
      <w:r>
        <w:rPr>
          <w:rFonts w:hint="eastAsia" w:eastAsia="楷体_GB2312" w:cs="楷体_GB2312"/>
          <w:sz w:val="32"/>
          <w:szCs w:val="32"/>
        </w:rPr>
        <w:t>8.计生服务温暖民心。</w:t>
      </w:r>
      <w:r>
        <w:rPr>
          <w:rFonts w:hint="eastAsia" w:eastAsia="仿宋_GB2312" w:cs="仿宋_GB2312"/>
          <w:b/>
          <w:bCs/>
          <w:sz w:val="32"/>
          <w:szCs w:val="32"/>
        </w:rPr>
        <w:t>一是</w:t>
      </w:r>
      <w:r>
        <w:rPr>
          <w:rFonts w:hint="eastAsia" w:eastAsia="仿宋_GB2312" w:cs="仿宋_GB2312"/>
          <w:sz w:val="32"/>
          <w:szCs w:val="32"/>
        </w:rPr>
        <w:t>积极开展“暖心家园”项目，加大医疗关怀、心理慰藉、法律援助等力度，开展集体庆生、户外游园等活动6次。</w:t>
      </w:r>
      <w:r>
        <w:rPr>
          <w:rFonts w:hint="eastAsia" w:eastAsia="仿宋_GB2312" w:cs="仿宋_GB2312"/>
          <w:b/>
          <w:bCs/>
          <w:sz w:val="32"/>
          <w:szCs w:val="32"/>
        </w:rPr>
        <w:t>二是</w:t>
      </w:r>
      <w:r>
        <w:rPr>
          <w:rFonts w:hint="eastAsia" w:eastAsia="仿宋_GB2312" w:cs="仿宋_GB2312"/>
          <w:sz w:val="32"/>
          <w:szCs w:val="32"/>
        </w:rPr>
        <w:t>加强计划生育家庭扶助关怀，严格按照计生政策规定，对享受计划生育特别扶助对象逐户逐人进行核实，2022年，全区享受计划生育（独生子女死亡、伤残）家庭特别扶助450人，通过“一卡通”平台发放了全年扶助金（含公共交通补贴）492.977万元。享受计划生育家庭特别扶助（其它）297人，发放扶助金81.972万元，享受农村计划生育家庭奖励扶助179人，发放扶助金17.184万元。</w:t>
      </w:r>
      <w:r>
        <w:rPr>
          <w:rFonts w:hint="eastAsia" w:eastAsia="仿宋_GB2312" w:cs="仿宋_GB2312"/>
          <w:b/>
          <w:bCs/>
          <w:sz w:val="32"/>
          <w:szCs w:val="32"/>
        </w:rPr>
        <w:t>三是</w:t>
      </w:r>
      <w:r>
        <w:rPr>
          <w:rFonts w:hint="eastAsia" w:eastAsia="仿宋_GB2312" w:cs="仿宋_GB2312"/>
          <w:sz w:val="32"/>
          <w:szCs w:val="32"/>
        </w:rPr>
        <w:t>落实生育服务政策。2月兑现发放了2021年20户的育儿补贴金3.25万元。西区共申请育儿补贴56户，已完成逐一审核并录入阳光审批平台，预计2023年将发放育儿补贴20万元。</w:t>
      </w:r>
    </w:p>
    <w:p>
      <w:pPr>
        <w:pStyle w:val="29"/>
        <w:adjustRightInd w:val="0"/>
        <w:snapToGrid w:val="0"/>
        <w:spacing w:line="353" w:lineRule="auto"/>
        <w:ind w:firstLine="640"/>
        <w:rPr>
          <w:rFonts w:hint="default" w:eastAsia="仿宋_GB2312" w:cs="仿宋_GB2312"/>
          <w:sz w:val="32"/>
          <w:szCs w:val="32"/>
        </w:rPr>
      </w:pPr>
      <w:r>
        <w:rPr>
          <w:rFonts w:eastAsia="楷体_GB2312" w:cs="楷体_GB2312"/>
          <w:color w:val="000000" w:themeColor="text1"/>
          <w:sz w:val="32"/>
          <w:szCs w:val="32"/>
          <w14:textFill>
            <w14:solidFill>
              <w14:schemeClr w14:val="tx1"/>
            </w14:solidFill>
          </w14:textFill>
        </w:rPr>
        <w:t>9.健康西区强力推进。</w:t>
      </w:r>
      <w:r>
        <w:rPr>
          <w:rFonts w:eastAsia="仿宋_GB2312" w:cs="仿宋_GB2312"/>
          <w:sz w:val="32"/>
          <w:szCs w:val="32"/>
        </w:rPr>
        <w:t>深入开展爱国卫生运动，开展春、秋季病媒生物防制活动，完成全区病媒生物防制集中消杀10次，清香坪街道病媒生物密度控制在全市秋季病媒生物防制效果评估中达到A级标准。深入推进卫生创建和健康细胞建设，2022年底预计创建成功省级卫生单位9个、市级卫生单位29个，健康单位9个、健康社区4个、健康学校2个、健康医院1个，健康家庭50户。牵头组织全区400余名干部职工参加第七届“万步有约”健走激励大赛拓展赛，取得全省团队第一名的佳绩。牵头组织全区2000余名干部人才进行健康体检，有效防范疾病风险，增强身体素质。</w:t>
      </w:r>
    </w:p>
    <w:p>
      <w:pPr>
        <w:pStyle w:val="29"/>
        <w:adjustRightInd w:val="0"/>
        <w:snapToGrid w:val="0"/>
        <w:spacing w:line="353" w:lineRule="auto"/>
        <w:ind w:firstLine="640"/>
        <w:rPr>
          <w:rFonts w:hint="default" w:eastAsia="仿宋_GB2312" w:cs="仿宋_GB2312"/>
          <w:sz w:val="32"/>
          <w:szCs w:val="32"/>
        </w:rPr>
      </w:pPr>
      <w:r>
        <w:rPr>
          <w:rFonts w:eastAsia="楷体_GB2312" w:cs="楷体_GB2312"/>
          <w:color w:val="000000" w:themeColor="text1"/>
          <w:sz w:val="32"/>
          <w:szCs w:val="32"/>
          <w14:textFill>
            <w14:solidFill>
              <w14:schemeClr w14:val="tx1"/>
            </w14:solidFill>
          </w14:textFill>
        </w:rPr>
        <w:t>10.妇幼保健服务更加安全。</w:t>
      </w:r>
      <w:r>
        <w:rPr>
          <w:rFonts w:eastAsia="仿宋_GB2312" w:cs="仿宋_GB2312"/>
          <w:b/>
          <w:bCs/>
          <w:sz w:val="32"/>
          <w:szCs w:val="32"/>
        </w:rPr>
        <w:t>一是</w:t>
      </w:r>
      <w:r>
        <w:rPr>
          <w:rFonts w:eastAsia="仿宋_GB2312" w:cs="仿宋_GB2312"/>
          <w:sz w:val="32"/>
          <w:szCs w:val="32"/>
        </w:rPr>
        <w:t>全面推行免费婚前检查、免费孕前优生健康检查、增补叶酸、免费基本避孕服务等妇幼卫生项目，累计完成婚检371.5对，孕前优生210对，补服叶酸260人，审核孕产妇住院分娩补助75人，实际报销51人。</w:t>
      </w:r>
      <w:r>
        <w:rPr>
          <w:rFonts w:eastAsia="仿宋_GB2312" w:cs="仿宋_GB2312"/>
          <w:b/>
          <w:bCs/>
          <w:sz w:val="32"/>
          <w:szCs w:val="32"/>
        </w:rPr>
        <w:t>二是</w:t>
      </w:r>
      <w:r>
        <w:rPr>
          <w:rFonts w:eastAsia="仿宋_GB2312" w:cs="仿宋_GB2312"/>
          <w:sz w:val="32"/>
          <w:szCs w:val="32"/>
        </w:rPr>
        <w:t>深化儿童保健服务内涵，结合0—6岁儿童健康管理项目，加强婴幼儿营养喂养指导，推进儿童眼保健服务规范落实，加强人员培训和技术指导，开展儿童口腔卫生核心知识宣传，开展幼儿园涂氟507人和6—9岁小学生窝沟封闭2000颗。</w:t>
      </w:r>
    </w:p>
    <w:p>
      <w:pPr>
        <w:pStyle w:val="29"/>
        <w:adjustRightInd w:val="0"/>
        <w:snapToGrid w:val="0"/>
        <w:spacing w:line="353" w:lineRule="auto"/>
        <w:ind w:firstLine="640"/>
        <w:rPr>
          <w:rFonts w:hint="default" w:eastAsia="仿宋_GB2312" w:cs="仿宋_GB2312"/>
          <w:sz w:val="32"/>
          <w:szCs w:val="32"/>
        </w:rPr>
      </w:pPr>
      <w:r>
        <w:rPr>
          <w:rFonts w:eastAsia="楷体_GB2312" w:cs="楷体_GB2312"/>
          <w:color w:val="000000" w:themeColor="text1"/>
          <w:sz w:val="32"/>
          <w:szCs w:val="32"/>
          <w14:textFill>
            <w14:solidFill>
              <w14:schemeClr w14:val="tx1"/>
            </w14:solidFill>
          </w14:textFill>
        </w:rPr>
        <w:t>11.卫生人才队伍建设水平不断提升。</w:t>
      </w:r>
      <w:r>
        <w:rPr>
          <w:rFonts w:eastAsia="仿宋_GB2312" w:cs="仿宋_GB2312"/>
          <w:b/>
          <w:bCs/>
          <w:sz w:val="32"/>
          <w:szCs w:val="32"/>
        </w:rPr>
        <w:t>一是</w:t>
      </w:r>
      <w:r>
        <w:rPr>
          <w:rFonts w:eastAsia="仿宋_GB2312" w:cs="仿宋_GB2312"/>
          <w:sz w:val="32"/>
          <w:szCs w:val="32"/>
        </w:rPr>
        <w:t>加强人才招引力度。牵头开展2022年公共卫生特别服务岗人员招募工作，设立25个医疗卫生岗面向社会公开招募，进一步稳住就业形势，充实疫情防控工作力量，目前已招募19名医学类人才，另有6名医学类人才预计2023年1月培训上岗。</w:t>
      </w:r>
      <w:r>
        <w:rPr>
          <w:rFonts w:eastAsia="仿宋_GB2312" w:cs="仿宋_GB2312"/>
          <w:b/>
          <w:bCs/>
          <w:sz w:val="32"/>
          <w:szCs w:val="32"/>
        </w:rPr>
        <w:t>二是</w:t>
      </w:r>
      <w:r>
        <w:rPr>
          <w:rFonts w:eastAsia="仿宋_GB2312" w:cs="仿宋_GB2312"/>
          <w:sz w:val="32"/>
          <w:szCs w:val="32"/>
        </w:rPr>
        <w:t>建立人才激励制度。2022年护士节、医师节共评选出优秀护士22人、优秀管理人员10人、优秀医师20人、优秀医技（药）师8人，并予以表彰。</w:t>
      </w:r>
      <w:r>
        <w:rPr>
          <w:rFonts w:eastAsia="仿宋_GB2312" w:cs="仿宋_GB2312"/>
          <w:b/>
          <w:bCs/>
          <w:sz w:val="32"/>
          <w:szCs w:val="32"/>
        </w:rPr>
        <w:t>三是</w:t>
      </w:r>
      <w:r>
        <w:rPr>
          <w:rFonts w:eastAsia="仿宋_GB2312" w:cs="仿宋_GB2312"/>
          <w:sz w:val="32"/>
          <w:szCs w:val="32"/>
        </w:rPr>
        <w:t>强化人才进修培训。组织系统内干部职工参加省、市、区各类进修培训190余人次，专业能力水平得到进一步提升。</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widowControl/>
        <w:adjustRightInd w:val="0"/>
        <w:snapToGrid w:val="0"/>
        <w:spacing w:line="580" w:lineRule="exact"/>
        <w:ind w:firstLine="640" w:firstLineChars="200"/>
        <w:jc w:val="left"/>
        <w:rPr>
          <w:rFonts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202</w:t>
      </w:r>
      <w:r>
        <w:rPr>
          <w:rFonts w:ascii="仿宋_GB2312" w:hAnsi="宋体" w:eastAsia="仿宋_GB2312" w:cs="宋体"/>
          <w:color w:val="000000"/>
          <w:kern w:val="0"/>
          <w:sz w:val="32"/>
          <w:szCs w:val="32"/>
          <w:shd w:val="clear" w:color="auto" w:fill="FFFFFF"/>
        </w:rPr>
        <w:t>2</w:t>
      </w:r>
      <w:r>
        <w:rPr>
          <w:rFonts w:hint="eastAsia" w:ascii="仿宋_GB2312" w:hAnsi="宋体" w:eastAsia="仿宋_GB2312" w:cs="宋体"/>
          <w:color w:val="000000"/>
          <w:kern w:val="0"/>
          <w:sz w:val="32"/>
          <w:szCs w:val="32"/>
          <w:shd w:val="clear" w:color="auto" w:fill="FFFFFF"/>
          <w:lang w:val="zh-CN"/>
        </w:rPr>
        <w:t>年，</w:t>
      </w:r>
      <w:r>
        <w:rPr>
          <w:rFonts w:hint="eastAsia" w:eastAsia="仿宋_GB2312" w:cs="仿宋_GB2312"/>
          <w:sz w:val="32"/>
          <w:szCs w:val="32"/>
        </w:rPr>
        <w:t>区卫生健康局及所属二级单位按要求对年初预算资金开展事前、事中及事后绩效管理，使有限的财政资金统筹调控能力进一步增强，预算管理水平和政策实施效果进一步提升；切实转变资金使用理念，推进预算绩效管理工作中每一个程序、每一个环节、每一个要素的科学化、规范化、合理化、高效化。</w:t>
      </w:r>
    </w:p>
    <w:p>
      <w:pPr>
        <w:widowControl/>
        <w:adjustRightInd w:val="0"/>
        <w:snapToGrid w:val="0"/>
        <w:spacing w:line="580" w:lineRule="exact"/>
        <w:ind w:firstLine="640" w:firstLineChars="200"/>
        <w:jc w:val="left"/>
        <w:rPr>
          <w:rFonts w:eastAsia="仿宋_GB2312" w:cs="仿宋_GB2312"/>
          <w:sz w:val="32"/>
          <w:szCs w:val="32"/>
        </w:rPr>
      </w:pPr>
      <w:r>
        <w:rPr>
          <w:rFonts w:hint="eastAsia" w:eastAsia="仿宋_GB2312" w:cs="仿宋_GB2312"/>
          <w:sz w:val="32"/>
          <w:szCs w:val="32"/>
        </w:rPr>
        <w:t>全年完成调整预算的1</w:t>
      </w:r>
      <w:r>
        <w:rPr>
          <w:rFonts w:eastAsia="仿宋_GB2312" w:cs="仿宋_GB2312"/>
          <w:sz w:val="32"/>
          <w:szCs w:val="32"/>
        </w:rPr>
        <w:t>00</w:t>
      </w:r>
      <w:r>
        <w:rPr>
          <w:rFonts w:hint="eastAsia" w:eastAsia="仿宋_GB2312" w:cs="仿宋_GB2312"/>
          <w:sz w:val="32"/>
          <w:szCs w:val="32"/>
        </w:rPr>
        <w:t>%，无违规违纪经费支出。</w:t>
      </w:r>
    </w:p>
    <w:p>
      <w:pPr>
        <w:widowControl/>
        <w:adjustRightInd w:val="0"/>
        <w:snapToGrid w:val="0"/>
        <w:spacing w:line="572" w:lineRule="exact"/>
        <w:ind w:firstLine="640" w:firstLineChars="200"/>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72" w:lineRule="exact"/>
        <w:ind w:firstLine="643" w:firstLineChars="200"/>
        <w:jc w:val="left"/>
        <w:rPr>
          <w:rFonts w:ascii="楷体_GB2312" w:hAnsi="楷体_GB2312" w:eastAsia="楷体_GB2312" w:cs="楷体_GB2312"/>
          <w:b/>
          <w:bCs/>
          <w:kern w:val="0"/>
          <w:sz w:val="32"/>
          <w:szCs w:val="32"/>
          <w:shd w:val="clear" w:color="auto" w:fill="FFFFFF"/>
          <w:lang w:val="zh-CN"/>
        </w:rPr>
      </w:pPr>
      <w:r>
        <w:rPr>
          <w:rFonts w:hint="eastAsia" w:ascii="仿宋_GB2312" w:hAnsi="宋体" w:eastAsia="仿宋_GB2312" w:cs="宋体"/>
          <w:b/>
          <w:kern w:val="0"/>
          <w:sz w:val="32"/>
          <w:szCs w:val="32"/>
          <w:shd w:val="clear" w:color="auto" w:fill="FFFFFF"/>
          <w:lang w:val="zh-CN"/>
        </w:rPr>
        <w:t>（一）</w:t>
      </w:r>
      <w:r>
        <w:rPr>
          <w:rFonts w:hint="eastAsia" w:ascii="楷体_GB2312" w:hAnsi="楷体_GB2312" w:eastAsia="楷体_GB2312" w:cs="楷体_GB2312"/>
          <w:b/>
          <w:bCs/>
          <w:kern w:val="0"/>
          <w:sz w:val="32"/>
          <w:szCs w:val="32"/>
          <w:shd w:val="clear" w:color="auto" w:fill="FFFFFF"/>
          <w:lang w:val="zh-CN"/>
        </w:rPr>
        <w:t>部门总体收支情况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2</w:t>
      </w:r>
      <w:r>
        <w:rPr>
          <w:rFonts w:hint="eastAsia" w:ascii="仿宋_GB2312" w:hAnsi="仿宋" w:eastAsia="仿宋_GB2312"/>
          <w:color w:val="000000"/>
          <w:sz w:val="32"/>
          <w:szCs w:val="32"/>
        </w:rPr>
        <w:t>年本年收入5</w:t>
      </w:r>
      <w:r>
        <w:rPr>
          <w:rFonts w:ascii="仿宋_GB2312" w:hAnsi="仿宋" w:eastAsia="仿宋_GB2312"/>
          <w:color w:val="000000"/>
          <w:sz w:val="32"/>
          <w:szCs w:val="32"/>
        </w:rPr>
        <w:t>475.89</w:t>
      </w:r>
      <w:r>
        <w:rPr>
          <w:rFonts w:hint="eastAsia" w:ascii="仿宋_GB2312" w:hAnsi="仿宋" w:eastAsia="仿宋_GB2312"/>
          <w:color w:val="000000"/>
          <w:sz w:val="32"/>
          <w:szCs w:val="32"/>
        </w:rPr>
        <w:t>万元，比2</w:t>
      </w:r>
      <w:r>
        <w:rPr>
          <w:rFonts w:ascii="仿宋_GB2312" w:hAnsi="仿宋" w:eastAsia="仿宋_GB2312"/>
          <w:color w:val="000000"/>
          <w:sz w:val="32"/>
          <w:szCs w:val="32"/>
        </w:rPr>
        <w:t>021</w:t>
      </w:r>
      <w:r>
        <w:rPr>
          <w:rFonts w:hint="eastAsia" w:ascii="仿宋_GB2312" w:hAnsi="仿宋" w:eastAsia="仿宋_GB2312"/>
          <w:color w:val="000000"/>
          <w:sz w:val="32"/>
          <w:szCs w:val="32"/>
        </w:rPr>
        <w:t>年增加3</w:t>
      </w:r>
      <w:r>
        <w:rPr>
          <w:rFonts w:ascii="仿宋_GB2312" w:hAnsi="仿宋" w:eastAsia="仿宋_GB2312"/>
          <w:color w:val="000000"/>
          <w:sz w:val="32"/>
          <w:szCs w:val="32"/>
        </w:rPr>
        <w:t>04.62</w:t>
      </w:r>
      <w:r>
        <w:rPr>
          <w:rFonts w:hint="eastAsia" w:ascii="仿宋_GB2312" w:hAnsi="仿宋" w:eastAsia="仿宋_GB2312"/>
          <w:color w:val="000000"/>
          <w:sz w:val="32"/>
          <w:szCs w:val="32"/>
        </w:rPr>
        <w:t>万元，增长5</w:t>
      </w:r>
      <w:r>
        <w:rPr>
          <w:rFonts w:ascii="仿宋_GB2312" w:hAnsi="仿宋" w:eastAsia="仿宋_GB2312"/>
          <w:color w:val="000000"/>
          <w:sz w:val="32"/>
          <w:szCs w:val="32"/>
        </w:rPr>
        <w:t>.89%</w:t>
      </w:r>
      <w:r>
        <w:rPr>
          <w:rFonts w:hint="eastAsia" w:ascii="仿宋_GB2312" w:hAnsi="仿宋" w:eastAsia="仿宋_GB2312"/>
          <w:color w:val="000000"/>
          <w:sz w:val="32"/>
          <w:szCs w:val="32"/>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2</w:t>
      </w:r>
      <w:r>
        <w:rPr>
          <w:rFonts w:hint="eastAsia" w:ascii="仿宋_GB2312" w:hAnsi="仿宋" w:eastAsia="仿宋_GB2312"/>
          <w:color w:val="000000"/>
          <w:sz w:val="32"/>
          <w:szCs w:val="32"/>
        </w:rPr>
        <w:t>年本年支出5</w:t>
      </w:r>
      <w:r>
        <w:rPr>
          <w:rFonts w:ascii="仿宋_GB2312" w:hAnsi="仿宋" w:eastAsia="仿宋_GB2312"/>
          <w:color w:val="000000"/>
          <w:sz w:val="32"/>
          <w:szCs w:val="32"/>
        </w:rPr>
        <w:t>828.04</w:t>
      </w:r>
      <w:r>
        <w:rPr>
          <w:rFonts w:hint="eastAsia" w:ascii="仿宋_GB2312" w:hAnsi="仿宋" w:eastAsia="仿宋_GB2312"/>
          <w:color w:val="000000"/>
          <w:sz w:val="32"/>
          <w:szCs w:val="32"/>
        </w:rPr>
        <w:t>万元，比2</w:t>
      </w:r>
      <w:r>
        <w:rPr>
          <w:rFonts w:ascii="仿宋_GB2312" w:hAnsi="仿宋" w:eastAsia="仿宋_GB2312"/>
          <w:color w:val="000000"/>
          <w:sz w:val="32"/>
          <w:szCs w:val="32"/>
        </w:rPr>
        <w:t>021</w:t>
      </w:r>
      <w:r>
        <w:rPr>
          <w:rFonts w:hint="eastAsia" w:ascii="仿宋_GB2312" w:hAnsi="仿宋" w:eastAsia="仿宋_GB2312"/>
          <w:color w:val="000000"/>
          <w:sz w:val="32"/>
          <w:szCs w:val="32"/>
        </w:rPr>
        <w:t>年增加</w:t>
      </w:r>
      <w:r>
        <w:rPr>
          <w:rFonts w:ascii="仿宋_GB2312" w:hAnsi="仿宋" w:eastAsia="仿宋_GB2312"/>
          <w:color w:val="000000"/>
          <w:sz w:val="32"/>
          <w:szCs w:val="32"/>
        </w:rPr>
        <w:t>402.86</w:t>
      </w:r>
      <w:r>
        <w:rPr>
          <w:rFonts w:hint="eastAsia" w:ascii="仿宋_GB2312" w:hAnsi="仿宋" w:eastAsia="仿宋_GB2312"/>
          <w:color w:val="000000"/>
          <w:sz w:val="32"/>
          <w:szCs w:val="32"/>
        </w:rPr>
        <w:t>万元，增长</w:t>
      </w:r>
      <w:r>
        <w:rPr>
          <w:rFonts w:ascii="仿宋_GB2312" w:hAnsi="仿宋" w:eastAsia="仿宋_GB2312"/>
          <w:color w:val="000000"/>
          <w:sz w:val="32"/>
          <w:szCs w:val="32"/>
        </w:rPr>
        <w:t>7.43%</w:t>
      </w:r>
      <w:r>
        <w:rPr>
          <w:rFonts w:hint="eastAsia" w:ascii="仿宋_GB2312" w:hAnsi="仿宋" w:eastAsia="仿宋_GB2312"/>
          <w:color w:val="000000"/>
          <w:sz w:val="32"/>
          <w:szCs w:val="32"/>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 w:eastAsia="仿宋_GB2312"/>
          <w:color w:val="000000"/>
          <w:sz w:val="32"/>
          <w:szCs w:val="32"/>
        </w:rPr>
        <w:t>2022年年</w:t>
      </w:r>
      <w:r>
        <w:rPr>
          <w:rFonts w:hint="eastAsia" w:ascii="仿宋_GB2312" w:hAnsi="仿宋_GB2312" w:eastAsia="仿宋_GB2312" w:cs="仿宋_GB2312"/>
          <w:kern w:val="0"/>
          <w:sz w:val="32"/>
          <w:szCs w:val="32"/>
          <w:shd w:val="clear" w:color="auto" w:fill="FFFFFF"/>
        </w:rPr>
        <w:t>末结转和结余</w:t>
      </w:r>
      <w:r>
        <w:rPr>
          <w:rFonts w:ascii="仿宋_GB2312" w:hAnsi="仿宋_GB2312" w:eastAsia="仿宋_GB2312" w:cs="仿宋_GB2312"/>
          <w:kern w:val="0"/>
          <w:sz w:val="32"/>
          <w:szCs w:val="32"/>
          <w:shd w:val="clear" w:color="auto" w:fill="FFFFFF"/>
        </w:rPr>
        <w:t>93.66</w:t>
      </w:r>
      <w:r>
        <w:rPr>
          <w:rFonts w:hint="eastAsia" w:ascii="仿宋_GB2312" w:hAnsi="仿宋_GB2312" w:eastAsia="仿宋_GB2312" w:cs="仿宋_GB2312"/>
          <w:kern w:val="0"/>
          <w:sz w:val="32"/>
          <w:szCs w:val="32"/>
          <w:shd w:val="clear" w:color="auto" w:fill="FFFFFF"/>
        </w:rPr>
        <w:t>万元，与2</w:t>
      </w:r>
      <w:r>
        <w:rPr>
          <w:rFonts w:ascii="仿宋_GB2312" w:hAnsi="仿宋_GB2312" w:eastAsia="仿宋_GB2312" w:cs="仿宋_GB2312"/>
          <w:kern w:val="0"/>
          <w:sz w:val="32"/>
          <w:szCs w:val="32"/>
          <w:shd w:val="clear" w:color="auto" w:fill="FFFFFF"/>
        </w:rPr>
        <w:t>021</w:t>
      </w:r>
      <w:r>
        <w:rPr>
          <w:rFonts w:hint="eastAsia" w:ascii="仿宋_GB2312" w:hAnsi="仿宋_GB2312" w:eastAsia="仿宋_GB2312" w:cs="仿宋_GB2312"/>
          <w:kern w:val="0"/>
          <w:sz w:val="32"/>
          <w:szCs w:val="32"/>
          <w:shd w:val="clear" w:color="auto" w:fill="FFFFFF"/>
        </w:rPr>
        <w:t>年持平。</w:t>
      </w:r>
    </w:p>
    <w:p>
      <w:pPr>
        <w:widowControl/>
        <w:numPr>
          <w:ilvl w:val="0"/>
          <w:numId w:val="8"/>
        </w:numPr>
        <w:adjustRightInd w:val="0"/>
        <w:snapToGrid w:val="0"/>
        <w:spacing w:line="572" w:lineRule="exact"/>
        <w:ind w:firstLine="643" w:firstLineChars="200"/>
        <w:contextualSpacing/>
        <w:jc w:val="left"/>
        <w:rPr>
          <w:rFonts w:ascii="仿宋_GB2312" w:hAnsi="宋体" w:eastAsia="仿宋_GB2312" w:cs="宋体"/>
          <w:b/>
          <w:kern w:val="0"/>
          <w:sz w:val="32"/>
          <w:szCs w:val="32"/>
          <w:shd w:val="clear" w:color="auto" w:fill="FFFFFF"/>
          <w:lang w:val="zh-CN"/>
        </w:rPr>
      </w:pPr>
      <w:r>
        <w:rPr>
          <w:rFonts w:hint="eastAsia" w:ascii="仿宋_GB2312" w:hAnsi="宋体" w:eastAsia="仿宋_GB2312" w:cs="宋体"/>
          <w:b/>
          <w:kern w:val="0"/>
          <w:sz w:val="32"/>
          <w:szCs w:val="32"/>
          <w:shd w:val="clear" w:color="auto" w:fill="FFFFFF"/>
          <w:lang w:val="zh-CN"/>
        </w:rPr>
        <w:t>部门财政资金支出情况</w:t>
      </w:r>
    </w:p>
    <w:p>
      <w:pPr>
        <w:widowControl/>
        <w:adjustRightInd w:val="0"/>
        <w:snapToGrid w:val="0"/>
        <w:spacing w:line="560" w:lineRule="exact"/>
        <w:ind w:firstLine="420" w:firstLineChars="200"/>
        <w:contextualSpacing/>
        <w:jc w:val="left"/>
        <w:rPr>
          <w:rFonts w:ascii="仿宋_GB2312" w:hAnsi="仿宋_GB2312" w:eastAsia="仿宋_GB2312" w:cs="仿宋_GB2312"/>
          <w:kern w:val="0"/>
          <w:sz w:val="32"/>
          <w:szCs w:val="32"/>
          <w:shd w:val="clear" w:color="auto" w:fill="FFFFFF"/>
        </w:rPr>
      </w:pPr>
      <w:r>
        <w:rPr>
          <w:rFonts w:hint="eastAsia"/>
        </w:rPr>
        <w:t xml:space="preserve"> </w:t>
      </w:r>
      <w:r>
        <w:t xml:space="preserve"> </w:t>
      </w:r>
      <w:r>
        <w:rPr>
          <w:rFonts w:hint="eastAsia" w:ascii="仿宋_GB2312" w:hAnsi="仿宋_GB2312" w:eastAsia="仿宋_GB2312" w:cs="仿宋_GB2312"/>
          <w:kern w:val="0"/>
          <w:sz w:val="32"/>
          <w:szCs w:val="32"/>
          <w:shd w:val="clear" w:color="auto" w:fill="FFFFFF"/>
        </w:rPr>
        <w:t>1.部门财政拨款收入情况</w:t>
      </w:r>
    </w:p>
    <w:p>
      <w:pPr>
        <w:pStyle w:val="2"/>
      </w:pPr>
      <w:r>
        <w:rPr>
          <w:rFonts w:hint="eastAsia"/>
        </w:rPr>
        <w:t xml:space="preserve"> </w:t>
      </w:r>
      <w:r>
        <w:t xml:space="preserve">      </w:t>
      </w:r>
      <w:r>
        <w:rPr>
          <w:rFonts w:hint="eastAsia" w:ascii="仿宋_GB2312" w:hAnsi="仿宋" w:eastAsia="仿宋_GB2312"/>
          <w:color w:val="000000"/>
          <w:sz w:val="32"/>
          <w:szCs w:val="32"/>
        </w:rPr>
        <w:t>202</w:t>
      </w:r>
      <w:r>
        <w:rPr>
          <w:rFonts w:ascii="仿宋_GB2312" w:hAnsi="仿宋" w:eastAsia="仿宋_GB2312"/>
          <w:color w:val="000000"/>
          <w:sz w:val="32"/>
          <w:szCs w:val="32"/>
        </w:rPr>
        <w:t>2</w:t>
      </w:r>
      <w:r>
        <w:rPr>
          <w:rFonts w:hint="eastAsia" w:ascii="仿宋_GB2312" w:hAnsi="仿宋" w:eastAsia="仿宋_GB2312"/>
          <w:color w:val="000000"/>
          <w:sz w:val="32"/>
          <w:szCs w:val="32"/>
        </w:rPr>
        <w:t>年财政拨款收入合计</w:t>
      </w:r>
      <w:r>
        <w:rPr>
          <w:rFonts w:ascii="仿宋_GB2312" w:hAnsi="仿宋" w:eastAsia="仿宋_GB2312"/>
          <w:color w:val="000000"/>
          <w:sz w:val="32"/>
          <w:szCs w:val="32"/>
        </w:rPr>
        <w:t>5475.89</w:t>
      </w:r>
      <w:r>
        <w:rPr>
          <w:rFonts w:hint="eastAsia" w:ascii="仿宋_GB2312" w:hAnsi="仿宋" w:eastAsia="仿宋_GB2312"/>
          <w:color w:val="000000"/>
          <w:sz w:val="32"/>
          <w:szCs w:val="32"/>
        </w:rPr>
        <w:t>万元，其中：一般公共预算财政拨款收入</w:t>
      </w:r>
      <w:r>
        <w:rPr>
          <w:rFonts w:ascii="仿宋_GB2312" w:hAnsi="仿宋" w:eastAsia="仿宋_GB2312"/>
          <w:color w:val="000000"/>
          <w:sz w:val="32"/>
          <w:szCs w:val="32"/>
        </w:rPr>
        <w:t>5475.89</w:t>
      </w:r>
      <w:r>
        <w:rPr>
          <w:rFonts w:hint="eastAsia" w:ascii="仿宋_GB2312" w:hAnsi="仿宋" w:eastAsia="仿宋_GB2312"/>
          <w:color w:val="000000"/>
          <w:sz w:val="32"/>
          <w:szCs w:val="32"/>
        </w:rPr>
        <w:t>万元，比2</w:t>
      </w:r>
      <w:r>
        <w:rPr>
          <w:rFonts w:ascii="仿宋_GB2312" w:hAnsi="仿宋" w:eastAsia="仿宋_GB2312"/>
          <w:color w:val="000000"/>
          <w:sz w:val="32"/>
          <w:szCs w:val="32"/>
        </w:rPr>
        <w:t>021</w:t>
      </w:r>
      <w:r>
        <w:rPr>
          <w:rFonts w:hint="eastAsia" w:ascii="仿宋_GB2312" w:hAnsi="仿宋" w:eastAsia="仿宋_GB2312"/>
          <w:color w:val="000000"/>
          <w:sz w:val="32"/>
          <w:szCs w:val="32"/>
        </w:rPr>
        <w:t>年增加3</w:t>
      </w:r>
      <w:r>
        <w:rPr>
          <w:rFonts w:ascii="仿宋_GB2312" w:hAnsi="仿宋" w:eastAsia="仿宋_GB2312"/>
          <w:color w:val="000000"/>
          <w:sz w:val="32"/>
          <w:szCs w:val="32"/>
        </w:rPr>
        <w:t>04.88</w:t>
      </w:r>
      <w:r>
        <w:rPr>
          <w:rFonts w:hint="eastAsia" w:ascii="仿宋_GB2312" w:hAnsi="仿宋" w:eastAsia="仿宋_GB2312"/>
          <w:color w:val="000000"/>
          <w:sz w:val="32"/>
          <w:szCs w:val="32"/>
        </w:rPr>
        <w:t>万元，增长5</w:t>
      </w:r>
      <w:r>
        <w:rPr>
          <w:rFonts w:ascii="仿宋_GB2312" w:hAnsi="仿宋" w:eastAsia="仿宋_GB2312"/>
          <w:color w:val="000000"/>
          <w:sz w:val="32"/>
          <w:szCs w:val="32"/>
        </w:rPr>
        <w:t>.90%</w:t>
      </w:r>
      <w:r>
        <w:rPr>
          <w:rFonts w:hint="eastAsia" w:ascii="仿宋_GB2312" w:hAnsi="仿宋" w:eastAsia="仿宋_GB2312"/>
          <w:color w:val="000000"/>
          <w:sz w:val="32"/>
          <w:szCs w:val="32"/>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widowControl/>
        <w:adjustRightInd w:val="0"/>
        <w:snapToGrid w:val="0"/>
        <w:spacing w:line="560" w:lineRule="exact"/>
        <w:ind w:firstLine="420" w:firstLineChars="200"/>
        <w:contextualSpacing/>
        <w:jc w:val="left"/>
        <w:rPr>
          <w:rFonts w:ascii="仿宋_GB2312" w:hAnsi="仿宋_GB2312" w:eastAsia="仿宋_GB2312" w:cs="仿宋_GB2312"/>
          <w:kern w:val="0"/>
          <w:sz w:val="32"/>
          <w:szCs w:val="32"/>
          <w:shd w:val="clear" w:color="auto" w:fill="FFFFFF"/>
        </w:rPr>
      </w:pPr>
      <w:r>
        <w:rPr>
          <w:rFonts w:hint="eastAsia"/>
        </w:rPr>
        <w:t xml:space="preserve"> </w:t>
      </w:r>
      <w:r>
        <w:t xml:space="preserve">     </w:t>
      </w:r>
      <w:r>
        <w:rPr>
          <w:rFonts w:hint="eastAsia" w:ascii="仿宋_GB2312" w:hAnsi="仿宋" w:eastAsia="仿宋_GB2312"/>
          <w:color w:val="000000"/>
          <w:sz w:val="32"/>
          <w:szCs w:val="32"/>
        </w:rPr>
        <w:t>202</w:t>
      </w:r>
      <w:r>
        <w:rPr>
          <w:rFonts w:ascii="仿宋_GB2312" w:hAnsi="仿宋" w:eastAsia="仿宋_GB2312"/>
          <w:color w:val="000000"/>
          <w:sz w:val="32"/>
          <w:szCs w:val="32"/>
        </w:rPr>
        <w:t>2</w:t>
      </w:r>
      <w:r>
        <w:rPr>
          <w:rFonts w:hint="eastAsia" w:ascii="仿宋_GB2312" w:hAnsi="仿宋" w:eastAsia="仿宋_GB2312"/>
          <w:color w:val="000000"/>
          <w:sz w:val="32"/>
          <w:szCs w:val="32"/>
        </w:rPr>
        <w:t>年财政拨款支出合计</w:t>
      </w:r>
      <w:r>
        <w:rPr>
          <w:rFonts w:ascii="仿宋_GB2312" w:hAnsi="仿宋" w:eastAsia="仿宋_GB2312"/>
          <w:color w:val="000000"/>
          <w:sz w:val="32"/>
          <w:szCs w:val="32"/>
        </w:rPr>
        <w:t>5828.04</w:t>
      </w:r>
      <w:r>
        <w:rPr>
          <w:rFonts w:hint="eastAsia" w:ascii="仿宋_GB2312" w:hAnsi="仿宋" w:eastAsia="仿宋_GB2312"/>
          <w:color w:val="000000"/>
          <w:sz w:val="32"/>
          <w:szCs w:val="32"/>
        </w:rPr>
        <w:t>万元，其中：一般公共</w:t>
      </w:r>
      <w:r>
        <w:rPr>
          <w:rFonts w:hint="eastAsia" w:ascii="仿宋_GB2312" w:hAnsi="仿宋_GB2312" w:eastAsia="仿宋_GB2312" w:cs="仿宋_GB2312"/>
          <w:kern w:val="0"/>
          <w:sz w:val="32"/>
          <w:szCs w:val="32"/>
          <w:shd w:val="clear" w:color="auto" w:fill="FFFFFF"/>
        </w:rPr>
        <w:t>预算财政拨款支出</w:t>
      </w:r>
      <w:r>
        <w:rPr>
          <w:rFonts w:ascii="仿宋_GB2312" w:hAnsi="仿宋_GB2312" w:eastAsia="仿宋_GB2312" w:cs="仿宋_GB2312"/>
          <w:kern w:val="0"/>
          <w:sz w:val="32"/>
          <w:szCs w:val="32"/>
          <w:shd w:val="clear" w:color="auto" w:fill="FFFFFF"/>
        </w:rPr>
        <w:t>5828.04</w:t>
      </w:r>
      <w:r>
        <w:rPr>
          <w:rFonts w:hint="eastAsia" w:ascii="仿宋_GB2312" w:hAnsi="仿宋_GB2312" w:eastAsia="仿宋_GB2312" w:cs="仿宋_GB2312"/>
          <w:kern w:val="0"/>
          <w:sz w:val="32"/>
          <w:szCs w:val="32"/>
          <w:shd w:val="clear" w:color="auto" w:fill="FFFFFF"/>
        </w:rPr>
        <w:t>万元，比2</w:t>
      </w:r>
      <w:r>
        <w:rPr>
          <w:rFonts w:ascii="仿宋_GB2312" w:hAnsi="仿宋_GB2312" w:eastAsia="仿宋_GB2312" w:cs="仿宋_GB2312"/>
          <w:kern w:val="0"/>
          <w:sz w:val="32"/>
          <w:szCs w:val="32"/>
          <w:shd w:val="clear" w:color="auto" w:fill="FFFFFF"/>
        </w:rPr>
        <w:t>021</w:t>
      </w:r>
      <w:r>
        <w:rPr>
          <w:rFonts w:hint="eastAsia" w:ascii="仿宋_GB2312" w:hAnsi="仿宋_GB2312" w:eastAsia="仿宋_GB2312" w:cs="仿宋_GB2312"/>
          <w:kern w:val="0"/>
          <w:sz w:val="32"/>
          <w:szCs w:val="32"/>
          <w:shd w:val="clear" w:color="auto" w:fill="FFFFFF"/>
        </w:rPr>
        <w:t>年增加</w:t>
      </w:r>
      <w:r>
        <w:rPr>
          <w:rFonts w:ascii="仿宋_GB2312" w:hAnsi="仿宋_GB2312" w:eastAsia="仿宋_GB2312" w:cs="仿宋_GB2312"/>
          <w:kern w:val="0"/>
          <w:sz w:val="32"/>
          <w:szCs w:val="32"/>
          <w:shd w:val="clear" w:color="auto" w:fill="FFFFFF"/>
        </w:rPr>
        <w:t>4302.12</w:t>
      </w:r>
      <w:r>
        <w:rPr>
          <w:rFonts w:hint="eastAsia" w:ascii="仿宋_GB2312" w:hAnsi="仿宋_GB2312" w:eastAsia="仿宋_GB2312" w:cs="仿宋_GB2312"/>
          <w:kern w:val="0"/>
          <w:sz w:val="32"/>
          <w:szCs w:val="32"/>
          <w:shd w:val="clear" w:color="auto" w:fill="FFFFFF"/>
        </w:rPr>
        <w:t>万元，增长</w:t>
      </w:r>
      <w:r>
        <w:rPr>
          <w:rFonts w:ascii="仿宋_GB2312" w:hAnsi="仿宋_GB2312" w:eastAsia="仿宋_GB2312" w:cs="仿宋_GB2312"/>
          <w:kern w:val="0"/>
          <w:sz w:val="32"/>
          <w:szCs w:val="32"/>
          <w:shd w:val="clear" w:color="auto" w:fill="FFFFFF"/>
        </w:rPr>
        <w:t>7.43%</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2022年年末财政拨款结转和结余</w:t>
      </w:r>
      <w:r>
        <w:rPr>
          <w:rFonts w:ascii="仿宋_GB2312" w:hAnsi="仿宋_GB2312" w:eastAsia="仿宋_GB2312" w:cs="仿宋_GB2312"/>
          <w:kern w:val="0"/>
          <w:sz w:val="32"/>
          <w:szCs w:val="32"/>
          <w:shd w:val="clear" w:color="auto" w:fill="FFFFFF"/>
        </w:rPr>
        <w:t>93.66</w:t>
      </w:r>
      <w:r>
        <w:rPr>
          <w:rFonts w:hint="eastAsia" w:ascii="仿宋_GB2312" w:hAnsi="仿宋_GB2312" w:eastAsia="仿宋_GB2312" w:cs="仿宋_GB2312"/>
          <w:kern w:val="0"/>
          <w:sz w:val="32"/>
          <w:szCs w:val="32"/>
          <w:shd w:val="clear" w:color="auto" w:fill="FFFFFF"/>
        </w:rPr>
        <w:t>万元，与2</w:t>
      </w:r>
      <w:r>
        <w:rPr>
          <w:rFonts w:ascii="仿宋_GB2312" w:hAnsi="仿宋_GB2312" w:eastAsia="仿宋_GB2312" w:cs="仿宋_GB2312"/>
          <w:kern w:val="0"/>
          <w:sz w:val="32"/>
          <w:szCs w:val="32"/>
          <w:shd w:val="clear" w:color="auto" w:fill="FFFFFF"/>
        </w:rPr>
        <w:t>021</w:t>
      </w:r>
      <w:r>
        <w:rPr>
          <w:rFonts w:hint="eastAsia" w:ascii="仿宋_GB2312" w:hAnsi="仿宋_GB2312" w:eastAsia="仿宋_GB2312" w:cs="仿宋_GB2312"/>
          <w:kern w:val="0"/>
          <w:sz w:val="32"/>
          <w:szCs w:val="32"/>
          <w:shd w:val="clear" w:color="auto" w:fill="FFFFFF"/>
        </w:rPr>
        <w:t>年持平。</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1.人员类项目绩效分析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2022年本部门绩效目标制定科学有效，目标基本实现，支</w:t>
      </w:r>
      <w:r>
        <w:rPr>
          <w:rFonts w:hint="eastAsia" w:ascii="仿宋_GB2312" w:hAnsi="仿宋_GB2312" w:eastAsia="仿宋_GB2312" w:cs="仿宋_GB2312"/>
          <w:kern w:val="0"/>
          <w:sz w:val="32"/>
          <w:szCs w:val="32"/>
          <w:shd w:val="clear" w:color="auto" w:fill="FFFFFF"/>
        </w:rPr>
        <w:t>出控制严格，专款专用，执行进度合理，预算完成率100%，无结余，无违规情况。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2022年本部门绩效目标制定科学有效，目标基本实现，支出控制严格，专款专用，执行进度合理，预算完成率100%，无结余，无违规情况。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2022年本部门绩效目标制定科</w:t>
      </w:r>
      <w:r>
        <w:rPr>
          <w:rFonts w:hint="eastAsia" w:ascii="仿宋_GB2312" w:hAnsi="仿宋_GB2312" w:eastAsia="仿宋_GB2312" w:cs="仿宋_GB2312"/>
          <w:kern w:val="0"/>
          <w:sz w:val="32"/>
          <w:szCs w:val="32"/>
          <w:shd w:val="clear" w:color="auto" w:fill="FFFFFF"/>
          <w:lang w:val="zh-CN"/>
        </w:rPr>
        <w:t>学有效，目标基本实现，支出控制严格，专款专用，执行进度合理，预算完成率100%，</w:t>
      </w:r>
      <w:r>
        <w:rPr>
          <w:rFonts w:hint="eastAsia" w:ascii="仿宋_GB2312" w:hAnsi="仿宋_GB2312" w:eastAsia="仿宋_GB2312" w:cs="仿宋_GB2312"/>
          <w:kern w:val="0"/>
          <w:sz w:val="32"/>
          <w:szCs w:val="32"/>
          <w:shd w:val="clear" w:color="auto" w:fill="FFFFFF"/>
        </w:rPr>
        <w:t>无结余，</w:t>
      </w:r>
      <w:r>
        <w:rPr>
          <w:rFonts w:hint="eastAsia" w:ascii="仿宋_GB2312" w:hAnsi="仿宋_GB2312" w:eastAsia="仿宋_GB2312" w:cs="仿宋_GB2312"/>
          <w:kern w:val="0"/>
          <w:sz w:val="32"/>
          <w:szCs w:val="32"/>
          <w:shd w:val="clear" w:color="auto" w:fill="FFFFFF"/>
          <w:lang w:val="zh-CN"/>
        </w:rPr>
        <w:t>无违规</w:t>
      </w:r>
      <w:r>
        <w:rPr>
          <w:rFonts w:hint="eastAsia" w:ascii="仿宋_GB2312" w:hAnsi="仿宋_GB2312" w:eastAsia="仿宋_GB2312" w:cs="仿宋_GB2312"/>
          <w:kern w:val="0"/>
          <w:sz w:val="32"/>
          <w:szCs w:val="32"/>
          <w:shd w:val="clear" w:color="auto" w:fill="FFFFFF"/>
        </w:rPr>
        <w:t>情况</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宋体" w:eastAsia="仿宋_GB2312"/>
          <w:kern w:val="0"/>
          <w:sz w:val="32"/>
          <w:szCs w:val="32"/>
          <w:shd w:val="clear" w:color="auto" w:fill="FFFFFF"/>
          <w:lang w:val="zh-CN"/>
        </w:rPr>
        <w:t>2</w:t>
      </w:r>
      <w:r>
        <w:rPr>
          <w:rFonts w:ascii="仿宋_GB2312" w:hAnsi="宋体" w:eastAsia="仿宋_GB2312"/>
          <w:kern w:val="0"/>
          <w:sz w:val="32"/>
          <w:szCs w:val="32"/>
          <w:shd w:val="clear" w:color="auto" w:fill="FFFFFF"/>
          <w:lang w:val="zh-CN"/>
        </w:rPr>
        <w:t>022</w:t>
      </w:r>
      <w:r>
        <w:rPr>
          <w:rFonts w:hint="eastAsia" w:ascii="仿宋_GB2312" w:hAnsi="宋体" w:eastAsia="仿宋_GB2312"/>
          <w:kern w:val="0"/>
          <w:sz w:val="32"/>
          <w:szCs w:val="32"/>
          <w:shd w:val="clear" w:color="auto" w:fill="FFFFFF"/>
          <w:lang w:val="zh-CN"/>
        </w:rPr>
        <w:t>年，部门整体支出绩效自查自评结果良好，全年贯彻</w:t>
      </w:r>
      <w:r>
        <w:rPr>
          <w:rFonts w:ascii="仿宋_GB2312" w:hAnsi="宋体" w:eastAsia="仿宋_GB2312"/>
          <w:kern w:val="0"/>
          <w:sz w:val="32"/>
          <w:szCs w:val="32"/>
          <w:shd w:val="clear" w:color="auto" w:fill="FFFFFF"/>
          <w:lang w:val="zh-CN"/>
        </w:rPr>
        <w:t>落实过紧日子的要求，</w:t>
      </w:r>
      <w:r>
        <w:rPr>
          <w:rFonts w:hint="eastAsia" w:ascii="仿宋_GB2312" w:hAnsi="仿宋_GB2312" w:eastAsia="仿宋_GB2312" w:cs="仿宋_GB2312"/>
          <w:kern w:val="0"/>
          <w:sz w:val="32"/>
          <w:szCs w:val="32"/>
          <w:shd w:val="clear" w:color="auto" w:fill="FFFFFF"/>
        </w:rPr>
        <w:t>各类资金高效运转，</w:t>
      </w:r>
      <w:r>
        <w:rPr>
          <w:rFonts w:hint="eastAsia" w:ascii="仿宋_GB2312" w:hAnsi="宋体" w:eastAsia="仿宋_GB2312"/>
          <w:kern w:val="0"/>
          <w:sz w:val="32"/>
          <w:szCs w:val="32"/>
          <w:shd w:val="clear" w:color="auto" w:fill="FFFFFF"/>
          <w:lang w:val="zh-CN"/>
        </w:rPr>
        <w:t>公用支出保证了部门的正常运转；项目支出根据各</w:t>
      </w:r>
      <w:r>
        <w:rPr>
          <w:rFonts w:hint="eastAsia" w:ascii="仿宋_GB2312" w:hAnsi="仿宋_GB2312" w:eastAsia="仿宋_GB2312" w:cs="仿宋_GB2312"/>
          <w:kern w:val="0"/>
          <w:sz w:val="32"/>
          <w:szCs w:val="32"/>
          <w:shd w:val="clear" w:color="auto" w:fill="FFFFFF"/>
        </w:rPr>
        <w:t>项目特点制定项目规划、实施方案、实施细则，保障项目预期绩效顺利实现</w:t>
      </w:r>
      <w:r>
        <w:rPr>
          <w:rFonts w:eastAsia="仿宋_GB2312"/>
          <w:sz w:val="32"/>
          <w:szCs w:val="32"/>
        </w:rPr>
        <w:t>。</w:t>
      </w:r>
    </w:p>
    <w:p>
      <w:pPr>
        <w:widowControl/>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eastAsia="仿宋_GB2312"/>
          <w:sz w:val="32"/>
          <w:szCs w:val="32"/>
          <w:lang w:bidi="ar"/>
        </w:rPr>
        <w:t>按照中央、省、市关于全面实施预算绩效管理的要求，对财政拨款资金进行绩效自评。同时，</w:t>
      </w:r>
      <w:r>
        <w:rPr>
          <w:rFonts w:hint="eastAsia" w:ascii="仿宋_GB2312" w:hAnsi="仿宋_GB2312" w:eastAsia="仿宋_GB2312" w:cs="仿宋_GB2312"/>
          <w:kern w:val="0"/>
          <w:sz w:val="32"/>
          <w:szCs w:val="32"/>
          <w:shd w:val="clear" w:color="auto" w:fill="FFFFFF"/>
          <w:lang w:val="zh-CN"/>
        </w:rPr>
        <w:t>按照财政部门统一部署安排，按时公开部门预算、部门决算、部门整体支出绩效自评报告和项目绩效目标管理情况，自觉接受公众监督，进一步提高财政资金管理透明度。</w:t>
      </w:r>
    </w:p>
    <w:p>
      <w:pPr>
        <w:widowControl/>
        <w:numPr>
          <w:ilvl w:val="0"/>
          <w:numId w:val="9"/>
        </w:numPr>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eastAsia="仿宋"/>
          <w:sz w:val="32"/>
          <w:szCs w:val="32"/>
          <w:lang w:val="zh-CN"/>
        </w:rPr>
        <w:t>部</w:t>
      </w:r>
      <w:r>
        <w:rPr>
          <w:rFonts w:eastAsia="仿宋"/>
          <w:sz w:val="32"/>
          <w:szCs w:val="32"/>
          <w:lang w:val="zh-CN"/>
        </w:rPr>
        <w:t>门整体绩效目标编制合理，目标设定客观实际，</w:t>
      </w:r>
      <w:r>
        <w:rPr>
          <w:rFonts w:hint="eastAsia" w:ascii="仿宋_GB2312" w:hAnsi="仿宋_GB2312" w:eastAsia="仿宋_GB2312" w:cs="仿宋_GB2312"/>
          <w:kern w:val="0"/>
          <w:sz w:val="32"/>
          <w:szCs w:val="32"/>
          <w:shd w:val="clear" w:color="auto" w:fill="FFFFFF"/>
        </w:rPr>
        <w:t>整体自评较准确，评价质量较好。</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pStyle w:val="2"/>
        <w:rPr>
          <w:lang w:val="zh-CN"/>
        </w:rPr>
      </w:pPr>
      <w:r>
        <w:rPr>
          <w:rFonts w:hint="eastAsia"/>
          <w:lang w:val="zh-CN"/>
        </w:rPr>
        <w:t xml:space="preserve"> </w:t>
      </w:r>
      <w:r>
        <w:rPr>
          <w:lang w:val="zh-CN"/>
        </w:rPr>
        <w:t xml:space="preserve">     </w:t>
      </w:r>
      <w:r>
        <w:rPr>
          <w:rFonts w:hint="eastAsia" w:ascii="仿宋_GB2312" w:hAnsi="仿宋_GB2312" w:eastAsia="仿宋_GB2312" w:cs="仿宋_GB2312"/>
          <w:kern w:val="0"/>
          <w:sz w:val="32"/>
          <w:szCs w:val="32"/>
          <w:shd w:val="clear" w:color="auto" w:fill="FFFFFF"/>
          <w:lang w:val="zh-CN"/>
        </w:rPr>
        <w:t>2022年，部门整体支出绩效自查自评结果良好，</w:t>
      </w:r>
      <w:r>
        <w:rPr>
          <w:rFonts w:eastAsia="仿宋"/>
          <w:sz w:val="32"/>
          <w:szCs w:val="32"/>
          <w:lang w:val="zh-CN"/>
        </w:rPr>
        <w:t>完成了年初设定的绩效目标，保障了各项工作任务圆满完成。</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pStyle w:val="2"/>
        <w:spacing w:before="72"/>
        <w:ind w:firstLine="420" w:firstLineChars="200"/>
      </w:pPr>
      <w:r>
        <w:rPr>
          <w:rFonts w:hint="eastAsia"/>
          <w:lang w:val="zh-CN"/>
        </w:rPr>
        <w:t xml:space="preserve"> </w:t>
      </w:r>
      <w:r>
        <w:rPr>
          <w:lang w:val="zh-CN"/>
        </w:rPr>
        <w:t xml:space="preserve">   </w:t>
      </w:r>
      <w:r>
        <w:rPr>
          <w:rFonts w:hint="eastAsia" w:ascii="仿宋_GB2312" w:hAnsi="仿宋_GB2312" w:eastAsia="仿宋_GB2312" w:cs="仿宋_GB2312"/>
          <w:kern w:val="0"/>
          <w:sz w:val="32"/>
          <w:szCs w:val="32"/>
          <w:shd w:val="clear" w:color="auto" w:fill="FFFFFF"/>
          <w:lang w:val="zh-CN"/>
        </w:rPr>
        <w:t>无。</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spacing w:line="600" w:lineRule="exact"/>
        <w:ind w:firstLine="960" w:firstLineChars="300"/>
        <w:outlineLvl w:val="1"/>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无。</w:t>
      </w:r>
    </w:p>
    <w:p>
      <w:pPr>
        <w:pStyle w:val="14"/>
        <w:spacing w:line="560" w:lineRule="exact"/>
        <w:ind w:left="0" w:leftChars="0"/>
        <w:rPr>
          <w:rFonts w:hAnsi="仿宋_GB2312" w:eastAsia="仿宋_GB2312" w:cs="仿宋_GB2312"/>
          <w:sz w:val="32"/>
          <w:lang w:val="zh-CN"/>
        </w:rPr>
      </w:pPr>
      <w:r>
        <w:rPr>
          <w:lang w:val="zh-CN"/>
        </w:rPr>
        <w:t xml:space="preserve">     </w:t>
      </w: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r>
        <w:rPr>
          <w:rFonts w:hAnsi="仿宋_GB2312" w:eastAsia="仿宋_GB2312" w:cs="仿宋_GB2312"/>
          <w:sz w:val="32"/>
        </w:rPr>
        <w:t>3</w:t>
      </w:r>
    </w:p>
    <w:p>
      <w:pPr>
        <w:pStyle w:val="2"/>
        <w:rPr>
          <w:lang w:val="zh-CN"/>
        </w:rPr>
      </w:pPr>
    </w:p>
    <w:p>
      <w:pPr>
        <w:pStyle w:val="2"/>
        <w:spacing w:before="72"/>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2"/>
        <w:spacing w:line="578" w:lineRule="exact"/>
        <w:ind w:firstLine="640"/>
        <w:jc w:val="center"/>
        <w:rPr>
          <w:rFonts w:ascii="宋体" w:hAnsi="宋体"/>
          <w:color w:val="auto"/>
          <w:kern w:val="2"/>
          <w:sz w:val="32"/>
          <w:szCs w:val="32"/>
        </w:rPr>
      </w:pPr>
    </w:p>
    <w:p>
      <w:pPr>
        <w:spacing w:line="0" w:lineRule="atLeast"/>
        <w:jc w:val="center"/>
        <w:rPr>
          <w:rFonts w:ascii="方正小标宋简体" w:hAnsi="方正小标宋简体" w:eastAsia="方正小标宋简体" w:cs="方正小标宋简体"/>
          <w:sz w:val="40"/>
          <w:szCs w:val="40"/>
          <w:lang w:val="zh-CN"/>
        </w:rPr>
      </w:pPr>
      <w:bookmarkStart w:id="47" w:name="_Toc15396618"/>
      <w:r>
        <w:rPr>
          <w:rFonts w:hint="eastAsia" w:ascii="方正小标宋简体" w:hAnsi="方正小标宋简体" w:eastAsia="方正小标宋简体" w:cs="方正小标宋简体"/>
          <w:sz w:val="40"/>
          <w:szCs w:val="40"/>
        </w:rPr>
        <w:t>202</w:t>
      </w:r>
      <w:r>
        <w:rPr>
          <w:rFonts w:ascii="方正小标宋简体" w:hAnsi="方正小标宋简体" w:eastAsia="方正小标宋简体" w:cs="方正小标宋简体"/>
          <w:sz w:val="40"/>
          <w:szCs w:val="40"/>
        </w:rPr>
        <w:t>2</w:t>
      </w:r>
      <w:r>
        <w:rPr>
          <w:rFonts w:hint="eastAsia" w:ascii="方正小标宋简体" w:hAnsi="方正小标宋简体" w:eastAsia="方正小标宋简体" w:cs="方正小标宋简体"/>
          <w:sz w:val="40"/>
          <w:szCs w:val="40"/>
        </w:rPr>
        <w:t>年</w:t>
      </w:r>
      <w:r>
        <w:rPr>
          <w:rFonts w:ascii="方正小标宋简体" w:hAnsi="方正小标宋简体" w:eastAsia="方正小标宋简体" w:cs="方正小标宋简体"/>
          <w:sz w:val="40"/>
          <w:szCs w:val="40"/>
        </w:rPr>
        <w:t>计划生育服务项目</w:t>
      </w:r>
      <w:r>
        <w:rPr>
          <w:rFonts w:hint="eastAsia" w:ascii="方正小标宋简体" w:hAnsi="方正小标宋简体" w:eastAsia="方正小标宋简体" w:cs="方正小标宋简体"/>
          <w:sz w:val="40"/>
          <w:szCs w:val="40"/>
          <w:lang w:val="zh-CN"/>
        </w:rPr>
        <w:t>支出绩效自评报告</w:t>
      </w:r>
    </w:p>
    <w:p>
      <w:pPr>
        <w:autoSpaceDE w:val="0"/>
        <w:autoSpaceDN w:val="0"/>
        <w:adjustRightInd w:val="0"/>
        <w:spacing w:line="352" w:lineRule="auto"/>
        <w:jc w:val="center"/>
        <w:rPr>
          <w:rFonts w:eastAsia="仿宋_GB2312"/>
          <w:kern w:val="0"/>
          <w:sz w:val="32"/>
          <w:szCs w:val="32"/>
        </w:rPr>
      </w:pPr>
    </w:p>
    <w:p>
      <w:pPr>
        <w:adjustRightInd w:val="0"/>
        <w:snapToGrid w:val="0"/>
        <w:spacing w:line="580" w:lineRule="exact"/>
        <w:ind w:firstLine="640" w:firstLineChars="200"/>
        <w:rPr>
          <w:rFonts w:eastAsia="黑体"/>
          <w:sz w:val="32"/>
          <w:szCs w:val="32"/>
        </w:rPr>
      </w:pPr>
      <w:r>
        <w:rPr>
          <w:rFonts w:eastAsia="黑体"/>
          <w:sz w:val="32"/>
          <w:szCs w:val="32"/>
        </w:rPr>
        <w:t>一、项目概况</w:t>
      </w:r>
    </w:p>
    <w:p>
      <w:pPr>
        <w:adjustRightInd w:val="0"/>
        <w:snapToGrid w:val="0"/>
        <w:spacing w:line="580" w:lineRule="exact"/>
        <w:ind w:firstLine="643" w:firstLineChars="200"/>
        <w:rPr>
          <w:rFonts w:eastAsia="楷体_GB2312"/>
          <w:sz w:val="32"/>
          <w:szCs w:val="32"/>
        </w:rPr>
      </w:pPr>
      <w:r>
        <w:rPr>
          <w:rFonts w:eastAsia="楷体_GB2312"/>
          <w:b/>
          <w:bCs/>
          <w:sz w:val="32"/>
          <w:szCs w:val="32"/>
        </w:rPr>
        <w:t>（一）项目基本情况</w:t>
      </w:r>
    </w:p>
    <w:p>
      <w:pPr>
        <w:adjustRightInd w:val="0"/>
        <w:snapToGrid w:val="0"/>
        <w:spacing w:line="580" w:lineRule="exact"/>
        <w:ind w:firstLine="640" w:firstLineChars="200"/>
        <w:rPr>
          <w:rFonts w:eastAsia="仿宋_GB2312"/>
          <w:sz w:val="32"/>
          <w:szCs w:val="32"/>
        </w:rPr>
      </w:pPr>
      <w:r>
        <w:rPr>
          <w:rFonts w:eastAsia="仿宋_GB2312"/>
          <w:sz w:val="32"/>
          <w:szCs w:val="32"/>
        </w:rPr>
        <w:t>1.项目主管单位在该项目管理中的职能</w:t>
      </w:r>
    </w:p>
    <w:p>
      <w:pPr>
        <w:adjustRightInd w:val="0"/>
        <w:snapToGrid w:val="0"/>
        <w:spacing w:line="580" w:lineRule="exact"/>
        <w:ind w:firstLine="640" w:firstLineChars="200"/>
        <w:rPr>
          <w:rFonts w:eastAsia="仿宋_GB2312"/>
          <w:sz w:val="32"/>
          <w:szCs w:val="32"/>
        </w:rPr>
      </w:pPr>
      <w:r>
        <w:rPr>
          <w:rFonts w:eastAsia="仿宋_GB2312"/>
          <w:sz w:val="32"/>
          <w:szCs w:val="32"/>
        </w:rPr>
        <w:t>对计划生育服务管理对象进行资格确认，发放计划生育服务奖励扶助金。</w:t>
      </w:r>
    </w:p>
    <w:p>
      <w:pPr>
        <w:adjustRightInd w:val="0"/>
        <w:snapToGrid w:val="0"/>
        <w:spacing w:line="580" w:lineRule="exact"/>
        <w:ind w:firstLine="640" w:firstLineChars="200"/>
        <w:rPr>
          <w:rFonts w:eastAsia="仿宋_GB2312"/>
          <w:sz w:val="32"/>
          <w:szCs w:val="32"/>
        </w:rPr>
      </w:pPr>
      <w:r>
        <w:rPr>
          <w:rFonts w:eastAsia="仿宋_GB2312"/>
          <w:sz w:val="32"/>
          <w:szCs w:val="32"/>
        </w:rPr>
        <w:t>2.项目立项、资金申报的依据</w:t>
      </w:r>
    </w:p>
    <w:p>
      <w:pPr>
        <w:adjustRightInd w:val="0"/>
        <w:snapToGrid w:val="0"/>
        <w:spacing w:line="580" w:lineRule="exact"/>
        <w:ind w:firstLine="640" w:firstLineChars="200"/>
        <w:rPr>
          <w:rFonts w:eastAsia="仿宋_GB2312"/>
          <w:sz w:val="32"/>
          <w:szCs w:val="32"/>
        </w:rPr>
      </w:pPr>
      <w:r>
        <w:rPr>
          <w:rFonts w:eastAsia="仿宋_GB2312"/>
          <w:sz w:val="32"/>
          <w:szCs w:val="32"/>
        </w:rPr>
        <w:t>根据《财政厅 省卫生健康委关于提高计划生育家庭特别扶助标准的通知》（川财社</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〕32</w:t>
      </w:r>
      <w:r>
        <w:rPr>
          <w:rFonts w:eastAsia="仿宋_GB2312"/>
          <w:sz w:val="32"/>
          <w:szCs w:val="32"/>
        </w:rPr>
        <w:t>号）、《财政厅 省人口与计划生育委员会关于做好58、59周岁农村计划生育家庭奖励扶助制度资金发放工的通知》（川财教</w:t>
      </w:r>
      <w:r>
        <w:rPr>
          <w:rFonts w:eastAsia="仿宋_GB2312"/>
          <w:spacing w:val="-4"/>
          <w:sz w:val="32"/>
          <w:szCs w:val="32"/>
        </w:rPr>
        <w:t>〔</w:t>
      </w:r>
      <w:r>
        <w:rPr>
          <w:rFonts w:eastAsia="仿宋_GB2312"/>
          <w:color w:val="000000"/>
          <w:spacing w:val="-4"/>
          <w:sz w:val="32"/>
          <w:szCs w:val="32"/>
        </w:rPr>
        <w:t>2008</w:t>
      </w:r>
      <w:r>
        <w:rPr>
          <w:rFonts w:eastAsia="仿宋_GB2312"/>
          <w:spacing w:val="-4"/>
          <w:sz w:val="32"/>
          <w:szCs w:val="32"/>
        </w:rPr>
        <w:t>〕262</w:t>
      </w:r>
      <w:r>
        <w:rPr>
          <w:rFonts w:eastAsia="仿宋_GB2312"/>
          <w:sz w:val="32"/>
          <w:szCs w:val="32"/>
        </w:rPr>
        <w:t>号）、《市卫生健康委 市财政局 市人力资源和社会保障局关于完善农村独生子女死亡伤残家庭扶助办法的通知》（攀卫办</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〕165</w:t>
      </w:r>
      <w:r>
        <w:rPr>
          <w:rFonts w:eastAsia="仿宋_GB2312"/>
          <w:sz w:val="32"/>
          <w:szCs w:val="32"/>
        </w:rPr>
        <w:t>号）、《市财政局 市人口与计划生育委员会关于攀枝花市独生子女父母奖励金提标通知》（攀财教</w:t>
      </w:r>
      <w:r>
        <w:rPr>
          <w:rFonts w:eastAsia="仿宋_GB2312"/>
          <w:spacing w:val="-4"/>
          <w:sz w:val="32"/>
          <w:szCs w:val="32"/>
        </w:rPr>
        <w:t>〔2013〕19号</w:t>
      </w:r>
      <w:r>
        <w:rPr>
          <w:rFonts w:eastAsia="仿宋_GB2312"/>
          <w:sz w:val="32"/>
          <w:szCs w:val="32"/>
        </w:rPr>
        <w:t>）、《攀枝花市发放育儿补贴金实施细则（试行）》（攀卫办</w:t>
      </w:r>
      <w:r>
        <w:rPr>
          <w:rFonts w:eastAsia="仿宋_GB2312"/>
          <w:spacing w:val="-4"/>
          <w:sz w:val="32"/>
          <w:szCs w:val="32"/>
        </w:rPr>
        <w:t>〔</w:t>
      </w:r>
      <w:r>
        <w:rPr>
          <w:rFonts w:eastAsia="仿宋_GB2312"/>
          <w:color w:val="000000"/>
          <w:spacing w:val="-4"/>
          <w:sz w:val="32"/>
          <w:szCs w:val="32"/>
        </w:rPr>
        <w:t>2021</w:t>
      </w:r>
      <w:r>
        <w:rPr>
          <w:rFonts w:eastAsia="仿宋_GB2312"/>
          <w:spacing w:val="-4"/>
          <w:sz w:val="32"/>
          <w:szCs w:val="32"/>
        </w:rPr>
        <w:t>〕84</w:t>
      </w:r>
      <w:r>
        <w:rPr>
          <w:rFonts w:eastAsia="仿宋_GB2312"/>
          <w:sz w:val="32"/>
          <w:szCs w:val="32"/>
        </w:rPr>
        <w:t>号）。</w:t>
      </w:r>
    </w:p>
    <w:p>
      <w:pPr>
        <w:adjustRightInd w:val="0"/>
        <w:snapToGrid w:val="0"/>
        <w:spacing w:line="580" w:lineRule="exact"/>
        <w:ind w:firstLine="640" w:firstLineChars="200"/>
        <w:rPr>
          <w:rFonts w:eastAsia="仿宋_GB2312"/>
          <w:sz w:val="32"/>
          <w:szCs w:val="32"/>
        </w:rPr>
      </w:pPr>
      <w:r>
        <w:rPr>
          <w:rFonts w:eastAsia="仿宋_GB2312"/>
          <w:sz w:val="32"/>
          <w:szCs w:val="32"/>
        </w:rPr>
        <w:t>3.资金管理办法制定情况，资金支持具体项目的条件、范围与支持方式概况</w:t>
      </w:r>
    </w:p>
    <w:p>
      <w:pPr>
        <w:adjustRightInd w:val="0"/>
        <w:snapToGrid w:val="0"/>
        <w:spacing w:line="580" w:lineRule="exact"/>
        <w:ind w:firstLine="640" w:firstLineChars="200"/>
        <w:rPr>
          <w:rFonts w:eastAsia="仿宋_GB2312"/>
          <w:sz w:val="32"/>
          <w:szCs w:val="32"/>
        </w:rPr>
      </w:pPr>
      <w:r>
        <w:rPr>
          <w:rFonts w:eastAsia="仿宋_GB2312"/>
          <w:sz w:val="32"/>
          <w:szCs w:val="32"/>
        </w:rPr>
        <w:t>根据《财政厅 省卫生健康委关于提高计划生育家庭特别扶助标准的通知》（川财社</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〕32</w:t>
      </w:r>
      <w:r>
        <w:rPr>
          <w:rFonts w:eastAsia="仿宋_GB2312"/>
          <w:sz w:val="32"/>
          <w:szCs w:val="32"/>
        </w:rPr>
        <w:t>号）、《财政厅 省人口与计划生育委员会关于做好58、59周岁农村计划生育家庭奖励扶助制度资金发放工的通知》（川财教</w:t>
      </w:r>
      <w:r>
        <w:rPr>
          <w:rFonts w:eastAsia="仿宋_GB2312"/>
          <w:spacing w:val="-4"/>
          <w:sz w:val="32"/>
          <w:szCs w:val="32"/>
        </w:rPr>
        <w:t>〔</w:t>
      </w:r>
      <w:r>
        <w:rPr>
          <w:rFonts w:eastAsia="仿宋_GB2312"/>
          <w:color w:val="000000"/>
          <w:spacing w:val="-4"/>
          <w:sz w:val="32"/>
          <w:szCs w:val="32"/>
        </w:rPr>
        <w:t>2008</w:t>
      </w:r>
      <w:r>
        <w:rPr>
          <w:rFonts w:eastAsia="仿宋_GB2312"/>
          <w:spacing w:val="-4"/>
          <w:sz w:val="32"/>
          <w:szCs w:val="32"/>
        </w:rPr>
        <w:t>〕262</w:t>
      </w:r>
      <w:r>
        <w:rPr>
          <w:rFonts w:eastAsia="仿宋_GB2312"/>
          <w:sz w:val="32"/>
          <w:szCs w:val="32"/>
        </w:rPr>
        <w:t>号）、《市卫生健康委 市财政局 市人力资源和社会保障局关于完善农村独生子女死亡伤残家庭扶助办法的通知》（攀卫办</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〕165</w:t>
      </w:r>
      <w:r>
        <w:rPr>
          <w:rFonts w:eastAsia="仿宋_GB2312"/>
          <w:sz w:val="32"/>
          <w:szCs w:val="32"/>
        </w:rPr>
        <w:t>号）、《市财政局 市人口与计划生育委员会关于攀枝花市独生子女父母奖励金提标通知》（攀财教</w:t>
      </w:r>
      <w:r>
        <w:rPr>
          <w:rFonts w:eastAsia="仿宋_GB2312"/>
          <w:spacing w:val="-4"/>
          <w:sz w:val="32"/>
          <w:szCs w:val="32"/>
        </w:rPr>
        <w:t>〔2013〕19号</w:t>
      </w:r>
      <w:r>
        <w:rPr>
          <w:rFonts w:eastAsia="仿宋_GB2312"/>
          <w:sz w:val="32"/>
          <w:szCs w:val="32"/>
        </w:rPr>
        <w:t>）、《攀枝花市发放育儿补贴金实施细则（试行）》（攀卫办</w:t>
      </w:r>
      <w:r>
        <w:rPr>
          <w:rFonts w:eastAsia="仿宋_GB2312"/>
          <w:spacing w:val="-4"/>
          <w:sz w:val="32"/>
          <w:szCs w:val="32"/>
        </w:rPr>
        <w:t>〔</w:t>
      </w:r>
      <w:r>
        <w:rPr>
          <w:rFonts w:eastAsia="仿宋_GB2312"/>
          <w:color w:val="000000"/>
          <w:spacing w:val="-4"/>
          <w:sz w:val="32"/>
          <w:szCs w:val="32"/>
        </w:rPr>
        <w:t>2021</w:t>
      </w:r>
      <w:r>
        <w:rPr>
          <w:rFonts w:eastAsia="仿宋_GB2312"/>
          <w:spacing w:val="-4"/>
          <w:sz w:val="32"/>
          <w:szCs w:val="32"/>
        </w:rPr>
        <w:t>〕84</w:t>
      </w:r>
      <w:r>
        <w:rPr>
          <w:rFonts w:eastAsia="仿宋_GB2312"/>
          <w:sz w:val="32"/>
          <w:szCs w:val="32"/>
        </w:rPr>
        <w:t>号）。</w:t>
      </w:r>
    </w:p>
    <w:p>
      <w:pPr>
        <w:adjustRightInd w:val="0"/>
        <w:snapToGrid w:val="0"/>
        <w:spacing w:line="580" w:lineRule="exact"/>
        <w:ind w:firstLine="640" w:firstLineChars="200"/>
        <w:rPr>
          <w:rFonts w:eastAsia="仿宋_GB2312"/>
          <w:sz w:val="32"/>
          <w:szCs w:val="32"/>
        </w:rPr>
      </w:pPr>
      <w:r>
        <w:rPr>
          <w:rFonts w:eastAsia="仿宋_GB2312"/>
          <w:sz w:val="32"/>
          <w:szCs w:val="32"/>
        </w:rPr>
        <w:t>4.资金分配的原则及考虑因素</w:t>
      </w:r>
    </w:p>
    <w:p>
      <w:pPr>
        <w:adjustRightInd w:val="0"/>
        <w:snapToGrid w:val="0"/>
        <w:spacing w:line="580" w:lineRule="exact"/>
        <w:ind w:firstLine="640" w:firstLineChars="200"/>
        <w:rPr>
          <w:rFonts w:eastAsia="仿宋_GB2312"/>
          <w:sz w:val="32"/>
          <w:szCs w:val="32"/>
        </w:rPr>
      </w:pPr>
      <w:r>
        <w:rPr>
          <w:rFonts w:eastAsia="仿宋_GB2312"/>
          <w:sz w:val="32"/>
          <w:szCs w:val="32"/>
        </w:rPr>
        <w:t>根据《财政厅 省卫生健康委关于提高计划生育家庭特别扶助标准的通知》（川财社</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〕32</w:t>
      </w:r>
      <w:r>
        <w:rPr>
          <w:rFonts w:eastAsia="仿宋_GB2312"/>
          <w:sz w:val="32"/>
          <w:szCs w:val="32"/>
        </w:rPr>
        <w:t>号）、《财政厅 省人口与计划生育委员会关于做好58、59周岁农村计划生育家庭奖励扶助制度资金发放工的通知》（川财教</w:t>
      </w:r>
      <w:r>
        <w:rPr>
          <w:rFonts w:eastAsia="仿宋_GB2312"/>
          <w:spacing w:val="-4"/>
          <w:sz w:val="32"/>
          <w:szCs w:val="32"/>
        </w:rPr>
        <w:t>〔</w:t>
      </w:r>
      <w:r>
        <w:rPr>
          <w:rFonts w:eastAsia="仿宋_GB2312"/>
          <w:color w:val="000000"/>
          <w:spacing w:val="-4"/>
          <w:sz w:val="32"/>
          <w:szCs w:val="32"/>
        </w:rPr>
        <w:t>2008</w:t>
      </w:r>
      <w:r>
        <w:rPr>
          <w:rFonts w:eastAsia="仿宋_GB2312"/>
          <w:spacing w:val="-4"/>
          <w:sz w:val="32"/>
          <w:szCs w:val="32"/>
        </w:rPr>
        <w:t>〕262</w:t>
      </w:r>
      <w:r>
        <w:rPr>
          <w:rFonts w:eastAsia="仿宋_GB2312"/>
          <w:sz w:val="32"/>
          <w:szCs w:val="32"/>
        </w:rPr>
        <w:t>号）、《市卫生健康委 市财政局 市人力资源和社会保障局关于完善农村独生子女死亡伤残家庭扶助办法的通知》（攀卫办</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〕165</w:t>
      </w:r>
      <w:r>
        <w:rPr>
          <w:rFonts w:eastAsia="仿宋_GB2312"/>
          <w:sz w:val="32"/>
          <w:szCs w:val="32"/>
        </w:rPr>
        <w:t>号）、《市财政局 市人口与计划生育委员会关于攀枝花市独生子女父母奖励金提标通知》（攀财教</w:t>
      </w:r>
      <w:r>
        <w:rPr>
          <w:rFonts w:eastAsia="仿宋_GB2312"/>
          <w:spacing w:val="-4"/>
          <w:sz w:val="32"/>
          <w:szCs w:val="32"/>
        </w:rPr>
        <w:t>〔2013〕19号</w:t>
      </w:r>
      <w:r>
        <w:rPr>
          <w:rFonts w:eastAsia="仿宋_GB2312"/>
          <w:sz w:val="32"/>
          <w:szCs w:val="32"/>
        </w:rPr>
        <w:t>）、《攀枝花市发放育儿补贴金实施细则（试行）》（攀卫办</w:t>
      </w:r>
      <w:r>
        <w:rPr>
          <w:rFonts w:eastAsia="仿宋_GB2312"/>
          <w:spacing w:val="-4"/>
          <w:sz w:val="32"/>
          <w:szCs w:val="32"/>
        </w:rPr>
        <w:t>〔</w:t>
      </w:r>
      <w:r>
        <w:rPr>
          <w:rFonts w:eastAsia="仿宋_GB2312"/>
          <w:color w:val="000000"/>
          <w:spacing w:val="-4"/>
          <w:sz w:val="32"/>
          <w:szCs w:val="32"/>
        </w:rPr>
        <w:t>2021</w:t>
      </w:r>
      <w:r>
        <w:rPr>
          <w:rFonts w:eastAsia="仿宋_GB2312"/>
          <w:spacing w:val="-4"/>
          <w:sz w:val="32"/>
          <w:szCs w:val="32"/>
        </w:rPr>
        <w:t>〕84</w:t>
      </w:r>
      <w:r>
        <w:rPr>
          <w:rFonts w:eastAsia="仿宋_GB2312"/>
          <w:sz w:val="32"/>
          <w:szCs w:val="32"/>
        </w:rPr>
        <w:t>号）。</w:t>
      </w:r>
    </w:p>
    <w:p>
      <w:pPr>
        <w:adjustRightInd w:val="0"/>
        <w:snapToGrid w:val="0"/>
        <w:spacing w:line="578" w:lineRule="exact"/>
        <w:ind w:firstLine="720"/>
        <w:rPr>
          <w:rFonts w:ascii="楷体_GB2312" w:hAnsi="宋体" w:eastAsia="楷体_GB2312"/>
          <w:b/>
          <w:sz w:val="32"/>
          <w:szCs w:val="32"/>
          <w:lang w:val="zh-CN"/>
        </w:rPr>
      </w:pPr>
      <w:r>
        <w:rPr>
          <w:rFonts w:ascii="楷体_GB2312" w:hAnsi="宋体" w:eastAsia="楷体_GB2312"/>
          <w:b/>
          <w:sz w:val="32"/>
          <w:szCs w:val="32"/>
          <w:lang w:val="zh-CN"/>
        </w:rPr>
        <w:t>（二）项目绩效目标。</w:t>
      </w:r>
    </w:p>
    <w:p>
      <w:pPr>
        <w:adjustRightInd w:val="0"/>
        <w:snapToGrid w:val="0"/>
        <w:spacing w:line="580" w:lineRule="exact"/>
        <w:ind w:firstLine="640" w:firstLineChars="200"/>
        <w:rPr>
          <w:rFonts w:eastAsia="仿宋_GB2312"/>
          <w:sz w:val="32"/>
          <w:szCs w:val="32"/>
        </w:rPr>
      </w:pPr>
      <w:r>
        <w:rPr>
          <w:rFonts w:eastAsia="仿宋_GB2312"/>
          <w:sz w:val="32"/>
          <w:szCs w:val="32"/>
        </w:rPr>
        <w:t>1.项目主要内容</w:t>
      </w:r>
    </w:p>
    <w:p>
      <w:pPr>
        <w:adjustRightInd w:val="0"/>
        <w:snapToGrid w:val="0"/>
        <w:spacing w:line="580" w:lineRule="exact"/>
        <w:ind w:firstLine="640" w:firstLineChars="200"/>
        <w:rPr>
          <w:rFonts w:eastAsia="仿宋_GB2312"/>
          <w:sz w:val="32"/>
          <w:szCs w:val="32"/>
        </w:rPr>
      </w:pPr>
      <w:r>
        <w:rPr>
          <w:rFonts w:eastAsia="仿宋_GB2312"/>
          <w:sz w:val="32"/>
          <w:szCs w:val="32"/>
        </w:rPr>
        <w:t>实施特别扶助伤残死亡家庭扶助、实施特别扶助（其他）家庭扶助、实施特别扶助伤残死亡家庭交通补贴金、实施独生子女父母奖励金、实施西部地区“少生快富”项目、特别扶助伤残死亡家庭养老保险。</w:t>
      </w:r>
    </w:p>
    <w:p>
      <w:pPr>
        <w:adjustRightInd w:val="0"/>
        <w:snapToGrid w:val="0"/>
        <w:spacing w:line="580" w:lineRule="exact"/>
        <w:ind w:firstLine="640" w:firstLineChars="200"/>
        <w:rPr>
          <w:rFonts w:eastAsia="仿宋_GB2312"/>
          <w:sz w:val="32"/>
          <w:szCs w:val="32"/>
        </w:rPr>
      </w:pPr>
      <w:r>
        <w:rPr>
          <w:rFonts w:eastAsia="仿宋_GB2312"/>
          <w:sz w:val="32"/>
          <w:szCs w:val="32"/>
        </w:rPr>
        <w:t>2.项目应实现的具体绩效目标，包括目标的量化、细化情况以及项目实施进度计划等。</w:t>
      </w:r>
    </w:p>
    <w:p>
      <w:pPr>
        <w:adjustRightInd w:val="0"/>
        <w:snapToGrid w:val="0"/>
        <w:spacing w:line="580" w:lineRule="exact"/>
        <w:ind w:firstLine="640" w:firstLineChars="200"/>
        <w:rPr>
          <w:rFonts w:eastAsia="仿宋_GB2312"/>
          <w:sz w:val="32"/>
          <w:szCs w:val="32"/>
        </w:rPr>
      </w:pPr>
      <w:r>
        <w:rPr>
          <w:rFonts w:eastAsia="仿宋_GB2312"/>
          <w:sz w:val="32"/>
          <w:szCs w:val="32"/>
        </w:rPr>
        <w:t>实施农村计划生育家庭奖励扶助制度，解决农村独生子女和双女家庭的养老问题，提高家庭发展能力。实施计划生育家庭特别扶助制度，缓解计划生育特殊家庭在生产、生活、医疗和养老等方面的困难，保障和改善民生，促进社会和谐。实施西部地区“少生快富”工程，改善计划生育家庭生产、生活状况，引导和帮助计划生育家庭发展生产，促进西部地区进一步降低生育水平。</w:t>
      </w:r>
    </w:p>
    <w:p>
      <w:pPr>
        <w:adjustRightInd w:val="0"/>
        <w:snapToGrid w:val="0"/>
        <w:spacing w:line="580" w:lineRule="exact"/>
        <w:ind w:firstLine="640" w:firstLineChars="200"/>
        <w:rPr>
          <w:rFonts w:eastAsia="仿宋_GB2312"/>
          <w:sz w:val="32"/>
          <w:szCs w:val="32"/>
        </w:rPr>
      </w:pPr>
      <w:r>
        <w:rPr>
          <w:rFonts w:eastAsia="仿宋_GB2312"/>
          <w:sz w:val="32"/>
          <w:szCs w:val="32"/>
        </w:rPr>
        <w:t>项目实施进度已完成100%。</w:t>
      </w:r>
    </w:p>
    <w:p>
      <w:pPr>
        <w:adjustRightInd w:val="0"/>
        <w:snapToGrid w:val="0"/>
        <w:spacing w:line="580" w:lineRule="exact"/>
        <w:ind w:firstLine="616" w:firstLineChars="200"/>
        <w:rPr>
          <w:rFonts w:eastAsia="仿宋_GB2312"/>
          <w:spacing w:val="-6"/>
          <w:sz w:val="32"/>
          <w:szCs w:val="32"/>
        </w:rPr>
      </w:pPr>
      <w:r>
        <w:rPr>
          <w:rFonts w:eastAsia="仿宋_GB2312"/>
          <w:spacing w:val="-6"/>
          <w:sz w:val="32"/>
          <w:szCs w:val="32"/>
        </w:rPr>
        <w:t>3.分析评价申报内容是否与实际相符，申报目标是否合理可行。</w:t>
      </w:r>
    </w:p>
    <w:p>
      <w:pPr>
        <w:adjustRightInd w:val="0"/>
        <w:snapToGrid w:val="0"/>
        <w:spacing w:line="580" w:lineRule="exact"/>
        <w:ind w:firstLine="640" w:firstLineChars="200"/>
        <w:rPr>
          <w:rFonts w:eastAsia="仿宋_GB2312"/>
          <w:sz w:val="32"/>
          <w:szCs w:val="32"/>
        </w:rPr>
      </w:pPr>
      <w:r>
        <w:rPr>
          <w:rFonts w:eastAsia="仿宋_GB2312"/>
          <w:sz w:val="32"/>
          <w:szCs w:val="32"/>
        </w:rPr>
        <w:t>根据相关文件规定，计划生育服务申报内容与实际相符，申报目标可行。</w:t>
      </w:r>
    </w:p>
    <w:p>
      <w:pPr>
        <w:pStyle w:val="21"/>
        <w:numPr>
          <w:ilvl w:val="0"/>
          <w:numId w:val="7"/>
        </w:numPr>
        <w:adjustRightInd w:val="0"/>
        <w:snapToGrid w:val="0"/>
        <w:spacing w:line="578" w:lineRule="exact"/>
        <w:ind w:firstLineChars="0"/>
        <w:rPr>
          <w:rFonts w:ascii="楷体_GB2312" w:hAnsi="宋体" w:eastAsia="楷体_GB2312"/>
          <w:b/>
          <w:sz w:val="32"/>
          <w:szCs w:val="32"/>
          <w:lang w:val="zh-CN"/>
        </w:rPr>
      </w:pPr>
      <w:r>
        <w:rPr>
          <w:rFonts w:hint="eastAsia" w:ascii="楷体_GB2312" w:hAnsi="宋体" w:eastAsia="楷体_GB2312"/>
          <w:b/>
          <w:sz w:val="32"/>
          <w:szCs w:val="32"/>
          <w:lang w:val="zh-CN"/>
        </w:rPr>
        <w:t>项目自评步骤及方法</w:t>
      </w:r>
    </w:p>
    <w:p>
      <w:pPr>
        <w:adjustRightInd w:val="0"/>
        <w:snapToGrid w:val="0"/>
        <w:spacing w:line="580" w:lineRule="exact"/>
        <w:ind w:left="643"/>
      </w:pPr>
      <w:r>
        <w:rPr>
          <w:rFonts w:hint="eastAsia" w:eastAsia="仿宋_GB2312"/>
          <w:sz w:val="32"/>
          <w:szCs w:val="32"/>
        </w:rPr>
        <w:t>根据资金使用情况及全年开展的各项工作进行自评。</w:t>
      </w:r>
    </w:p>
    <w:p>
      <w:pPr>
        <w:adjustRightInd w:val="0"/>
        <w:snapToGrid w:val="0"/>
        <w:spacing w:line="580" w:lineRule="exact"/>
        <w:ind w:firstLine="640" w:firstLineChars="200"/>
        <w:rPr>
          <w:rFonts w:eastAsia="黑体"/>
          <w:sz w:val="32"/>
          <w:szCs w:val="32"/>
        </w:rPr>
      </w:pPr>
      <w:r>
        <w:rPr>
          <w:rFonts w:eastAsia="黑体"/>
          <w:sz w:val="32"/>
          <w:szCs w:val="32"/>
        </w:rPr>
        <w:t>二、项目资金申报及使用情况</w:t>
      </w:r>
    </w:p>
    <w:p>
      <w:pPr>
        <w:adjustRightInd w:val="0"/>
        <w:snapToGrid w:val="0"/>
        <w:spacing w:line="580" w:lineRule="exact"/>
        <w:ind w:firstLine="640" w:firstLineChars="200"/>
        <w:rPr>
          <w:rFonts w:eastAsia="楷体_GB2312"/>
          <w:sz w:val="32"/>
          <w:szCs w:val="32"/>
        </w:rPr>
      </w:pPr>
      <w:r>
        <w:rPr>
          <w:rFonts w:hint="eastAsia" w:eastAsia="楷体_GB2312"/>
          <w:sz w:val="32"/>
          <w:szCs w:val="32"/>
        </w:rPr>
        <w:t>（一）项目资金申报及批复情况。</w:t>
      </w:r>
    </w:p>
    <w:p>
      <w:pPr>
        <w:adjustRightInd w:val="0"/>
        <w:snapToGrid w:val="0"/>
        <w:spacing w:line="580" w:lineRule="exact"/>
        <w:ind w:firstLine="640" w:firstLineChars="200"/>
        <w:rPr>
          <w:rFonts w:eastAsia="仿宋_GB2312"/>
          <w:sz w:val="32"/>
          <w:szCs w:val="32"/>
        </w:rPr>
      </w:pPr>
      <w:r>
        <w:rPr>
          <w:rFonts w:eastAsia="仿宋_GB2312"/>
          <w:sz w:val="32"/>
          <w:szCs w:val="32"/>
        </w:rPr>
        <w:t>2022</w:t>
      </w:r>
      <w:r>
        <w:rPr>
          <w:rFonts w:hint="eastAsia" w:eastAsia="仿宋_GB2312"/>
          <w:sz w:val="32"/>
          <w:szCs w:val="32"/>
        </w:rPr>
        <w:t>年初申报计划生育服务项目资金</w:t>
      </w:r>
      <w:r>
        <w:rPr>
          <w:rFonts w:eastAsia="仿宋_GB2312"/>
          <w:sz w:val="32"/>
          <w:szCs w:val="32"/>
        </w:rPr>
        <w:t>173</w:t>
      </w:r>
      <w:r>
        <w:rPr>
          <w:rFonts w:hint="eastAsia" w:eastAsia="仿宋_GB2312"/>
          <w:sz w:val="32"/>
          <w:szCs w:val="32"/>
        </w:rPr>
        <w:t>万元，批复</w:t>
      </w:r>
      <w:r>
        <w:rPr>
          <w:rFonts w:eastAsia="仿宋_GB2312"/>
          <w:sz w:val="32"/>
          <w:szCs w:val="32"/>
        </w:rPr>
        <w:t>173</w:t>
      </w:r>
      <w:r>
        <w:rPr>
          <w:rFonts w:hint="eastAsia" w:eastAsia="仿宋_GB2312"/>
          <w:sz w:val="32"/>
          <w:szCs w:val="32"/>
        </w:rPr>
        <w:t>万元。</w:t>
      </w:r>
    </w:p>
    <w:p>
      <w:pPr>
        <w:adjustRightInd w:val="0"/>
        <w:snapToGrid w:val="0"/>
        <w:spacing w:line="580" w:lineRule="exact"/>
        <w:ind w:firstLine="640" w:firstLineChars="200"/>
        <w:rPr>
          <w:rFonts w:eastAsia="楷体_GB2312"/>
          <w:sz w:val="32"/>
          <w:szCs w:val="32"/>
        </w:rPr>
      </w:pPr>
      <w:r>
        <w:rPr>
          <w:rFonts w:hint="eastAsia" w:eastAsia="楷体_GB2312"/>
          <w:sz w:val="32"/>
          <w:szCs w:val="32"/>
        </w:rPr>
        <w:t>（二）资金计划、到位及使用情况。</w:t>
      </w:r>
    </w:p>
    <w:p>
      <w:pPr>
        <w:adjustRightInd w:val="0"/>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.资金计划</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在说明该项目区级资金计划的基础上，分项目大类或单位分别说明各类资金计划情况，包括中央、省、市（州）、县（市、区）财政资金、项目单位自筹、其他渠道资金（包括银行贷款及其他资金等）。</w:t>
      </w:r>
    </w:p>
    <w:p>
      <w:pPr>
        <w:pStyle w:val="13"/>
        <w:widowControl w:val="0"/>
        <w:adjustRightInd w:val="0"/>
        <w:snapToGrid w:val="0"/>
        <w:spacing w:before="0" w:beforeAutospacing="0" w:after="0" w:afterAutospacing="0" w:line="580" w:lineRule="exact"/>
        <w:ind w:firstLine="640" w:firstLineChars="200"/>
        <w:rPr>
          <w:rFonts w:eastAsia="仿宋_GB2312"/>
          <w:sz w:val="32"/>
          <w:szCs w:val="32"/>
        </w:rPr>
      </w:pPr>
      <w:r>
        <w:rPr>
          <w:rFonts w:eastAsia="仿宋_GB2312"/>
          <w:sz w:val="32"/>
          <w:szCs w:val="32"/>
        </w:rPr>
        <w:t>2022</w:t>
      </w:r>
      <w:r>
        <w:rPr>
          <w:rFonts w:hint="eastAsia" w:eastAsia="仿宋_GB2312" w:cs="仿宋_GB2312"/>
          <w:sz w:val="32"/>
          <w:szCs w:val="32"/>
        </w:rPr>
        <w:t>年需支出特别扶助伤残死亡家庭扶助金</w:t>
      </w:r>
      <w:r>
        <w:rPr>
          <w:rFonts w:hint="eastAsia" w:eastAsia="仿宋_GB2312"/>
          <w:sz w:val="32"/>
          <w:szCs w:val="32"/>
        </w:rPr>
        <w:t>461.25</w:t>
      </w:r>
      <w:r>
        <w:rPr>
          <w:rFonts w:hint="eastAsia" w:eastAsia="仿宋_GB2312" w:cs="仿宋_GB2312"/>
          <w:sz w:val="32"/>
          <w:szCs w:val="32"/>
        </w:rPr>
        <w:t>万元，其中中央资金</w:t>
      </w:r>
      <w:r>
        <w:rPr>
          <w:rFonts w:hint="eastAsia" w:eastAsia="仿宋_GB2312"/>
          <w:sz w:val="32"/>
          <w:szCs w:val="32"/>
        </w:rPr>
        <w:t>205.32</w:t>
      </w:r>
      <w:r>
        <w:rPr>
          <w:rFonts w:hint="eastAsia" w:eastAsia="仿宋_GB2312" w:cs="仿宋_GB2312"/>
          <w:sz w:val="32"/>
          <w:szCs w:val="32"/>
        </w:rPr>
        <w:t>万元、省级资金</w:t>
      </w:r>
      <w:r>
        <w:rPr>
          <w:rFonts w:hint="eastAsia" w:ascii="仿宋_GB2312" w:eastAsia="仿宋_GB2312"/>
          <w:sz w:val="32"/>
          <w:szCs w:val="32"/>
        </w:rPr>
        <w:t>102.41</w:t>
      </w:r>
      <w:r>
        <w:rPr>
          <w:rFonts w:hint="eastAsia" w:eastAsia="仿宋_GB2312" w:cs="仿宋_GB2312"/>
          <w:sz w:val="32"/>
          <w:szCs w:val="32"/>
        </w:rPr>
        <w:t>万元、市级资金</w:t>
      </w:r>
      <w:r>
        <w:rPr>
          <w:rFonts w:hint="eastAsia" w:eastAsia="仿宋_GB2312"/>
          <w:sz w:val="32"/>
          <w:szCs w:val="32"/>
        </w:rPr>
        <w:t>46.06</w:t>
      </w:r>
      <w:r>
        <w:rPr>
          <w:rFonts w:hint="eastAsia" w:eastAsia="仿宋_GB2312" w:cs="仿宋_GB2312"/>
          <w:sz w:val="32"/>
          <w:szCs w:val="32"/>
        </w:rPr>
        <w:t>万元、区级资金</w:t>
      </w:r>
      <w:r>
        <w:rPr>
          <w:rFonts w:hint="eastAsia" w:eastAsia="仿宋_GB2312"/>
          <w:sz w:val="32"/>
          <w:szCs w:val="32"/>
        </w:rPr>
        <w:t>107.47</w:t>
      </w:r>
      <w:r>
        <w:rPr>
          <w:rFonts w:hint="eastAsia" w:eastAsia="仿宋_GB2312" w:cs="仿宋_GB2312"/>
          <w:sz w:val="32"/>
          <w:szCs w:val="32"/>
        </w:rPr>
        <w:t>万元。需支出特别扶助（其他）家庭扶助金</w:t>
      </w:r>
      <w:r>
        <w:rPr>
          <w:rFonts w:hint="eastAsia" w:eastAsia="仿宋_GB2312"/>
          <w:sz w:val="32"/>
          <w:szCs w:val="32"/>
        </w:rPr>
        <w:t>81.972</w:t>
      </w:r>
      <w:r>
        <w:rPr>
          <w:rFonts w:hint="eastAsia" w:eastAsia="仿宋_GB2312" w:cs="仿宋_GB2312"/>
          <w:sz w:val="32"/>
          <w:szCs w:val="32"/>
        </w:rPr>
        <w:t>万元，其中中央资金</w:t>
      </w:r>
      <w:r>
        <w:rPr>
          <w:rFonts w:hint="eastAsia" w:eastAsia="仿宋_GB2312"/>
          <w:sz w:val="32"/>
          <w:szCs w:val="32"/>
        </w:rPr>
        <w:t>65.578</w:t>
      </w:r>
      <w:r>
        <w:rPr>
          <w:rFonts w:hint="eastAsia" w:eastAsia="仿宋_GB2312" w:cs="仿宋_GB2312"/>
          <w:sz w:val="32"/>
          <w:szCs w:val="32"/>
        </w:rPr>
        <w:t>万元、省级资金</w:t>
      </w:r>
      <w:r>
        <w:rPr>
          <w:rFonts w:hint="eastAsia" w:eastAsia="仿宋_GB2312"/>
          <w:sz w:val="32"/>
          <w:szCs w:val="32"/>
        </w:rPr>
        <w:t>9.837</w:t>
      </w:r>
      <w:r>
        <w:rPr>
          <w:rFonts w:hint="eastAsia" w:eastAsia="仿宋_GB2312" w:cs="仿宋_GB2312"/>
          <w:sz w:val="32"/>
          <w:szCs w:val="32"/>
        </w:rPr>
        <w:t>万元、市级资金</w:t>
      </w:r>
      <w:r>
        <w:rPr>
          <w:rFonts w:hint="eastAsia" w:eastAsia="仿宋_GB2312"/>
          <w:sz w:val="32"/>
          <w:szCs w:val="32"/>
        </w:rPr>
        <w:t>1.967</w:t>
      </w:r>
      <w:r>
        <w:rPr>
          <w:rFonts w:hint="eastAsia" w:eastAsia="仿宋_GB2312" w:cs="仿宋_GB2312"/>
          <w:sz w:val="32"/>
          <w:szCs w:val="32"/>
        </w:rPr>
        <w:t>万元、区级资金</w:t>
      </w:r>
      <w:r>
        <w:rPr>
          <w:rFonts w:hint="eastAsia" w:eastAsia="仿宋_GB2312"/>
          <w:sz w:val="32"/>
          <w:szCs w:val="32"/>
        </w:rPr>
        <w:t>4.59</w:t>
      </w:r>
      <w:r>
        <w:rPr>
          <w:rFonts w:hint="eastAsia" w:eastAsia="仿宋_GB2312" w:cs="仿宋_GB2312"/>
          <w:sz w:val="32"/>
          <w:szCs w:val="32"/>
        </w:rPr>
        <w:t>万元。</w:t>
      </w:r>
      <w:r>
        <w:rPr>
          <w:rFonts w:hint="eastAsia" w:eastAsia="仿宋_GB2312"/>
          <w:sz w:val="32"/>
          <w:szCs w:val="32"/>
        </w:rPr>
        <w:t>需支付农村部分计划生育家庭奖励扶助制度资金17.184万元，其中中央资金11.6万元、省级资金2.68万元，市级资金2.904万元。需支出特别扶助伤残死亡家庭交通补贴金32.4万元，其中区级资金32.4万元。</w:t>
      </w:r>
      <w:r>
        <w:rPr>
          <w:rFonts w:eastAsia="仿宋_GB2312"/>
          <w:sz w:val="32"/>
          <w:szCs w:val="32"/>
        </w:rPr>
        <w:t>需支出独生子女父母奖励金11.871万元，其中省级资金1.484万元、市级资金2.97万元、区级资金7.42万元。</w:t>
      </w:r>
      <w:r>
        <w:rPr>
          <w:rFonts w:hint="eastAsia" w:eastAsia="仿宋_GB2312" w:cs="仿宋_GB2312"/>
          <w:sz w:val="32"/>
          <w:szCs w:val="32"/>
        </w:rPr>
        <w:t>需支出特别扶助伤残死亡家庭养老保险</w:t>
      </w:r>
      <w:r>
        <w:rPr>
          <w:rFonts w:hint="eastAsia" w:eastAsia="仿宋_GB2312"/>
          <w:sz w:val="32"/>
          <w:szCs w:val="32"/>
        </w:rPr>
        <w:t>0.9</w:t>
      </w:r>
      <w:r>
        <w:rPr>
          <w:rFonts w:hint="eastAsia" w:eastAsia="仿宋_GB2312" w:cs="仿宋_GB2312"/>
          <w:sz w:val="32"/>
          <w:szCs w:val="32"/>
        </w:rPr>
        <w:t>万元，其中市级资金</w:t>
      </w:r>
      <w:r>
        <w:rPr>
          <w:rFonts w:hint="eastAsia" w:eastAsia="仿宋_GB2312"/>
          <w:sz w:val="32"/>
          <w:szCs w:val="32"/>
        </w:rPr>
        <w:t>0.45</w:t>
      </w:r>
      <w:r>
        <w:rPr>
          <w:rFonts w:hint="eastAsia" w:eastAsia="仿宋_GB2312" w:cs="仿宋_GB2312"/>
          <w:sz w:val="32"/>
          <w:szCs w:val="32"/>
        </w:rPr>
        <w:t>万元，区级资金</w:t>
      </w:r>
      <w:r>
        <w:rPr>
          <w:rFonts w:hint="eastAsia" w:eastAsia="仿宋_GB2312"/>
          <w:sz w:val="32"/>
          <w:szCs w:val="32"/>
        </w:rPr>
        <w:t>0.45</w:t>
      </w:r>
      <w:r>
        <w:rPr>
          <w:rFonts w:hint="eastAsia" w:eastAsia="仿宋_GB2312" w:cs="仿宋_GB2312"/>
          <w:sz w:val="32"/>
          <w:szCs w:val="32"/>
        </w:rPr>
        <w:t>万元。</w:t>
      </w:r>
    </w:p>
    <w:p>
      <w:pPr>
        <w:adjustRightInd w:val="0"/>
        <w:snapToGri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.资金到位情况</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汇总统计截止评价时点该项目区级资金到位情况。在此基础上分项目大类或单位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pStyle w:val="13"/>
        <w:widowControl w:val="0"/>
        <w:adjustRightInd w:val="0"/>
        <w:snapToGrid w:val="0"/>
        <w:spacing w:before="0" w:beforeAutospacing="0" w:after="0" w:afterAutospacing="0" w:line="580" w:lineRule="exact"/>
        <w:ind w:firstLine="640" w:firstLineChars="200"/>
        <w:rPr>
          <w:rFonts w:eastAsia="仿宋_GB2312"/>
          <w:sz w:val="32"/>
          <w:szCs w:val="32"/>
        </w:rPr>
      </w:pPr>
      <w:r>
        <w:rPr>
          <w:rFonts w:eastAsia="仿宋_GB2312"/>
          <w:sz w:val="32"/>
          <w:szCs w:val="32"/>
        </w:rPr>
        <w:t>2022</w:t>
      </w:r>
      <w:r>
        <w:rPr>
          <w:rFonts w:hint="eastAsia" w:eastAsia="仿宋_GB2312" w:cs="仿宋_GB2312"/>
          <w:sz w:val="32"/>
          <w:szCs w:val="32"/>
        </w:rPr>
        <w:t>年需支出特别扶助伤残死亡家庭扶助金</w:t>
      </w:r>
      <w:r>
        <w:rPr>
          <w:rFonts w:hint="eastAsia" w:eastAsia="仿宋_GB2312"/>
          <w:sz w:val="32"/>
          <w:szCs w:val="32"/>
        </w:rPr>
        <w:t>461.25</w:t>
      </w:r>
      <w:r>
        <w:rPr>
          <w:rFonts w:hint="eastAsia" w:eastAsia="仿宋_GB2312" w:cs="仿宋_GB2312"/>
          <w:sz w:val="32"/>
          <w:szCs w:val="32"/>
        </w:rPr>
        <w:t>万元，其中中央资金</w:t>
      </w:r>
      <w:r>
        <w:rPr>
          <w:rFonts w:hint="eastAsia" w:eastAsia="仿宋_GB2312"/>
          <w:sz w:val="32"/>
          <w:szCs w:val="32"/>
        </w:rPr>
        <w:t>205.32</w:t>
      </w:r>
      <w:r>
        <w:rPr>
          <w:rFonts w:hint="eastAsia" w:eastAsia="仿宋_GB2312" w:cs="仿宋_GB2312"/>
          <w:sz w:val="32"/>
          <w:szCs w:val="32"/>
        </w:rPr>
        <w:t>万元、省级资金</w:t>
      </w:r>
      <w:r>
        <w:rPr>
          <w:rFonts w:hint="eastAsia" w:ascii="仿宋_GB2312" w:eastAsia="仿宋_GB2312"/>
          <w:sz w:val="32"/>
          <w:szCs w:val="32"/>
        </w:rPr>
        <w:t>102.41</w:t>
      </w:r>
      <w:r>
        <w:rPr>
          <w:rFonts w:hint="eastAsia" w:eastAsia="仿宋_GB2312" w:cs="仿宋_GB2312"/>
          <w:sz w:val="32"/>
          <w:szCs w:val="32"/>
        </w:rPr>
        <w:t>万元、市级资金</w:t>
      </w:r>
      <w:r>
        <w:rPr>
          <w:rFonts w:hint="eastAsia" w:eastAsia="仿宋_GB2312"/>
          <w:sz w:val="32"/>
          <w:szCs w:val="32"/>
        </w:rPr>
        <w:t>46.06</w:t>
      </w:r>
      <w:r>
        <w:rPr>
          <w:rFonts w:hint="eastAsia" w:eastAsia="仿宋_GB2312" w:cs="仿宋_GB2312"/>
          <w:sz w:val="32"/>
          <w:szCs w:val="32"/>
        </w:rPr>
        <w:t>万元、区级资金</w:t>
      </w:r>
      <w:r>
        <w:rPr>
          <w:rFonts w:hint="eastAsia" w:eastAsia="仿宋_GB2312"/>
          <w:sz w:val="32"/>
          <w:szCs w:val="32"/>
        </w:rPr>
        <w:t>107.47</w:t>
      </w:r>
      <w:r>
        <w:rPr>
          <w:rFonts w:hint="eastAsia" w:eastAsia="仿宋_GB2312" w:cs="仿宋_GB2312"/>
          <w:sz w:val="32"/>
          <w:szCs w:val="32"/>
        </w:rPr>
        <w:t>万元。需支出特别扶助（其他）家庭扶助金</w:t>
      </w:r>
      <w:r>
        <w:rPr>
          <w:rFonts w:hint="eastAsia" w:eastAsia="仿宋_GB2312"/>
          <w:sz w:val="32"/>
          <w:szCs w:val="32"/>
        </w:rPr>
        <w:t>81.972</w:t>
      </w:r>
      <w:r>
        <w:rPr>
          <w:rFonts w:hint="eastAsia" w:eastAsia="仿宋_GB2312" w:cs="仿宋_GB2312"/>
          <w:sz w:val="32"/>
          <w:szCs w:val="32"/>
        </w:rPr>
        <w:t>万元，其中中央资金</w:t>
      </w:r>
      <w:r>
        <w:rPr>
          <w:rFonts w:hint="eastAsia" w:eastAsia="仿宋_GB2312"/>
          <w:sz w:val="32"/>
          <w:szCs w:val="32"/>
        </w:rPr>
        <w:t>65.578</w:t>
      </w:r>
      <w:r>
        <w:rPr>
          <w:rFonts w:hint="eastAsia" w:eastAsia="仿宋_GB2312" w:cs="仿宋_GB2312"/>
          <w:sz w:val="32"/>
          <w:szCs w:val="32"/>
        </w:rPr>
        <w:t>万元、省级资金</w:t>
      </w:r>
      <w:r>
        <w:rPr>
          <w:rFonts w:hint="eastAsia" w:eastAsia="仿宋_GB2312"/>
          <w:sz w:val="32"/>
          <w:szCs w:val="32"/>
        </w:rPr>
        <w:t>9.837</w:t>
      </w:r>
      <w:r>
        <w:rPr>
          <w:rFonts w:hint="eastAsia" w:eastAsia="仿宋_GB2312" w:cs="仿宋_GB2312"/>
          <w:sz w:val="32"/>
          <w:szCs w:val="32"/>
        </w:rPr>
        <w:t>万元、市级资金</w:t>
      </w:r>
      <w:r>
        <w:rPr>
          <w:rFonts w:hint="eastAsia" w:eastAsia="仿宋_GB2312"/>
          <w:sz w:val="32"/>
          <w:szCs w:val="32"/>
        </w:rPr>
        <w:t>1.967</w:t>
      </w:r>
      <w:r>
        <w:rPr>
          <w:rFonts w:hint="eastAsia" w:eastAsia="仿宋_GB2312" w:cs="仿宋_GB2312"/>
          <w:sz w:val="32"/>
          <w:szCs w:val="32"/>
        </w:rPr>
        <w:t>万元、区级资金</w:t>
      </w:r>
      <w:r>
        <w:rPr>
          <w:rFonts w:hint="eastAsia" w:eastAsia="仿宋_GB2312"/>
          <w:sz w:val="32"/>
          <w:szCs w:val="32"/>
        </w:rPr>
        <w:t>4.59</w:t>
      </w:r>
      <w:r>
        <w:rPr>
          <w:rFonts w:hint="eastAsia" w:eastAsia="仿宋_GB2312" w:cs="仿宋_GB2312"/>
          <w:sz w:val="32"/>
          <w:szCs w:val="32"/>
        </w:rPr>
        <w:t>万元。</w:t>
      </w:r>
      <w:r>
        <w:rPr>
          <w:rFonts w:hint="eastAsia" w:eastAsia="仿宋_GB2312"/>
          <w:sz w:val="32"/>
          <w:szCs w:val="32"/>
        </w:rPr>
        <w:t>需支付农村部分计划生育家庭奖励扶助制度资金17.184万元，其中中央资金11.6万元、省级资金2.68万元，市级资金2.904万元。需支出特别扶助伤残死亡家庭交通补贴金32.4万元，其中区级资金32.4万元。</w:t>
      </w:r>
      <w:r>
        <w:rPr>
          <w:rFonts w:eastAsia="仿宋_GB2312"/>
          <w:sz w:val="32"/>
          <w:szCs w:val="32"/>
        </w:rPr>
        <w:t>需支出独生子女父母奖励金11.871万元，其中省级资金1.484万元、市级资金2.97万元、区级资金7.42万元。</w:t>
      </w:r>
      <w:r>
        <w:rPr>
          <w:rFonts w:hint="eastAsia" w:eastAsia="仿宋_GB2312" w:cs="仿宋_GB2312"/>
          <w:sz w:val="32"/>
          <w:szCs w:val="32"/>
        </w:rPr>
        <w:t>需支出特别扶助伤残死亡家庭养老保险</w:t>
      </w:r>
      <w:r>
        <w:rPr>
          <w:rFonts w:hint="eastAsia" w:eastAsia="仿宋_GB2312"/>
          <w:sz w:val="32"/>
          <w:szCs w:val="32"/>
        </w:rPr>
        <w:t>0.9</w:t>
      </w:r>
      <w:r>
        <w:rPr>
          <w:rFonts w:hint="eastAsia" w:eastAsia="仿宋_GB2312" w:cs="仿宋_GB2312"/>
          <w:sz w:val="32"/>
          <w:szCs w:val="32"/>
        </w:rPr>
        <w:t>万元，其中市级资金</w:t>
      </w:r>
      <w:r>
        <w:rPr>
          <w:rFonts w:hint="eastAsia" w:eastAsia="仿宋_GB2312"/>
          <w:sz w:val="32"/>
          <w:szCs w:val="32"/>
        </w:rPr>
        <w:t>0.45</w:t>
      </w:r>
      <w:r>
        <w:rPr>
          <w:rFonts w:hint="eastAsia" w:eastAsia="仿宋_GB2312" w:cs="仿宋_GB2312"/>
          <w:sz w:val="32"/>
          <w:szCs w:val="32"/>
        </w:rPr>
        <w:t>万元，区级资金</w:t>
      </w:r>
      <w:r>
        <w:rPr>
          <w:rFonts w:hint="eastAsia" w:eastAsia="仿宋_GB2312"/>
          <w:sz w:val="32"/>
          <w:szCs w:val="32"/>
        </w:rPr>
        <w:t>0.45</w:t>
      </w:r>
      <w:r>
        <w:rPr>
          <w:rFonts w:hint="eastAsia" w:eastAsia="仿宋_GB2312" w:cs="仿宋_GB2312"/>
          <w:sz w:val="32"/>
          <w:szCs w:val="32"/>
        </w:rPr>
        <w:t>万元。中央、省、市、区级资金均按时到位，资金到位率</w:t>
      </w:r>
      <w:r>
        <w:rPr>
          <w:rFonts w:eastAsia="仿宋_GB2312"/>
          <w:sz w:val="32"/>
          <w:szCs w:val="32"/>
        </w:rPr>
        <w:t>100%</w:t>
      </w:r>
      <w:r>
        <w:rPr>
          <w:rFonts w:hint="eastAsia" w:eastAsia="仿宋_GB2312" w:cs="仿宋_GB2312"/>
          <w:sz w:val="32"/>
          <w:szCs w:val="32"/>
        </w:rPr>
        <w:t>。</w:t>
      </w:r>
    </w:p>
    <w:p>
      <w:pPr>
        <w:adjustRightInd w:val="0"/>
        <w:snapToGri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.资金使用情况 </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汇总统计截止评价时点该项目区级资金支出情况。在此基础上分项目大类或单位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580" w:lineRule="exact"/>
        <w:ind w:firstLine="640" w:firstLineChars="200"/>
        <w:rPr>
          <w:rFonts w:eastAsia="仿宋_GB2312"/>
          <w:sz w:val="32"/>
          <w:szCs w:val="32"/>
        </w:rPr>
      </w:pPr>
      <w:r>
        <w:rPr>
          <w:rFonts w:eastAsia="仿宋_GB2312"/>
          <w:sz w:val="32"/>
          <w:szCs w:val="32"/>
        </w:rPr>
        <w:t>2022</w:t>
      </w:r>
      <w:r>
        <w:rPr>
          <w:rFonts w:hint="eastAsia" w:eastAsia="仿宋_GB2312" w:cs="仿宋_GB2312"/>
          <w:sz w:val="32"/>
          <w:szCs w:val="32"/>
        </w:rPr>
        <w:t>年需支出特别扶助伤残死亡家庭扶助金</w:t>
      </w:r>
      <w:r>
        <w:rPr>
          <w:rFonts w:hint="eastAsia" w:eastAsia="仿宋_GB2312"/>
          <w:sz w:val="32"/>
          <w:szCs w:val="32"/>
        </w:rPr>
        <w:t>461.25</w:t>
      </w:r>
      <w:r>
        <w:rPr>
          <w:rFonts w:hint="eastAsia" w:eastAsia="仿宋_GB2312" w:cs="仿宋_GB2312"/>
          <w:sz w:val="32"/>
          <w:szCs w:val="32"/>
        </w:rPr>
        <w:t>万元，其中中央资金</w:t>
      </w:r>
      <w:r>
        <w:rPr>
          <w:rFonts w:hint="eastAsia" w:eastAsia="仿宋_GB2312"/>
          <w:sz w:val="32"/>
          <w:szCs w:val="32"/>
        </w:rPr>
        <w:t>205.32</w:t>
      </w:r>
      <w:r>
        <w:rPr>
          <w:rFonts w:hint="eastAsia" w:eastAsia="仿宋_GB2312" w:cs="仿宋_GB2312"/>
          <w:sz w:val="32"/>
          <w:szCs w:val="32"/>
        </w:rPr>
        <w:t>万元、省级资金</w:t>
      </w:r>
      <w:r>
        <w:rPr>
          <w:rFonts w:hint="eastAsia" w:ascii="仿宋_GB2312" w:eastAsia="仿宋_GB2312"/>
          <w:sz w:val="32"/>
          <w:szCs w:val="32"/>
        </w:rPr>
        <w:t>102.41</w:t>
      </w:r>
      <w:r>
        <w:rPr>
          <w:rFonts w:hint="eastAsia" w:eastAsia="仿宋_GB2312" w:cs="仿宋_GB2312"/>
          <w:sz w:val="32"/>
          <w:szCs w:val="32"/>
        </w:rPr>
        <w:t>万元、市级资金</w:t>
      </w:r>
      <w:r>
        <w:rPr>
          <w:rFonts w:hint="eastAsia" w:eastAsia="仿宋_GB2312"/>
          <w:sz w:val="32"/>
          <w:szCs w:val="32"/>
        </w:rPr>
        <w:t>46.06</w:t>
      </w:r>
      <w:r>
        <w:rPr>
          <w:rFonts w:hint="eastAsia" w:eastAsia="仿宋_GB2312" w:cs="仿宋_GB2312"/>
          <w:sz w:val="32"/>
          <w:szCs w:val="32"/>
        </w:rPr>
        <w:t>万元、区级资金</w:t>
      </w:r>
      <w:r>
        <w:rPr>
          <w:rFonts w:hint="eastAsia" w:eastAsia="仿宋_GB2312"/>
          <w:sz w:val="32"/>
          <w:szCs w:val="32"/>
        </w:rPr>
        <w:t>107.47</w:t>
      </w:r>
      <w:r>
        <w:rPr>
          <w:rFonts w:hint="eastAsia" w:eastAsia="仿宋_GB2312" w:cs="仿宋_GB2312"/>
          <w:sz w:val="32"/>
          <w:szCs w:val="32"/>
        </w:rPr>
        <w:t>万元。需</w:t>
      </w:r>
      <w:bookmarkStart w:id="61" w:name="_GoBack"/>
      <w:bookmarkEnd w:id="61"/>
      <w:r>
        <w:rPr>
          <w:rFonts w:hint="eastAsia" w:eastAsia="仿宋_GB2312" w:cs="仿宋_GB2312"/>
          <w:sz w:val="32"/>
          <w:szCs w:val="32"/>
        </w:rPr>
        <w:t>支出特别扶助（其他）家庭扶助金</w:t>
      </w:r>
      <w:r>
        <w:rPr>
          <w:rFonts w:hint="eastAsia" w:eastAsia="仿宋_GB2312"/>
          <w:sz w:val="32"/>
          <w:szCs w:val="32"/>
        </w:rPr>
        <w:t>81.972</w:t>
      </w:r>
      <w:r>
        <w:rPr>
          <w:rFonts w:hint="eastAsia" w:eastAsia="仿宋_GB2312" w:cs="仿宋_GB2312"/>
          <w:sz w:val="32"/>
          <w:szCs w:val="32"/>
        </w:rPr>
        <w:t>万元，其中中央资金</w:t>
      </w:r>
      <w:r>
        <w:rPr>
          <w:rFonts w:hint="eastAsia" w:eastAsia="仿宋_GB2312"/>
          <w:sz w:val="32"/>
          <w:szCs w:val="32"/>
        </w:rPr>
        <w:t>65.578</w:t>
      </w:r>
      <w:r>
        <w:rPr>
          <w:rFonts w:hint="eastAsia" w:eastAsia="仿宋_GB2312" w:cs="仿宋_GB2312"/>
          <w:sz w:val="32"/>
          <w:szCs w:val="32"/>
        </w:rPr>
        <w:t>万元、省级资金</w:t>
      </w:r>
      <w:r>
        <w:rPr>
          <w:rFonts w:hint="eastAsia" w:eastAsia="仿宋_GB2312"/>
          <w:sz w:val="32"/>
          <w:szCs w:val="32"/>
        </w:rPr>
        <w:t>9.837</w:t>
      </w:r>
      <w:r>
        <w:rPr>
          <w:rFonts w:hint="eastAsia" w:eastAsia="仿宋_GB2312" w:cs="仿宋_GB2312"/>
          <w:sz w:val="32"/>
          <w:szCs w:val="32"/>
        </w:rPr>
        <w:t>万元、市级资金</w:t>
      </w:r>
      <w:r>
        <w:rPr>
          <w:rFonts w:hint="eastAsia" w:eastAsia="仿宋_GB2312"/>
          <w:sz w:val="32"/>
          <w:szCs w:val="32"/>
        </w:rPr>
        <w:t>1.967</w:t>
      </w:r>
      <w:r>
        <w:rPr>
          <w:rFonts w:hint="eastAsia" w:eastAsia="仿宋_GB2312" w:cs="仿宋_GB2312"/>
          <w:sz w:val="32"/>
          <w:szCs w:val="32"/>
        </w:rPr>
        <w:t>万元、区级资金</w:t>
      </w:r>
      <w:r>
        <w:rPr>
          <w:rFonts w:hint="eastAsia" w:eastAsia="仿宋_GB2312"/>
          <w:sz w:val="32"/>
          <w:szCs w:val="32"/>
        </w:rPr>
        <w:t>4.59</w:t>
      </w:r>
      <w:r>
        <w:rPr>
          <w:rFonts w:hint="eastAsia" w:eastAsia="仿宋_GB2312" w:cs="仿宋_GB2312"/>
          <w:sz w:val="32"/>
          <w:szCs w:val="32"/>
        </w:rPr>
        <w:t>万元。</w:t>
      </w:r>
      <w:r>
        <w:rPr>
          <w:rFonts w:hint="eastAsia" w:eastAsia="仿宋_GB2312"/>
          <w:sz w:val="32"/>
          <w:szCs w:val="32"/>
        </w:rPr>
        <w:t>需支付农村部分计划生育家庭奖励扶助制度资金17.184万元，其中中央资金11.6万元、省级资金2.68万元，市级资金2.904万元。需支出特别扶助伤残死亡家庭交通补贴金32.4万元，其中区级资金32.4万元。</w:t>
      </w:r>
      <w:r>
        <w:rPr>
          <w:rFonts w:eastAsia="仿宋_GB2312"/>
          <w:sz w:val="32"/>
          <w:szCs w:val="32"/>
        </w:rPr>
        <w:t>需支出独生子女父母奖励金11.871万元，其中省级资金1.484万元、市级资金2.97万元、区级资金7.42万元。</w:t>
      </w:r>
      <w:r>
        <w:rPr>
          <w:rFonts w:hint="eastAsia" w:eastAsia="仿宋_GB2312" w:cs="仿宋_GB2312"/>
          <w:sz w:val="32"/>
          <w:szCs w:val="32"/>
        </w:rPr>
        <w:t>需支出特别扶助伤残死亡家庭养老保险</w:t>
      </w:r>
      <w:r>
        <w:rPr>
          <w:rFonts w:hint="eastAsia" w:eastAsia="仿宋_GB2312"/>
          <w:sz w:val="32"/>
          <w:szCs w:val="32"/>
        </w:rPr>
        <w:t>0.9</w:t>
      </w:r>
      <w:r>
        <w:rPr>
          <w:rFonts w:hint="eastAsia" w:eastAsia="仿宋_GB2312" w:cs="仿宋_GB2312"/>
          <w:sz w:val="32"/>
          <w:szCs w:val="32"/>
        </w:rPr>
        <w:t>万元，其中市级资金</w:t>
      </w:r>
      <w:r>
        <w:rPr>
          <w:rFonts w:hint="eastAsia" w:eastAsia="仿宋_GB2312"/>
          <w:sz w:val="32"/>
          <w:szCs w:val="32"/>
        </w:rPr>
        <w:t>0.45</w:t>
      </w:r>
      <w:r>
        <w:rPr>
          <w:rFonts w:hint="eastAsia" w:eastAsia="仿宋_GB2312" w:cs="仿宋_GB2312"/>
          <w:sz w:val="32"/>
          <w:szCs w:val="32"/>
        </w:rPr>
        <w:t>万元，区级资金</w:t>
      </w:r>
      <w:r>
        <w:rPr>
          <w:rFonts w:hint="eastAsia" w:eastAsia="仿宋_GB2312"/>
          <w:sz w:val="32"/>
          <w:szCs w:val="32"/>
        </w:rPr>
        <w:t>0.45</w:t>
      </w:r>
      <w:r>
        <w:rPr>
          <w:rFonts w:hint="eastAsia" w:eastAsia="仿宋_GB2312" w:cs="仿宋_GB2312"/>
          <w:sz w:val="32"/>
          <w:szCs w:val="32"/>
        </w:rPr>
        <w:t>万元。支付计划生育服务项目资金均按照中央、省、市、区相关文件规定的支付范围、支付标准进行支付，合规合法，与预算相符。</w:t>
      </w:r>
    </w:p>
    <w:p>
      <w:pPr>
        <w:adjustRightInd w:val="0"/>
        <w:snapToGrid w:val="0"/>
        <w:spacing w:line="580" w:lineRule="exact"/>
        <w:ind w:firstLine="643" w:firstLineChars="200"/>
        <w:rPr>
          <w:rFonts w:eastAsia="楷体_GB2312"/>
          <w:b/>
          <w:bCs/>
          <w:sz w:val="32"/>
          <w:szCs w:val="32"/>
        </w:rPr>
      </w:pPr>
      <w:r>
        <w:rPr>
          <w:rFonts w:hint="eastAsia" w:eastAsia="楷体_GB2312"/>
          <w:b/>
          <w:bCs/>
          <w:sz w:val="32"/>
          <w:szCs w:val="32"/>
        </w:rPr>
        <w:t>（三）项目财务管理情况</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单位财务管理制度健全，严格执行财务管理制度，账务处理及时，会计核算规范。</w:t>
      </w:r>
    </w:p>
    <w:p>
      <w:pPr>
        <w:adjustRightInd w:val="0"/>
        <w:snapToGrid w:val="0"/>
        <w:spacing w:line="580" w:lineRule="exact"/>
        <w:ind w:firstLine="640" w:firstLineChars="200"/>
        <w:rPr>
          <w:rFonts w:eastAsia="仿宋_GB2312"/>
          <w:sz w:val="32"/>
          <w:szCs w:val="32"/>
        </w:rPr>
      </w:pPr>
      <w:r>
        <w:rPr>
          <w:rFonts w:hint="eastAsia" w:eastAsia="黑体"/>
          <w:sz w:val="32"/>
          <w:szCs w:val="32"/>
        </w:rPr>
        <w:t>三、项目实施及管理情况</w:t>
      </w:r>
    </w:p>
    <w:p>
      <w:pPr>
        <w:adjustRightInd w:val="0"/>
        <w:snapToGrid w:val="0"/>
        <w:spacing w:line="58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市卫生健康委负责项目监管，区卫生健康局负责项目实施。实施流程：申报－审查资料－询问－信息采集－资料分类－入户调查－乡镇级初审－县级复查审批－公示－拨付。</w:t>
      </w:r>
    </w:p>
    <w:p>
      <w:pPr>
        <w:adjustRightInd w:val="0"/>
        <w:snapToGrid w:val="0"/>
        <w:spacing w:line="58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通过质量抽查、入户调查、查阅资料等开展监管，确保申报对象资格确认准确率</w:t>
      </w:r>
      <w:r>
        <w:rPr>
          <w:rFonts w:eastAsia="仿宋_GB2312"/>
          <w:sz w:val="32"/>
          <w:szCs w:val="32"/>
        </w:rPr>
        <w:t>100%</w:t>
      </w:r>
      <w:r>
        <w:rPr>
          <w:rFonts w:hint="eastAsia" w:eastAsia="仿宋_GB2312"/>
          <w:sz w:val="32"/>
          <w:szCs w:val="32"/>
        </w:rPr>
        <w:t>。</w:t>
      </w:r>
    </w:p>
    <w:p>
      <w:pPr>
        <w:adjustRightInd w:val="0"/>
        <w:snapToGrid w:val="0"/>
        <w:spacing w:line="580" w:lineRule="exact"/>
        <w:ind w:firstLine="643" w:firstLineChars="200"/>
        <w:rPr>
          <w:rFonts w:eastAsia="楷体_GB2312"/>
          <w:b/>
          <w:bCs/>
          <w:sz w:val="32"/>
          <w:szCs w:val="32"/>
        </w:rPr>
      </w:pPr>
      <w:r>
        <w:rPr>
          <w:rFonts w:hint="eastAsia" w:eastAsia="楷体_GB2312"/>
          <w:b/>
          <w:bCs/>
          <w:sz w:val="32"/>
          <w:szCs w:val="32"/>
        </w:rPr>
        <w:t>（三）项目监管情况</w:t>
      </w:r>
    </w:p>
    <w:p>
      <w:pPr>
        <w:adjustRightInd w:val="0"/>
        <w:snapToGrid w:val="0"/>
        <w:spacing w:line="580" w:lineRule="exact"/>
        <w:ind w:firstLine="640" w:firstLineChars="200"/>
      </w:pPr>
      <w:r>
        <w:rPr>
          <w:rFonts w:hint="eastAsia" w:eastAsia="仿宋_GB2312"/>
          <w:sz w:val="32"/>
          <w:szCs w:val="32"/>
        </w:rPr>
        <w:t>实行专款专用，加强对资金使用情况的管理与检查，规范支出，无挤占、截留、挪用现金的发生。</w:t>
      </w:r>
    </w:p>
    <w:p>
      <w:pPr>
        <w:adjustRightInd w:val="0"/>
        <w:snapToGrid w:val="0"/>
        <w:spacing w:line="580" w:lineRule="exact"/>
        <w:ind w:firstLine="640" w:firstLineChars="200"/>
        <w:rPr>
          <w:rFonts w:eastAsia="黑体"/>
          <w:sz w:val="32"/>
          <w:szCs w:val="32"/>
        </w:rPr>
      </w:pPr>
      <w:r>
        <w:rPr>
          <w:rFonts w:hint="eastAsia" w:eastAsia="黑体"/>
          <w:sz w:val="32"/>
          <w:szCs w:val="32"/>
        </w:rPr>
        <w:t>四、项目绩效情况</w:t>
      </w:r>
    </w:p>
    <w:p>
      <w:pPr>
        <w:adjustRightInd w:val="0"/>
        <w:snapToGrid w:val="0"/>
        <w:spacing w:line="580" w:lineRule="exact"/>
        <w:ind w:firstLine="643" w:firstLineChars="200"/>
        <w:rPr>
          <w:rFonts w:eastAsia="楷体_GB2312"/>
          <w:b/>
          <w:bCs/>
          <w:sz w:val="32"/>
          <w:szCs w:val="32"/>
        </w:rPr>
      </w:pPr>
      <w:r>
        <w:rPr>
          <w:rFonts w:hint="eastAsia" w:eastAsia="楷体_GB2312"/>
          <w:b/>
          <w:bCs/>
          <w:sz w:val="32"/>
          <w:szCs w:val="32"/>
        </w:rPr>
        <w:t>（一）项目完成情况</w:t>
      </w:r>
    </w:p>
    <w:p>
      <w:pPr>
        <w:pStyle w:val="13"/>
        <w:widowControl w:val="0"/>
        <w:adjustRightInd w:val="0"/>
        <w:snapToGrid w:val="0"/>
        <w:spacing w:before="0" w:beforeAutospacing="0" w:after="0" w:afterAutospacing="0" w:line="580" w:lineRule="exact"/>
        <w:ind w:firstLine="640" w:firstLineChars="200"/>
        <w:rPr>
          <w:rFonts w:eastAsia="仿宋_GB2312"/>
          <w:sz w:val="32"/>
          <w:szCs w:val="32"/>
        </w:rPr>
      </w:pPr>
      <w:r>
        <w:rPr>
          <w:rFonts w:eastAsia="仿宋_GB2312"/>
          <w:sz w:val="32"/>
          <w:szCs w:val="32"/>
        </w:rPr>
        <w:t>2022</w:t>
      </w:r>
      <w:r>
        <w:rPr>
          <w:rFonts w:hint="eastAsia" w:eastAsia="仿宋_GB2312" w:cs="仿宋_GB2312"/>
          <w:sz w:val="32"/>
          <w:szCs w:val="32"/>
        </w:rPr>
        <w:t>年需支出特别扶助伤残死亡家庭扶助金</w:t>
      </w:r>
      <w:r>
        <w:rPr>
          <w:rFonts w:hint="eastAsia" w:eastAsia="仿宋_GB2312"/>
          <w:sz w:val="32"/>
          <w:szCs w:val="32"/>
        </w:rPr>
        <w:t>461.25</w:t>
      </w:r>
      <w:r>
        <w:rPr>
          <w:rFonts w:hint="eastAsia" w:eastAsia="仿宋_GB2312" w:cs="仿宋_GB2312"/>
          <w:sz w:val="32"/>
          <w:szCs w:val="32"/>
        </w:rPr>
        <w:t>万元，其中中央资金</w:t>
      </w:r>
      <w:r>
        <w:rPr>
          <w:rFonts w:hint="eastAsia" w:eastAsia="仿宋_GB2312"/>
          <w:sz w:val="32"/>
          <w:szCs w:val="32"/>
        </w:rPr>
        <w:t>205.32</w:t>
      </w:r>
      <w:r>
        <w:rPr>
          <w:rFonts w:hint="eastAsia" w:eastAsia="仿宋_GB2312" w:cs="仿宋_GB2312"/>
          <w:sz w:val="32"/>
          <w:szCs w:val="32"/>
        </w:rPr>
        <w:t>万元、省级资金</w:t>
      </w:r>
      <w:r>
        <w:rPr>
          <w:rFonts w:hint="eastAsia" w:ascii="仿宋_GB2312" w:eastAsia="仿宋_GB2312"/>
          <w:sz w:val="32"/>
          <w:szCs w:val="32"/>
        </w:rPr>
        <w:t>102.41</w:t>
      </w:r>
      <w:r>
        <w:rPr>
          <w:rFonts w:hint="eastAsia" w:eastAsia="仿宋_GB2312" w:cs="仿宋_GB2312"/>
          <w:sz w:val="32"/>
          <w:szCs w:val="32"/>
        </w:rPr>
        <w:t>万元、市级资金</w:t>
      </w:r>
      <w:r>
        <w:rPr>
          <w:rFonts w:hint="eastAsia" w:eastAsia="仿宋_GB2312"/>
          <w:sz w:val="32"/>
          <w:szCs w:val="32"/>
        </w:rPr>
        <w:t>46.06</w:t>
      </w:r>
      <w:r>
        <w:rPr>
          <w:rFonts w:hint="eastAsia" w:eastAsia="仿宋_GB2312" w:cs="仿宋_GB2312"/>
          <w:sz w:val="32"/>
          <w:szCs w:val="32"/>
        </w:rPr>
        <w:t>万元、区级资金</w:t>
      </w:r>
      <w:r>
        <w:rPr>
          <w:rFonts w:hint="eastAsia" w:eastAsia="仿宋_GB2312"/>
          <w:sz w:val="32"/>
          <w:szCs w:val="32"/>
        </w:rPr>
        <w:t>107.47</w:t>
      </w:r>
      <w:r>
        <w:rPr>
          <w:rFonts w:hint="eastAsia" w:eastAsia="仿宋_GB2312" w:cs="仿宋_GB2312"/>
          <w:sz w:val="32"/>
          <w:szCs w:val="32"/>
        </w:rPr>
        <w:t>万元。需支出特别扶助（其他）家庭扶助金</w:t>
      </w:r>
      <w:r>
        <w:rPr>
          <w:rFonts w:hint="eastAsia" w:eastAsia="仿宋_GB2312"/>
          <w:sz w:val="32"/>
          <w:szCs w:val="32"/>
        </w:rPr>
        <w:t>81.972</w:t>
      </w:r>
      <w:r>
        <w:rPr>
          <w:rFonts w:hint="eastAsia" w:eastAsia="仿宋_GB2312" w:cs="仿宋_GB2312"/>
          <w:sz w:val="32"/>
          <w:szCs w:val="32"/>
        </w:rPr>
        <w:t>万元，其中中央资金</w:t>
      </w:r>
      <w:r>
        <w:rPr>
          <w:rFonts w:hint="eastAsia" w:eastAsia="仿宋_GB2312"/>
          <w:sz w:val="32"/>
          <w:szCs w:val="32"/>
        </w:rPr>
        <w:t>65.578</w:t>
      </w:r>
      <w:r>
        <w:rPr>
          <w:rFonts w:hint="eastAsia" w:eastAsia="仿宋_GB2312" w:cs="仿宋_GB2312"/>
          <w:sz w:val="32"/>
          <w:szCs w:val="32"/>
        </w:rPr>
        <w:t>万元、省级资金</w:t>
      </w:r>
      <w:r>
        <w:rPr>
          <w:rFonts w:hint="eastAsia" w:eastAsia="仿宋_GB2312"/>
          <w:sz w:val="32"/>
          <w:szCs w:val="32"/>
        </w:rPr>
        <w:t>9.837</w:t>
      </w:r>
      <w:r>
        <w:rPr>
          <w:rFonts w:hint="eastAsia" w:eastAsia="仿宋_GB2312" w:cs="仿宋_GB2312"/>
          <w:sz w:val="32"/>
          <w:szCs w:val="32"/>
        </w:rPr>
        <w:t>万元、市级资金</w:t>
      </w:r>
      <w:r>
        <w:rPr>
          <w:rFonts w:hint="eastAsia" w:eastAsia="仿宋_GB2312"/>
          <w:sz w:val="32"/>
          <w:szCs w:val="32"/>
        </w:rPr>
        <w:t>1.967</w:t>
      </w:r>
      <w:r>
        <w:rPr>
          <w:rFonts w:hint="eastAsia" w:eastAsia="仿宋_GB2312" w:cs="仿宋_GB2312"/>
          <w:sz w:val="32"/>
          <w:szCs w:val="32"/>
        </w:rPr>
        <w:t>万元、区级资金</w:t>
      </w:r>
      <w:r>
        <w:rPr>
          <w:rFonts w:hint="eastAsia" w:eastAsia="仿宋_GB2312"/>
          <w:sz w:val="32"/>
          <w:szCs w:val="32"/>
        </w:rPr>
        <w:t>4.59</w:t>
      </w:r>
      <w:r>
        <w:rPr>
          <w:rFonts w:hint="eastAsia" w:eastAsia="仿宋_GB2312" w:cs="仿宋_GB2312"/>
          <w:sz w:val="32"/>
          <w:szCs w:val="32"/>
        </w:rPr>
        <w:t>万元。</w:t>
      </w:r>
      <w:r>
        <w:rPr>
          <w:rFonts w:hint="eastAsia" w:eastAsia="仿宋_GB2312"/>
          <w:sz w:val="32"/>
          <w:szCs w:val="32"/>
        </w:rPr>
        <w:t>需支付农村部分计划生育家庭奖励扶助制度资金17.184万元，其中中央资金11.6万元、省级资金2.68万元，市级资金2.904万元。需支出特别扶助伤残死亡家庭交通补贴金32.4万元，其中区级资金32.4万元。</w:t>
      </w:r>
      <w:r>
        <w:rPr>
          <w:rFonts w:eastAsia="仿宋_GB2312"/>
          <w:sz w:val="32"/>
          <w:szCs w:val="32"/>
        </w:rPr>
        <w:t>需支出独生子女父母奖励金11.871万元，其中省级资金1.484万元、市级资金2.97万元、区级资金7.42万元。</w:t>
      </w:r>
      <w:r>
        <w:rPr>
          <w:rFonts w:hint="eastAsia" w:eastAsia="仿宋_GB2312" w:cs="仿宋_GB2312"/>
          <w:sz w:val="32"/>
          <w:szCs w:val="32"/>
        </w:rPr>
        <w:t>需支出特别扶助伤残死亡家庭养老保险</w:t>
      </w:r>
      <w:r>
        <w:rPr>
          <w:rFonts w:hint="eastAsia" w:eastAsia="仿宋_GB2312"/>
          <w:sz w:val="32"/>
          <w:szCs w:val="32"/>
        </w:rPr>
        <w:t>0.9</w:t>
      </w:r>
      <w:r>
        <w:rPr>
          <w:rFonts w:hint="eastAsia" w:eastAsia="仿宋_GB2312" w:cs="仿宋_GB2312"/>
          <w:sz w:val="32"/>
          <w:szCs w:val="32"/>
        </w:rPr>
        <w:t>万元，其中市级资金</w:t>
      </w:r>
      <w:r>
        <w:rPr>
          <w:rFonts w:hint="eastAsia" w:eastAsia="仿宋_GB2312"/>
          <w:sz w:val="32"/>
          <w:szCs w:val="32"/>
        </w:rPr>
        <w:t>0.45</w:t>
      </w:r>
      <w:r>
        <w:rPr>
          <w:rFonts w:hint="eastAsia" w:eastAsia="仿宋_GB2312" w:cs="仿宋_GB2312"/>
          <w:sz w:val="32"/>
          <w:szCs w:val="32"/>
        </w:rPr>
        <w:t>万元，区级资金</w:t>
      </w:r>
      <w:r>
        <w:rPr>
          <w:rFonts w:hint="eastAsia" w:eastAsia="仿宋_GB2312"/>
          <w:sz w:val="32"/>
          <w:szCs w:val="32"/>
        </w:rPr>
        <w:t>0.45</w:t>
      </w:r>
      <w:r>
        <w:rPr>
          <w:rFonts w:hint="eastAsia" w:eastAsia="仿宋_GB2312" w:cs="仿宋_GB2312"/>
          <w:sz w:val="32"/>
          <w:szCs w:val="32"/>
        </w:rPr>
        <w:t>万元。中央、省、市、区级资金均按时到位，资金到位率</w:t>
      </w:r>
      <w:r>
        <w:rPr>
          <w:rFonts w:eastAsia="仿宋_GB2312"/>
          <w:sz w:val="32"/>
          <w:szCs w:val="32"/>
        </w:rPr>
        <w:t>100%</w:t>
      </w:r>
      <w:r>
        <w:rPr>
          <w:rFonts w:hint="eastAsia" w:eastAsia="仿宋_GB2312" w:cs="仿宋_GB2312"/>
          <w:sz w:val="32"/>
          <w:szCs w:val="32"/>
        </w:rPr>
        <w:t>，资金兑现率</w:t>
      </w:r>
      <w:r>
        <w:rPr>
          <w:rFonts w:eastAsia="仿宋_GB2312"/>
          <w:sz w:val="32"/>
          <w:szCs w:val="32"/>
        </w:rPr>
        <w:t>100%</w:t>
      </w:r>
      <w:r>
        <w:rPr>
          <w:rFonts w:hint="eastAsia" w:eastAsia="仿宋_GB2312" w:cs="仿宋_GB2312"/>
          <w:sz w:val="32"/>
          <w:szCs w:val="32"/>
        </w:rPr>
        <w:t>。</w:t>
      </w:r>
    </w:p>
    <w:p>
      <w:pPr>
        <w:adjustRightInd w:val="0"/>
        <w:snapToGrid w:val="0"/>
        <w:spacing w:line="580" w:lineRule="exact"/>
        <w:ind w:firstLine="643" w:firstLineChars="200"/>
        <w:rPr>
          <w:rFonts w:eastAsia="楷体_GB2312"/>
          <w:b/>
          <w:bCs/>
          <w:sz w:val="32"/>
          <w:szCs w:val="32"/>
        </w:rPr>
      </w:pPr>
      <w:r>
        <w:rPr>
          <w:rFonts w:hint="eastAsia" w:eastAsia="楷体_GB2312"/>
          <w:b/>
          <w:bCs/>
          <w:sz w:val="32"/>
          <w:szCs w:val="32"/>
        </w:rPr>
        <w:t>（二）项目效益情况</w:t>
      </w:r>
    </w:p>
    <w:p>
      <w:pPr>
        <w:adjustRightInd w:val="0"/>
        <w:snapToGrid w:val="0"/>
        <w:spacing w:line="580" w:lineRule="exact"/>
        <w:ind w:firstLine="800" w:firstLineChars="250"/>
        <w:rPr>
          <w:rFonts w:ascii="仿宋_GB2312" w:eastAsia="仿宋_GB2312" w:cs="仿宋_GB2312"/>
          <w:sz w:val="32"/>
          <w:szCs w:val="32"/>
        </w:rPr>
      </w:pPr>
      <w:r>
        <w:rPr>
          <w:rFonts w:hint="eastAsia" w:ascii="仿宋_GB2312" w:eastAsia="仿宋_GB2312" w:cs="仿宋_GB2312"/>
          <w:sz w:val="32"/>
          <w:szCs w:val="32"/>
        </w:rPr>
        <w:t>实施农村计划生育家庭奖励扶助制度，解决农村独生子女和双女家庭的养老问题，提高家庭发展能力。</w:t>
      </w:r>
      <w:r>
        <w:rPr>
          <w:rFonts w:hint="eastAsia" w:ascii="仿宋_GB2312" w:hAnsi="Calibri" w:eastAsia="仿宋_GB2312" w:cs="仿宋_GB2312"/>
          <w:sz w:val="32"/>
          <w:szCs w:val="32"/>
        </w:rPr>
        <w:t>通过计划生育特别扶助专项资金项目的实施，以利益补偿方式对独生子女伤残死亡家庭、计划生育手术并发症人员等人群进行奖励扶持，有效地促进了基层计划生育工作的开展，提高了计划生育家庭对国家计生政策的满意度，融洽了干群关系，有力地促进了贯彻国家计划生育政策的执行。通过对计划生育特殊家庭发放交通补贴项目的实施，以利益补偿方式对纳入计划生育特别扶助制度的人群进行帮扶，解决了计划生育特殊家庭成员出行困难，有效地促进了基层计划生育工作的开展，提高了计划生育家庭对国家计生政策的满意度，融洽了干群关系，有力地促进了贯彻国家计划生育政策的执行。</w:t>
      </w:r>
      <w:r>
        <w:rPr>
          <w:rFonts w:hint="eastAsia" w:ascii="仿宋_GB2312" w:eastAsia="仿宋_GB2312" w:cs="仿宋_GB2312"/>
          <w:sz w:val="32"/>
          <w:szCs w:val="32"/>
        </w:rPr>
        <w:t>实施西部地区“少生快富”工程，改善计划生育家庭生产、生活状况，引导和帮助计划生育家庭发展生产，促进西部地区进一步降低生育水平。</w:t>
      </w:r>
      <w:r>
        <w:rPr>
          <w:rFonts w:hint="eastAsia" w:ascii="仿宋_GB2312" w:hAnsi="Calibri" w:eastAsia="仿宋_GB2312" w:cs="仿宋_GB2312"/>
          <w:sz w:val="32"/>
          <w:szCs w:val="32"/>
        </w:rPr>
        <w:t>通过发放独生子女父母奖励金项目的实施，以奖励的形式，对实行了计划生育的人群进行奖励，有效地促进了基层计划生育工作的开展，提高了计划生育家庭对国家计生政策的满意度，融洽了干群关系，有力地促进了贯彻国家计划生育政策的执行。</w:t>
      </w:r>
    </w:p>
    <w:p>
      <w:pPr>
        <w:numPr>
          <w:ilvl w:val="0"/>
          <w:numId w:val="10"/>
        </w:numPr>
        <w:adjustRightInd w:val="0"/>
        <w:snapToGrid w:val="0"/>
        <w:spacing w:line="580" w:lineRule="exact"/>
        <w:ind w:firstLine="640" w:firstLineChars="200"/>
        <w:rPr>
          <w:rFonts w:eastAsia="黑体"/>
          <w:sz w:val="32"/>
          <w:szCs w:val="32"/>
        </w:rPr>
      </w:pPr>
      <w:r>
        <w:rPr>
          <w:rFonts w:hint="eastAsia" w:eastAsia="黑体"/>
          <w:sz w:val="32"/>
          <w:szCs w:val="32"/>
        </w:rPr>
        <w:t>评价结论及建议</w:t>
      </w:r>
    </w:p>
    <w:p>
      <w:pPr>
        <w:adjustRightInd w:val="0"/>
        <w:snapToGrid w:val="0"/>
        <w:spacing w:line="580" w:lineRule="exact"/>
        <w:ind w:firstLine="800" w:firstLineChars="250"/>
        <w:rPr>
          <w:rFonts w:ascii="仿宋_GB2312" w:eastAsia="仿宋_GB2312" w:cs="仿宋_GB2312"/>
          <w:sz w:val="32"/>
          <w:szCs w:val="32"/>
        </w:rPr>
      </w:pPr>
      <w:r>
        <w:rPr>
          <w:rFonts w:hint="eastAsia" w:ascii="仿宋_GB2312" w:eastAsia="仿宋_GB2312" w:cs="仿宋_GB2312"/>
          <w:sz w:val="32"/>
          <w:szCs w:val="32"/>
        </w:rPr>
        <w:t>实施农村计划生育家庭奖励扶助制度，解决农村独生子女和双女家庭的养老问题，提高家庭发展能力。</w:t>
      </w:r>
      <w:r>
        <w:rPr>
          <w:rFonts w:hint="eastAsia" w:ascii="仿宋_GB2312" w:hAnsi="Calibri" w:eastAsia="仿宋_GB2312" w:cs="仿宋_GB2312"/>
          <w:sz w:val="32"/>
          <w:szCs w:val="32"/>
        </w:rPr>
        <w:t>通过计划生育特别扶助专项资金项目的实施，以利益补偿方式对独生子女伤残死亡家庭、计划生育手术并发症人员等人群进行奖励扶持，有效地促进了基层计划生育工作的开展，提高了计划生育家庭对国家计生政策的满意度，融洽了干群关系，有力地促进了贯彻国家计划生育政策的执行。通过对计划生育特殊家庭发放交通补贴项目的实施，以利益补偿方式对纳入计划生育特别扶助制度的人群进行帮扶，解决了计划生育特殊家庭成员出行困难，有效地促进了基层计划生育工作的开展，提高了计划生育家庭对国家计生政策的满意度，融洽了干群关系，有力地促进了贯彻国家计划生育政策的执行。</w:t>
      </w:r>
      <w:r>
        <w:rPr>
          <w:rFonts w:hint="eastAsia" w:ascii="仿宋_GB2312" w:eastAsia="仿宋_GB2312" w:cs="仿宋_GB2312"/>
          <w:sz w:val="32"/>
          <w:szCs w:val="32"/>
        </w:rPr>
        <w:t>实施西部地区“少生快富”工程，改善计划生育家庭生产、生活状况，引导和帮助计划生育家庭发展生产，促进西部地区进一步降低生育水平。</w:t>
      </w:r>
      <w:r>
        <w:rPr>
          <w:rFonts w:hint="eastAsia" w:ascii="仿宋_GB2312" w:hAnsi="Calibri" w:eastAsia="仿宋_GB2312" w:cs="仿宋_GB2312"/>
          <w:sz w:val="32"/>
          <w:szCs w:val="32"/>
        </w:rPr>
        <w:t>通过发放独生子女父母奖励金项目的实施，以奖励的形式，对实行了计划生育的人群进行奖励，有效地促进了基层计划生育工作的开展，提高了计划生育家庭对国家计生政策的满意度，融洽了干群关系，有力地促进了贯彻国家计划生育政策的执行。</w:t>
      </w:r>
    </w:p>
    <w:p>
      <w:pPr>
        <w:spacing w:line="572" w:lineRule="exact"/>
        <w:jc w:val="left"/>
        <w:outlineLvl w:val="0"/>
        <w:rPr>
          <w:rFonts w:ascii="仿宋_GB2312" w:hAnsi="仿宋_GB2312" w:eastAsia="仿宋_GB2312" w:cs="仿宋_GB2312"/>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2"/>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ascii="方正小标宋简体" w:hAnsi="宋体" w:eastAsia="方正小标宋简体"/>
          <w:sz w:val="44"/>
          <w:szCs w:val="44"/>
          <w:lang w:val="en-US"/>
        </w:rPr>
        <w:t>2</w:t>
      </w:r>
      <w:r>
        <w:rPr>
          <w:rFonts w:hint="eastAsia" w:ascii="方正小标宋简体" w:hAnsi="宋体" w:eastAsia="方正小标宋简体"/>
          <w:sz w:val="44"/>
          <w:szCs w:val="44"/>
          <w:lang w:val="en-US"/>
        </w:rPr>
        <w:t>年国家基本公共卫生服务</w:t>
      </w:r>
      <w:r>
        <w:rPr>
          <w:rFonts w:hint="eastAsia" w:ascii="方正小标宋简体" w:hAnsi="宋体" w:eastAsia="方正小标宋简体"/>
          <w:sz w:val="44"/>
          <w:szCs w:val="44"/>
        </w:rPr>
        <w:t>预算项目</w:t>
      </w:r>
    </w:p>
    <w:p>
      <w:pPr>
        <w:pStyle w:val="32"/>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支出绩效自评报告</w:t>
      </w:r>
    </w:p>
    <w:p>
      <w:pPr>
        <w:adjustRightInd w:val="0"/>
        <w:snapToGrid w:val="0"/>
        <w:spacing w:line="353" w:lineRule="auto"/>
        <w:ind w:firstLine="420" w:firstLineChars="200"/>
        <w:rPr>
          <w:rFonts w:ascii="黑体" w:hAnsi="宋体" w:eastAsia="黑体"/>
        </w:rPr>
      </w:pPr>
    </w:p>
    <w:p>
      <w:pPr>
        <w:adjustRightInd w:val="0"/>
        <w:snapToGrid w:val="0"/>
        <w:spacing w:line="353" w:lineRule="auto"/>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353" w:lineRule="auto"/>
        <w:ind w:firstLine="640" w:firstLineChars="200"/>
        <w:rPr>
          <w:rFonts w:ascii="仿宋_GB2312" w:hAnsi="宋体" w:eastAsia="仿宋_GB2312"/>
          <w:sz w:val="32"/>
          <w:szCs w:val="32"/>
          <w:lang w:val="zh-CN"/>
        </w:rPr>
      </w:pPr>
      <w:r>
        <w:rPr>
          <w:rFonts w:hint="eastAsia" w:ascii="仿宋_GB2312" w:eastAsia="仿宋_GB2312"/>
          <w:sz w:val="32"/>
          <w:szCs w:val="32"/>
        </w:rPr>
        <w:t>2022共收到基本公共卫生服务项目资金1012.71万元，其中：中央资金782.07万元、省级资金67.08万元、市级资金74.82万元、区级资金88.74万元。</w:t>
      </w:r>
      <w:r>
        <w:rPr>
          <w:rFonts w:hint="eastAsia" w:ascii="仿宋_GB2312" w:hAnsi="宋体" w:eastAsia="仿宋_GB2312"/>
          <w:sz w:val="32"/>
          <w:szCs w:val="32"/>
          <w:lang w:val="zh-CN"/>
        </w:rPr>
        <w:t>符合资金管理办法等相关规定。</w:t>
      </w:r>
    </w:p>
    <w:p>
      <w:pPr>
        <w:numPr>
          <w:ilvl w:val="0"/>
          <w:numId w:val="11"/>
        </w:numPr>
        <w:adjustRightInd w:val="0"/>
        <w:snapToGrid w:val="0"/>
        <w:spacing w:line="353" w:lineRule="auto"/>
        <w:ind w:firstLine="643" w:firstLineChars="200"/>
        <w:rPr>
          <w:rFonts w:ascii="仿宋_GB2312" w:hAnsi="仿宋_GB2312" w:cs="仿宋_GB2312"/>
          <w:sz w:val="32"/>
          <w:szCs w:val="32"/>
        </w:rPr>
      </w:pPr>
      <w:r>
        <w:rPr>
          <w:rFonts w:hint="eastAsia" w:ascii="楷体_GB2312" w:hAnsi="宋体" w:eastAsia="楷体_GB2312"/>
          <w:b/>
          <w:sz w:val="32"/>
          <w:szCs w:val="32"/>
          <w:lang w:val="zh-CN"/>
        </w:rPr>
        <w:t>项目绩效目标</w:t>
      </w:r>
    </w:p>
    <w:p>
      <w:pPr>
        <w:snapToGrid w:val="0"/>
        <w:spacing w:line="353"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t>2022年国家基本公共卫生服务项目工作均有序开展，，坚持“数量质量并重、服务质量优先”，圆满完成各项目目标任务。</w:t>
      </w:r>
    </w:p>
    <w:p>
      <w:pPr>
        <w:numPr>
          <w:ilvl w:val="0"/>
          <w:numId w:val="11"/>
        </w:numPr>
        <w:adjustRightInd w:val="0"/>
        <w:snapToGrid w:val="0"/>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项目资金申报相符性</w:t>
      </w:r>
    </w:p>
    <w:p>
      <w:pPr>
        <w:adjustRightInd w:val="0"/>
        <w:snapToGrid w:val="0"/>
        <w:spacing w:line="353" w:lineRule="auto"/>
        <w:ind w:firstLine="640" w:firstLineChars="200"/>
        <w:rPr>
          <w:rFonts w:ascii="仿宋_GB2312" w:hAnsi="宋体" w:eastAsia="仿宋_GB2312"/>
          <w:sz w:val="32"/>
          <w:szCs w:val="32"/>
          <w:lang w:val="zh-CN"/>
        </w:rPr>
      </w:pPr>
      <w:r>
        <w:rPr>
          <w:rFonts w:hint="eastAsia" w:ascii="仿宋_GB2312" w:eastAsia="仿宋_GB2312"/>
          <w:sz w:val="32"/>
          <w:szCs w:val="32"/>
        </w:rPr>
        <w:t>国家基本公共卫生服务补助资金</w:t>
      </w:r>
      <w:r>
        <w:rPr>
          <w:rFonts w:hint="eastAsia" w:ascii="仿宋_GB2312" w:hAnsi="宋体" w:eastAsia="仿宋_GB2312"/>
          <w:sz w:val="32"/>
          <w:szCs w:val="32"/>
          <w:lang w:val="zh-CN"/>
        </w:rPr>
        <w:t>项目申报内容与具体实施内容相符，申报目标合理可行。</w:t>
      </w:r>
    </w:p>
    <w:p>
      <w:pPr>
        <w:adjustRightInd w:val="0"/>
        <w:snapToGrid w:val="0"/>
        <w:spacing w:line="353" w:lineRule="auto"/>
        <w:ind w:firstLine="640" w:firstLineChars="20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353" w:lineRule="auto"/>
        <w:ind w:firstLine="640" w:firstLineChars="200"/>
        <w:rPr>
          <w:rFonts w:ascii="楷体_GB2312" w:hAnsi="宋体" w:eastAsia="楷体_GB2312"/>
          <w:b/>
          <w:sz w:val="32"/>
          <w:szCs w:val="32"/>
          <w:lang w:val="zh-CN"/>
        </w:rPr>
      </w:pPr>
      <w:r>
        <w:rPr>
          <w:rFonts w:hint="eastAsia" w:ascii="仿宋_GB2312" w:hAnsi="宋体"/>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353" w:lineRule="auto"/>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zh-CN"/>
        </w:rPr>
        <w:t>1.资金计划及到位。</w:t>
      </w:r>
      <w:r>
        <w:rPr>
          <w:rFonts w:hint="eastAsia" w:ascii="仿宋_GB2312" w:hAnsi="仿宋_GB2312" w:eastAsia="仿宋_GB2312" w:cs="仿宋_GB2312"/>
          <w:sz w:val="32"/>
          <w:szCs w:val="32"/>
        </w:rPr>
        <w:t>已到位资金1012.71万元，其中中央资金782.07万元，省级67.08万元，市级74.82万元，区级88.74万元。</w:t>
      </w:r>
    </w:p>
    <w:p>
      <w:pPr>
        <w:adjustRightInd w:val="0"/>
        <w:snapToGrid w:val="0"/>
        <w:spacing w:line="353" w:lineRule="auto"/>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zh-CN"/>
        </w:rPr>
        <w:t>2．资金使用。</w:t>
      </w:r>
      <w:r>
        <w:rPr>
          <w:rFonts w:hint="eastAsia" w:ascii="仿宋_GB2312" w:hAnsi="仿宋_GB2312" w:eastAsia="仿宋_GB2312" w:cs="仿宋_GB2312"/>
          <w:sz w:val="32"/>
          <w:szCs w:val="32"/>
          <w:lang w:val="zh-CN"/>
        </w:rPr>
        <w:t>2022年项目资金的实际支出</w:t>
      </w:r>
      <w:r>
        <w:rPr>
          <w:rFonts w:hint="eastAsia" w:ascii="仿宋_GB2312" w:hAnsi="仿宋_GB2312" w:eastAsia="仿宋_GB2312" w:cs="仿宋_GB2312"/>
          <w:sz w:val="32"/>
          <w:szCs w:val="32"/>
        </w:rPr>
        <w:t>998.79万元</w:t>
      </w:r>
      <w:r>
        <w:rPr>
          <w:rFonts w:hint="eastAsia" w:ascii="仿宋_GB2312" w:hAnsi="仿宋_GB2312" w:eastAsia="仿宋_GB2312" w:cs="仿宋_GB2312"/>
          <w:sz w:val="32"/>
          <w:szCs w:val="32"/>
          <w:lang w:val="zh-CN"/>
        </w:rPr>
        <w:t>，支付进度</w:t>
      </w:r>
      <w:r>
        <w:rPr>
          <w:rFonts w:hint="eastAsia" w:ascii="仿宋_GB2312" w:hAnsi="仿宋_GB2312" w:eastAsia="仿宋_GB2312" w:cs="仿宋_GB2312"/>
          <w:sz w:val="32"/>
          <w:szCs w:val="32"/>
        </w:rPr>
        <w:t>98.63%</w:t>
      </w:r>
      <w:r>
        <w:rPr>
          <w:rFonts w:hint="eastAsia" w:ascii="仿宋_GB2312" w:hAnsi="仿宋_GB2312" w:eastAsia="仿宋_GB2312" w:cs="仿宋_GB2312"/>
          <w:sz w:val="32"/>
          <w:szCs w:val="32"/>
          <w:lang w:val="zh-CN"/>
        </w:rPr>
        <w:t>，主要原因是，区级预算资金88.74万元，根据2022年上级文件要求，区级资金只需拨付74.82万元。支付依据合规合法，资金支付与预算相符。</w:t>
      </w:r>
    </w:p>
    <w:p>
      <w:pPr>
        <w:adjustRightInd w:val="0"/>
        <w:snapToGrid w:val="0"/>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353"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加强项目财务管理制度建设、会计核算及账务处理，按照项目资金管理办法，严格执行财务管理制度，财务处理及时，会计核算规范。</w:t>
      </w:r>
    </w:p>
    <w:p>
      <w:pPr>
        <w:adjustRightInd w:val="0"/>
        <w:snapToGrid w:val="0"/>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楷体_GB2312" w:hAnsi="宋体" w:eastAsia="楷体_GB2312"/>
          <w:b/>
          <w:sz w:val="32"/>
          <w:szCs w:val="32"/>
        </w:rPr>
        <w:t>三</w:t>
      </w:r>
      <w:r>
        <w:rPr>
          <w:rFonts w:hint="eastAsia" w:ascii="楷体_GB2312" w:hAnsi="宋体" w:eastAsia="楷体_GB2312"/>
          <w:b/>
          <w:sz w:val="32"/>
          <w:szCs w:val="32"/>
          <w:lang w:val="zh-CN"/>
        </w:rPr>
        <w:t>）项目组织实施情况</w:t>
      </w:r>
    </w:p>
    <w:p>
      <w:pPr>
        <w:adjustRightInd w:val="0"/>
        <w:snapToGrid w:val="0"/>
        <w:spacing w:line="353"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rPr>
        <w:t>2022年</w:t>
      </w:r>
      <w:r>
        <w:rPr>
          <w:rFonts w:hint="eastAsia" w:ascii="仿宋_GB2312" w:hAnsi="宋体" w:eastAsia="仿宋_GB2312"/>
          <w:sz w:val="32"/>
          <w:szCs w:val="32"/>
          <w:lang w:val="zh-CN"/>
        </w:rPr>
        <w:t>，西区常住人口数1</w:t>
      </w:r>
      <w:r>
        <w:rPr>
          <w:rFonts w:hint="eastAsia" w:ascii="仿宋_GB2312" w:hAnsi="宋体" w:eastAsia="仿宋_GB2312"/>
          <w:sz w:val="32"/>
          <w:szCs w:val="32"/>
        </w:rPr>
        <w:t>2.93</w:t>
      </w:r>
      <w:r>
        <w:rPr>
          <w:rFonts w:hint="eastAsia" w:ascii="仿宋_GB2312" w:hAnsi="宋体" w:eastAsia="仿宋_GB2312"/>
          <w:sz w:val="32"/>
          <w:szCs w:val="32"/>
          <w:lang w:val="zh-CN"/>
        </w:rPr>
        <w:t>万人，基层医疗卫生机构累计为</w:t>
      </w:r>
      <w:r>
        <w:rPr>
          <w:rFonts w:hint="eastAsia" w:ascii="仿宋_GB2312" w:hAnsi="宋体" w:eastAsia="仿宋_GB2312"/>
          <w:sz w:val="32"/>
          <w:szCs w:val="32"/>
        </w:rPr>
        <w:t>12.83</w:t>
      </w:r>
      <w:r>
        <w:rPr>
          <w:rFonts w:hint="eastAsia" w:ascii="仿宋_GB2312" w:hAnsi="宋体" w:eastAsia="仿宋_GB2312"/>
          <w:sz w:val="32"/>
          <w:szCs w:val="32"/>
          <w:lang w:val="zh-CN"/>
        </w:rPr>
        <w:t>万人提供了基本公共卫生服务。实际到位国家基本公共卫生服务项目资金总额</w:t>
      </w:r>
      <w:r>
        <w:rPr>
          <w:rFonts w:hint="eastAsia" w:ascii="仿宋_GB2312" w:hAnsi="宋体" w:eastAsia="仿宋_GB2312"/>
          <w:sz w:val="32"/>
          <w:szCs w:val="32"/>
        </w:rPr>
        <w:t>993.79</w:t>
      </w:r>
      <w:r>
        <w:rPr>
          <w:rFonts w:hint="eastAsia" w:ascii="仿宋_GB2312" w:hAnsi="宋体" w:eastAsia="仿宋_GB2312"/>
          <w:sz w:val="32"/>
          <w:szCs w:val="32"/>
          <w:lang w:val="zh-CN"/>
        </w:rPr>
        <w:t>万元，人均经费达到</w:t>
      </w:r>
      <w:r>
        <w:rPr>
          <w:rFonts w:hint="eastAsia" w:ascii="仿宋_GB2312" w:hAnsi="宋体" w:eastAsia="仿宋_GB2312"/>
          <w:sz w:val="32"/>
          <w:szCs w:val="32"/>
        </w:rPr>
        <w:t>76.86</w:t>
      </w:r>
      <w:r>
        <w:rPr>
          <w:rFonts w:hint="eastAsia" w:ascii="仿宋_GB2312" w:hAnsi="宋体" w:eastAsia="仿宋_GB2312"/>
          <w:sz w:val="32"/>
          <w:szCs w:val="32"/>
          <w:lang w:val="zh-CN"/>
        </w:rPr>
        <w:t>元；实际到位平移基本公共卫生服务项目5万元，主要用于格里坪镇尘肺站尘肺病人康复运行。格里坪镇卫生院拨付村卫生室</w:t>
      </w:r>
      <w:r>
        <w:rPr>
          <w:rFonts w:hint="eastAsia" w:ascii="仿宋_GB2312" w:hAnsi="宋体" w:eastAsia="仿宋_GB2312"/>
          <w:sz w:val="32"/>
          <w:szCs w:val="32"/>
        </w:rPr>
        <w:t>7.15</w:t>
      </w:r>
      <w:r>
        <w:rPr>
          <w:rFonts w:hint="eastAsia" w:ascii="仿宋_GB2312" w:hAnsi="宋体" w:eastAsia="仿宋_GB2312"/>
          <w:sz w:val="32"/>
          <w:szCs w:val="32"/>
          <w:lang w:val="zh-CN"/>
        </w:rPr>
        <w:t>万</w:t>
      </w:r>
      <w:r>
        <w:rPr>
          <w:rFonts w:hint="eastAsia" w:ascii="仿宋_GB2312" w:hAnsi="宋体" w:eastAsia="仿宋_GB2312"/>
          <w:sz w:val="32"/>
          <w:szCs w:val="32"/>
        </w:rPr>
        <w:t>元</w:t>
      </w:r>
      <w:r>
        <w:rPr>
          <w:rFonts w:hint="eastAsia" w:ascii="仿宋_GB2312" w:hAnsi="宋体" w:eastAsia="仿宋_GB2312"/>
          <w:sz w:val="32"/>
          <w:szCs w:val="32"/>
          <w:lang w:val="zh-CN"/>
        </w:rPr>
        <w:t>，村级金额占乡村两级总经费的比例达到44.</w:t>
      </w:r>
      <w:r>
        <w:rPr>
          <w:rFonts w:hint="eastAsia" w:ascii="仿宋_GB2312" w:hAnsi="宋体" w:eastAsia="仿宋_GB2312"/>
          <w:sz w:val="32"/>
          <w:szCs w:val="32"/>
        </w:rPr>
        <w:t>47</w:t>
      </w:r>
      <w:r>
        <w:rPr>
          <w:rFonts w:hint="eastAsia" w:ascii="仿宋_GB2312" w:hAnsi="宋体" w:eastAsia="仿宋_GB2312"/>
          <w:sz w:val="32"/>
          <w:szCs w:val="32"/>
          <w:lang w:val="zh-CN"/>
        </w:rPr>
        <w:t>%。</w:t>
      </w:r>
    </w:p>
    <w:p>
      <w:pPr>
        <w:adjustRightInd w:val="0"/>
        <w:snapToGrid w:val="0"/>
        <w:spacing w:line="353" w:lineRule="auto"/>
        <w:ind w:firstLine="640" w:firstLineChars="200"/>
        <w:rPr>
          <w:rFonts w:ascii="仿宋_GB2312" w:hAnsi="宋体"/>
          <w:sz w:val="32"/>
          <w:szCs w:val="32"/>
          <w:lang w:val="zh-CN"/>
        </w:rPr>
      </w:pPr>
      <w:r>
        <w:rPr>
          <w:rFonts w:hint="eastAsia" w:ascii="黑体" w:hAnsi="宋体" w:eastAsia="黑体"/>
          <w:sz w:val="32"/>
          <w:szCs w:val="32"/>
        </w:rPr>
        <w:t>三、项目绩效情况</w:t>
      </w:r>
      <w:r>
        <w:rPr>
          <w:rFonts w:hint="eastAsia" w:ascii="仿宋_GB2312" w:hAnsi="宋体"/>
          <w:sz w:val="32"/>
          <w:szCs w:val="32"/>
          <w:lang w:val="zh-CN"/>
        </w:rPr>
        <w:tab/>
      </w:r>
    </w:p>
    <w:p>
      <w:pPr>
        <w:adjustRightInd w:val="0"/>
        <w:snapToGrid w:val="0"/>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353"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建立电子健康档案</w:t>
      </w:r>
      <w:r>
        <w:rPr>
          <w:rFonts w:hint="eastAsia" w:ascii="仿宋_GB2312" w:hAnsi="宋体" w:eastAsia="仿宋_GB2312"/>
          <w:sz w:val="32"/>
          <w:szCs w:val="32"/>
        </w:rPr>
        <w:t>122118</w:t>
      </w:r>
      <w:r>
        <w:rPr>
          <w:rFonts w:hint="eastAsia" w:ascii="仿宋_GB2312" w:hAnsi="宋体" w:eastAsia="仿宋_GB2312"/>
          <w:sz w:val="32"/>
          <w:szCs w:val="32"/>
          <w:lang w:val="zh-CN"/>
        </w:rPr>
        <w:t>份，电子建档率</w:t>
      </w:r>
      <w:r>
        <w:rPr>
          <w:rFonts w:hint="eastAsia" w:ascii="仿宋_GB2312" w:hAnsi="宋体" w:eastAsia="仿宋_GB2312"/>
          <w:sz w:val="32"/>
          <w:szCs w:val="32"/>
        </w:rPr>
        <w:t>94.45</w:t>
      </w:r>
      <w:r>
        <w:rPr>
          <w:rFonts w:hint="eastAsia" w:ascii="仿宋_GB2312" w:hAnsi="宋体" w:eastAsia="仿宋_GB2312"/>
          <w:sz w:val="32"/>
          <w:szCs w:val="32"/>
          <w:lang w:val="zh-CN"/>
        </w:rPr>
        <w:t>%、动态使用率</w:t>
      </w:r>
      <w:r>
        <w:rPr>
          <w:rFonts w:hint="eastAsia" w:ascii="仿宋_GB2312" w:hAnsi="宋体" w:eastAsia="仿宋_GB2312"/>
          <w:sz w:val="32"/>
          <w:szCs w:val="32"/>
        </w:rPr>
        <w:t>60.45</w:t>
      </w:r>
      <w:r>
        <w:rPr>
          <w:rFonts w:hint="eastAsia" w:ascii="仿宋_GB2312" w:hAnsi="宋体" w:eastAsia="仿宋_GB2312"/>
          <w:sz w:val="32"/>
          <w:szCs w:val="32"/>
          <w:lang w:val="zh-CN"/>
        </w:rPr>
        <w:t>%，0-6岁儿童健康管理率为</w:t>
      </w:r>
      <w:r>
        <w:rPr>
          <w:rFonts w:hint="eastAsia" w:ascii="仿宋_GB2312" w:hAnsi="宋体" w:eastAsia="仿宋_GB2312"/>
          <w:sz w:val="32"/>
          <w:szCs w:val="32"/>
        </w:rPr>
        <w:t>95.71</w:t>
      </w:r>
      <w:r>
        <w:rPr>
          <w:rFonts w:hint="eastAsia" w:ascii="仿宋_GB2312" w:hAnsi="宋体" w:eastAsia="仿宋_GB2312"/>
          <w:sz w:val="32"/>
          <w:szCs w:val="32"/>
          <w:lang w:val="zh-CN"/>
        </w:rPr>
        <w:t>%，早孕建册率为</w:t>
      </w:r>
      <w:r>
        <w:rPr>
          <w:rFonts w:hint="eastAsia" w:ascii="仿宋_GB2312" w:hAnsi="宋体" w:eastAsia="仿宋_GB2312"/>
          <w:sz w:val="32"/>
          <w:szCs w:val="32"/>
        </w:rPr>
        <w:t>94.38</w:t>
      </w:r>
      <w:r>
        <w:rPr>
          <w:rFonts w:hint="eastAsia" w:ascii="仿宋_GB2312" w:hAnsi="宋体" w:eastAsia="仿宋_GB2312"/>
          <w:sz w:val="32"/>
          <w:szCs w:val="32"/>
          <w:lang w:val="zh-CN"/>
        </w:rPr>
        <w:t>%，65岁及以上老年人健康管理率</w:t>
      </w:r>
      <w:r>
        <w:rPr>
          <w:rFonts w:hint="eastAsia" w:ascii="仿宋_GB2312" w:hAnsi="宋体" w:eastAsia="仿宋_GB2312"/>
          <w:sz w:val="32"/>
          <w:szCs w:val="32"/>
        </w:rPr>
        <w:t>40.85</w:t>
      </w:r>
      <w:r>
        <w:rPr>
          <w:rFonts w:hint="eastAsia" w:ascii="仿宋_GB2312" w:hAnsi="宋体" w:eastAsia="仿宋_GB2312"/>
          <w:sz w:val="32"/>
          <w:szCs w:val="32"/>
          <w:lang w:val="zh-CN"/>
        </w:rPr>
        <w:t>%，高血压患者规范管理率为6</w:t>
      </w:r>
      <w:r>
        <w:rPr>
          <w:rFonts w:hint="eastAsia" w:ascii="仿宋_GB2312" w:hAnsi="宋体" w:eastAsia="仿宋_GB2312"/>
          <w:sz w:val="32"/>
          <w:szCs w:val="32"/>
        </w:rPr>
        <w:t>3.31</w:t>
      </w:r>
      <w:r>
        <w:rPr>
          <w:rFonts w:hint="eastAsia" w:ascii="仿宋_GB2312" w:hAnsi="宋体" w:eastAsia="仿宋_GB2312"/>
          <w:sz w:val="32"/>
          <w:szCs w:val="32"/>
          <w:lang w:val="zh-CN"/>
        </w:rPr>
        <w:t>%，2型糖尿病患者规范管理率为</w:t>
      </w:r>
      <w:r>
        <w:rPr>
          <w:rFonts w:hint="eastAsia" w:ascii="仿宋_GB2312" w:hAnsi="宋体" w:eastAsia="仿宋_GB2312"/>
          <w:sz w:val="32"/>
          <w:szCs w:val="32"/>
        </w:rPr>
        <w:t>63.57</w:t>
      </w:r>
      <w:r>
        <w:rPr>
          <w:rFonts w:hint="eastAsia" w:ascii="仿宋_GB2312" w:hAnsi="宋体" w:eastAsia="仿宋_GB2312"/>
          <w:sz w:val="32"/>
          <w:szCs w:val="32"/>
          <w:lang w:val="zh-CN"/>
        </w:rPr>
        <w:t>%，</w:t>
      </w:r>
      <w:r>
        <w:rPr>
          <w:rFonts w:hint="eastAsia" w:ascii="仿宋_GB2312" w:hAnsi="宋体" w:eastAsia="仿宋_GB2312"/>
          <w:sz w:val="32"/>
          <w:szCs w:val="32"/>
        </w:rPr>
        <w:t>社区在册居家</w:t>
      </w:r>
      <w:r>
        <w:rPr>
          <w:rFonts w:hint="eastAsia" w:ascii="仿宋_GB2312" w:hAnsi="宋体" w:eastAsia="仿宋_GB2312"/>
          <w:sz w:val="32"/>
          <w:szCs w:val="32"/>
          <w:lang w:val="zh-CN"/>
        </w:rPr>
        <w:t>严重精神障碍患者</w:t>
      </w:r>
      <w:r>
        <w:rPr>
          <w:rFonts w:hint="eastAsia" w:ascii="仿宋_GB2312" w:hAnsi="宋体" w:eastAsia="仿宋_GB2312"/>
          <w:sz w:val="32"/>
          <w:szCs w:val="32"/>
        </w:rPr>
        <w:t>健康</w:t>
      </w:r>
      <w:r>
        <w:rPr>
          <w:rFonts w:hint="eastAsia" w:ascii="仿宋_GB2312" w:hAnsi="宋体" w:eastAsia="仿宋_GB2312"/>
          <w:sz w:val="32"/>
          <w:szCs w:val="32"/>
          <w:lang w:val="zh-CN"/>
        </w:rPr>
        <w:t>管理率</w:t>
      </w:r>
      <w:r>
        <w:rPr>
          <w:rFonts w:hint="eastAsia" w:ascii="仿宋_GB2312" w:hAnsi="宋体" w:eastAsia="仿宋_GB2312"/>
          <w:sz w:val="32"/>
          <w:szCs w:val="32"/>
        </w:rPr>
        <w:t>92.34</w:t>
      </w:r>
      <w:r>
        <w:rPr>
          <w:rFonts w:hint="eastAsia" w:ascii="仿宋_GB2312" w:hAnsi="宋体" w:eastAsia="仿宋_GB2312"/>
          <w:sz w:val="32"/>
          <w:szCs w:val="32"/>
          <w:lang w:val="zh-CN"/>
        </w:rPr>
        <w:t>%。重点人群签约服务覆盖率72.</w:t>
      </w:r>
      <w:r>
        <w:rPr>
          <w:rFonts w:hint="eastAsia" w:ascii="仿宋_GB2312" w:hAnsi="宋体" w:eastAsia="仿宋_GB2312"/>
          <w:sz w:val="32"/>
          <w:szCs w:val="32"/>
        </w:rPr>
        <w:t>42</w:t>
      </w:r>
      <w:r>
        <w:rPr>
          <w:rFonts w:hint="eastAsia" w:ascii="仿宋_GB2312" w:hAnsi="宋体" w:eastAsia="仿宋_GB2312"/>
          <w:sz w:val="32"/>
          <w:szCs w:val="32"/>
          <w:lang w:val="zh-CN"/>
        </w:rPr>
        <w:t>%，一般人群签约服务覆盖率</w:t>
      </w:r>
      <w:r>
        <w:rPr>
          <w:rFonts w:hint="eastAsia" w:ascii="仿宋_GB2312" w:hAnsi="宋体" w:eastAsia="仿宋_GB2312"/>
          <w:sz w:val="32"/>
          <w:szCs w:val="32"/>
        </w:rPr>
        <w:t>25.64</w:t>
      </w:r>
      <w:r>
        <w:rPr>
          <w:rFonts w:hint="eastAsia" w:ascii="仿宋_GB2312" w:hAnsi="宋体" w:eastAsia="仿宋_GB2312"/>
          <w:sz w:val="32"/>
          <w:szCs w:val="32"/>
          <w:lang w:val="zh-CN"/>
        </w:rPr>
        <w:t>%。在老年人、慢病患者、0-6岁儿童、孕产妇等重点人群中开展的基本公共卫生服务满意度测评，电话访谈满意度达100%。</w:t>
      </w:r>
    </w:p>
    <w:p>
      <w:pPr>
        <w:adjustRightInd w:val="0"/>
        <w:snapToGrid w:val="0"/>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国家基本公共卫生服务项目稳步推进。国家扩大免疫规划疫苗全年接种率90%以上，通过对辖区居民健康问题进行干预，减少主要健康危险因素，预防和控制传染病及慢性病的蔓延，传染病发病率控制在较低水平。老年人、慢性病患者、儿童、孕产妇、严重精神障碍患者、家庭医生签约服务的重点人群，得到了基本公共卫生服务免费体检与随访服务，居民逐步享有均等化的基本公共卫生服务。辖区居民对健康知识及健康行为的获得感大大增强，同时对基本公共卫生服务项目知晓率、满意度均达90%以上。</w:t>
      </w:r>
    </w:p>
    <w:p>
      <w:pPr>
        <w:adjustRightInd w:val="0"/>
        <w:snapToGrid w:val="0"/>
        <w:spacing w:line="353" w:lineRule="auto"/>
        <w:ind w:firstLine="640" w:firstLineChars="20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部分项目的规范性不够，导致个别项目未完成任务指标。在档案建立、儿、妇保管理、慢性病随访等方面，个别信息缺乏真实性、逻辑性，档案存在漏项、缺项、涂改、填写不规范现象；普通人群健康档案使用率较低，存在死档现象。</w:t>
      </w:r>
    </w:p>
    <w:p>
      <w:pPr>
        <w:adjustRightInd w:val="0"/>
        <w:snapToGrid w:val="0"/>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2.未能与跨区域数据互联互通，信息系统支撑能力不足，各系统之间互联互通不到位，统计查询功能不完善，需要工作人员重复录入，影响工作效率。</w:t>
      </w:r>
    </w:p>
    <w:p>
      <w:pPr>
        <w:adjustRightInd w:val="0"/>
        <w:snapToGrid w:val="0"/>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utoSpaceDE w:val="0"/>
        <w:autoSpaceDN w:val="0"/>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重视人才培养，提升能力建设。持续开展《国家基本公卫规范（第三版）》培训，完善绩效考核制度。按照中心管站的一体化要求，做好对辖区内社区卫生服务站、村卫生室的业务指导，提高整体服务能力和素质。</w:t>
      </w:r>
    </w:p>
    <w:p>
      <w:pPr>
        <w:snapToGrid w:val="0"/>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整合信息系统，促进信息共享。加快推进卫生信息一体化建设。有效整合基本公共卫生服务项目与计划免疫、妇幼保健、严重精神障碍、肺结核、慢性病等其他信息系统的融合，减轻基层人员工作量。实现互联互通、资源信息共享。最大化提高基本公共卫生服务项目的工作效率。</w:t>
      </w:r>
    </w:p>
    <w:p>
      <w:pPr>
        <w:pStyle w:val="26"/>
      </w:pPr>
    </w:p>
    <w:p>
      <w:pPr>
        <w:pStyle w:val="26"/>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19"/>
          <w:rFonts w:hint="eastAsia" w:ascii="黑体" w:hAnsi="黑体" w:eastAsia="黑体"/>
        </w:rPr>
        <w:t>五部分 附表</w:t>
      </w:r>
      <w:bookmarkEnd w:id="47"/>
      <w:bookmarkStart w:id="48" w:name="_Toc15396619"/>
    </w:p>
    <w:p>
      <w:pPr>
        <w:pStyle w:val="4"/>
        <w:rPr>
          <w:rFonts w:ascii="仿宋" w:hAnsi="仿宋" w:eastAsia="仿宋"/>
        </w:rPr>
      </w:pPr>
      <w:r>
        <w:rPr>
          <w:rFonts w:hint="eastAsia" w:ascii="仿宋" w:hAnsi="仿宋" w:eastAsia="仿宋"/>
          <w:b w:val="0"/>
        </w:rPr>
        <w:t>一、收</w:t>
      </w:r>
      <w:r>
        <w:rPr>
          <w:rStyle w:val="20"/>
          <w:rFonts w:hint="eastAsia" w:ascii="仿宋" w:hAnsi="仿宋" w:eastAsia="仿宋"/>
          <w:b w:val="0"/>
          <w:bCs w:val="0"/>
        </w:rPr>
        <w:t>入支出决算总表</w:t>
      </w:r>
      <w:bookmarkEnd w:id="48"/>
    </w:p>
    <w:p>
      <w:pPr>
        <w:pStyle w:val="4"/>
        <w:rPr>
          <w:rFonts w:ascii="仿宋" w:hAnsi="仿宋" w:eastAsia="仿宋"/>
        </w:rPr>
      </w:pPr>
      <w:bookmarkStart w:id="49" w:name="_Toc15396620"/>
      <w:r>
        <w:rPr>
          <w:rFonts w:hint="eastAsia" w:ascii="仿宋" w:hAnsi="仿宋" w:eastAsia="仿宋"/>
          <w:b w:val="0"/>
        </w:rPr>
        <w:t>二、收</w:t>
      </w:r>
      <w:r>
        <w:rPr>
          <w:rStyle w:val="20"/>
          <w:rFonts w:hint="eastAsia" w:ascii="仿宋" w:hAnsi="仿宋" w:eastAsia="仿宋"/>
          <w:b w:val="0"/>
          <w:bCs w:val="0"/>
        </w:rPr>
        <w:t>入决算表</w:t>
      </w:r>
      <w:bookmarkEnd w:id="49"/>
    </w:p>
    <w:p>
      <w:pPr>
        <w:pStyle w:val="4"/>
        <w:rPr>
          <w:rFonts w:ascii="仿宋" w:hAnsi="仿宋" w:eastAsia="仿宋"/>
        </w:rPr>
      </w:pPr>
      <w:bookmarkStart w:id="50" w:name="_Toc15396621"/>
      <w:r>
        <w:rPr>
          <w:rStyle w:val="20"/>
          <w:rFonts w:hint="eastAsia" w:ascii="仿宋" w:hAnsi="仿宋" w:eastAsia="仿宋"/>
          <w:b w:val="0"/>
          <w:bCs w:val="0"/>
        </w:rPr>
        <w:t>三、</w:t>
      </w:r>
      <w:r>
        <w:rPr>
          <w:rFonts w:hint="eastAsia" w:ascii="仿宋" w:hAnsi="仿宋" w:eastAsia="仿宋"/>
          <w:b w:val="0"/>
        </w:rPr>
        <w:t>支</w:t>
      </w:r>
      <w:r>
        <w:rPr>
          <w:rStyle w:val="20"/>
          <w:rFonts w:hint="eastAsia" w:ascii="仿宋" w:hAnsi="仿宋" w:eastAsia="仿宋"/>
          <w:b w:val="0"/>
          <w:bCs w:val="0"/>
        </w:rPr>
        <w:t>出决算表</w:t>
      </w:r>
      <w:bookmarkEnd w:id="50"/>
    </w:p>
    <w:p>
      <w:pPr>
        <w:pStyle w:val="4"/>
        <w:rPr>
          <w:rFonts w:ascii="仿宋" w:hAnsi="仿宋" w:eastAsia="仿宋"/>
          <w:b w:val="0"/>
        </w:rPr>
      </w:pPr>
      <w:bookmarkStart w:id="51" w:name="_Toc15396622"/>
      <w:r>
        <w:rPr>
          <w:rStyle w:val="20"/>
          <w:rFonts w:hint="eastAsia" w:ascii="仿宋" w:hAnsi="仿宋" w:eastAsia="仿宋"/>
          <w:b w:val="0"/>
          <w:bCs w:val="0"/>
        </w:rPr>
        <w:t>四、</w:t>
      </w:r>
      <w:r>
        <w:rPr>
          <w:rFonts w:hint="eastAsia" w:ascii="仿宋" w:hAnsi="仿宋" w:eastAsia="仿宋"/>
          <w:b w:val="0"/>
        </w:rPr>
        <w:t>财</w:t>
      </w:r>
      <w:r>
        <w:rPr>
          <w:rStyle w:val="20"/>
          <w:rFonts w:hint="eastAsia" w:ascii="仿宋" w:hAnsi="仿宋" w:eastAsia="仿宋"/>
          <w:b w:val="0"/>
          <w:bCs w:val="0"/>
        </w:rPr>
        <w:t>政拨款收入支出决算总表</w:t>
      </w:r>
      <w:bookmarkEnd w:id="51"/>
    </w:p>
    <w:p>
      <w:pPr>
        <w:pStyle w:val="4"/>
        <w:rPr>
          <w:rStyle w:val="20"/>
          <w:rFonts w:ascii="仿宋" w:hAnsi="仿宋" w:eastAsia="仿宋"/>
          <w:b w:val="0"/>
          <w:bCs w:val="0"/>
        </w:rPr>
      </w:pPr>
      <w:bookmarkStart w:id="52" w:name="_Toc15396623"/>
      <w:r>
        <w:rPr>
          <w:rStyle w:val="20"/>
          <w:rFonts w:hint="eastAsia" w:ascii="仿宋" w:hAnsi="仿宋" w:eastAsia="仿宋"/>
          <w:b w:val="0"/>
          <w:bCs w:val="0"/>
        </w:rPr>
        <w:t>五、</w:t>
      </w:r>
      <w:r>
        <w:rPr>
          <w:rFonts w:hint="eastAsia" w:ascii="仿宋" w:hAnsi="仿宋" w:eastAsia="仿宋"/>
          <w:b w:val="0"/>
        </w:rPr>
        <w:t>财</w:t>
      </w:r>
      <w:r>
        <w:rPr>
          <w:rStyle w:val="20"/>
          <w:rFonts w:hint="eastAsia" w:ascii="仿宋" w:hAnsi="仿宋" w:eastAsia="仿宋"/>
          <w:b w:val="0"/>
          <w:bCs w:val="0"/>
        </w:rPr>
        <w:t>政拨款支出决算明细表</w:t>
      </w:r>
      <w:bookmarkEnd w:id="52"/>
      <w:bookmarkStart w:id="53" w:name="_Toc15396624"/>
    </w:p>
    <w:p>
      <w:pPr>
        <w:pStyle w:val="4"/>
        <w:rPr>
          <w:rFonts w:ascii="仿宋" w:hAnsi="仿宋" w:eastAsia="仿宋"/>
        </w:rPr>
      </w:pPr>
      <w:r>
        <w:rPr>
          <w:rStyle w:val="20"/>
          <w:rFonts w:hint="eastAsia" w:ascii="仿宋" w:hAnsi="仿宋" w:eastAsia="仿宋"/>
          <w:b w:val="0"/>
          <w:bCs w:val="0"/>
        </w:rPr>
        <w:t>六、</w:t>
      </w:r>
      <w:r>
        <w:rPr>
          <w:rFonts w:hint="eastAsia" w:ascii="仿宋" w:hAnsi="仿宋" w:eastAsia="仿宋"/>
          <w:b w:val="0"/>
        </w:rPr>
        <w:t>一</w:t>
      </w:r>
      <w:r>
        <w:rPr>
          <w:rStyle w:val="20"/>
          <w:rFonts w:hint="eastAsia" w:ascii="仿宋" w:hAnsi="仿宋" w:eastAsia="仿宋"/>
          <w:b w:val="0"/>
          <w:bCs w:val="0"/>
        </w:rPr>
        <w:t>般公共预算财政拨款支出决算表</w:t>
      </w:r>
      <w:bookmarkEnd w:id="53"/>
    </w:p>
    <w:p>
      <w:pPr>
        <w:pStyle w:val="4"/>
        <w:rPr>
          <w:rFonts w:ascii="仿宋" w:hAnsi="仿宋" w:eastAsia="仿宋"/>
        </w:rPr>
      </w:pPr>
      <w:bookmarkStart w:id="54" w:name="_Toc15396625"/>
      <w:r>
        <w:rPr>
          <w:rStyle w:val="20"/>
          <w:rFonts w:hint="eastAsia" w:ascii="仿宋" w:hAnsi="仿宋" w:eastAsia="仿宋"/>
          <w:b w:val="0"/>
          <w:bCs w:val="0"/>
        </w:rPr>
        <w:t>七、</w:t>
      </w:r>
      <w:r>
        <w:rPr>
          <w:rFonts w:hint="eastAsia" w:ascii="仿宋" w:hAnsi="仿宋" w:eastAsia="仿宋"/>
          <w:b w:val="0"/>
        </w:rPr>
        <w:t>一</w:t>
      </w:r>
      <w:r>
        <w:rPr>
          <w:rStyle w:val="20"/>
          <w:rFonts w:hint="eastAsia" w:ascii="仿宋" w:hAnsi="仿宋" w:eastAsia="仿宋"/>
          <w:b w:val="0"/>
          <w:bCs w:val="0"/>
        </w:rPr>
        <w:t>般公共预算财政拨款支出决算明细表</w:t>
      </w:r>
      <w:bookmarkEnd w:id="54"/>
    </w:p>
    <w:p>
      <w:pPr>
        <w:pStyle w:val="4"/>
        <w:rPr>
          <w:rFonts w:ascii="仿宋" w:hAnsi="仿宋" w:eastAsia="仿宋"/>
        </w:rPr>
      </w:pPr>
      <w:bookmarkStart w:id="55" w:name="_Toc15396626"/>
      <w:r>
        <w:rPr>
          <w:rStyle w:val="20"/>
          <w:rFonts w:hint="eastAsia" w:ascii="仿宋" w:hAnsi="仿宋" w:eastAsia="仿宋"/>
          <w:b w:val="0"/>
          <w:bCs w:val="0"/>
        </w:rPr>
        <w:t>八、</w:t>
      </w:r>
      <w:r>
        <w:rPr>
          <w:rFonts w:hint="eastAsia" w:ascii="仿宋" w:hAnsi="仿宋" w:eastAsia="仿宋"/>
          <w:b w:val="0"/>
        </w:rPr>
        <w:t>一</w:t>
      </w:r>
      <w:r>
        <w:rPr>
          <w:rStyle w:val="20"/>
          <w:rFonts w:hint="eastAsia" w:ascii="仿宋" w:hAnsi="仿宋" w:eastAsia="仿宋"/>
          <w:b w:val="0"/>
          <w:bCs w:val="0"/>
        </w:rPr>
        <w:t>般公共预算财政拨款基本支出决算表</w:t>
      </w:r>
      <w:bookmarkEnd w:id="55"/>
    </w:p>
    <w:p>
      <w:pPr>
        <w:pStyle w:val="4"/>
        <w:rPr>
          <w:rFonts w:ascii="仿宋" w:hAnsi="仿宋" w:eastAsia="仿宋"/>
        </w:rPr>
      </w:pPr>
      <w:bookmarkStart w:id="56" w:name="_Toc15396627"/>
      <w:r>
        <w:rPr>
          <w:rStyle w:val="20"/>
          <w:rFonts w:hint="eastAsia" w:ascii="仿宋" w:hAnsi="仿宋" w:eastAsia="仿宋"/>
          <w:b w:val="0"/>
          <w:bCs w:val="0"/>
        </w:rPr>
        <w:t>九、</w:t>
      </w:r>
      <w:r>
        <w:rPr>
          <w:rFonts w:hint="eastAsia" w:ascii="仿宋" w:hAnsi="仿宋" w:eastAsia="仿宋"/>
          <w:b w:val="0"/>
        </w:rPr>
        <w:t>一</w:t>
      </w:r>
      <w:r>
        <w:rPr>
          <w:rStyle w:val="20"/>
          <w:rFonts w:hint="eastAsia" w:ascii="仿宋" w:hAnsi="仿宋" w:eastAsia="仿宋"/>
          <w:b w:val="0"/>
          <w:bCs w:val="0"/>
        </w:rPr>
        <w:t>般公共预算财政拨款项目支出决算表</w:t>
      </w:r>
      <w:bookmarkEnd w:id="56"/>
    </w:p>
    <w:p>
      <w:pPr>
        <w:pStyle w:val="4"/>
        <w:rPr>
          <w:rFonts w:ascii="仿宋" w:hAnsi="仿宋" w:eastAsia="仿宋"/>
        </w:rPr>
      </w:pPr>
      <w:bookmarkStart w:id="57" w:name="_Toc15396628"/>
      <w:r>
        <w:rPr>
          <w:rStyle w:val="20"/>
          <w:rFonts w:hint="eastAsia" w:ascii="仿宋" w:hAnsi="仿宋" w:eastAsia="仿宋"/>
          <w:b w:val="0"/>
          <w:bCs w:val="0"/>
        </w:rPr>
        <w:t>十、</w:t>
      </w:r>
      <w:bookmarkEnd w:id="57"/>
      <w:r>
        <w:rPr>
          <w:rFonts w:hint="eastAsia" w:ascii="仿宋" w:hAnsi="仿宋" w:eastAsia="仿宋"/>
          <w:b w:val="0"/>
        </w:rPr>
        <w:t>政</w:t>
      </w:r>
      <w:r>
        <w:rPr>
          <w:rStyle w:val="20"/>
          <w:rFonts w:hint="eastAsia" w:ascii="仿宋" w:hAnsi="仿宋" w:eastAsia="仿宋"/>
          <w:b w:val="0"/>
          <w:bCs w:val="0"/>
        </w:rPr>
        <w:t>府性基金预算财政拨款收入支出决算表</w:t>
      </w:r>
    </w:p>
    <w:p>
      <w:pPr>
        <w:pStyle w:val="4"/>
        <w:rPr>
          <w:rFonts w:ascii="仿宋" w:hAnsi="仿宋" w:eastAsia="仿宋"/>
        </w:rPr>
      </w:pPr>
      <w:bookmarkStart w:id="58" w:name="_Toc15396629"/>
      <w:r>
        <w:rPr>
          <w:rStyle w:val="20"/>
          <w:rFonts w:hint="eastAsia" w:ascii="仿宋" w:hAnsi="仿宋" w:eastAsia="仿宋"/>
          <w:b w:val="0"/>
          <w:bCs w:val="0"/>
        </w:rPr>
        <w:t>十一、</w:t>
      </w:r>
      <w:bookmarkEnd w:id="58"/>
      <w:r>
        <w:rPr>
          <w:rFonts w:hint="eastAsia" w:ascii="仿宋" w:hAnsi="仿宋" w:eastAsia="仿宋"/>
          <w:b w:val="0"/>
        </w:rPr>
        <w:t>国</w:t>
      </w:r>
      <w:r>
        <w:rPr>
          <w:rStyle w:val="20"/>
          <w:rFonts w:hint="eastAsia" w:ascii="仿宋" w:hAnsi="仿宋" w:eastAsia="仿宋"/>
          <w:b w:val="0"/>
          <w:bCs w:val="0"/>
        </w:rPr>
        <w:t>有资本经营预算财政拨款收入支出决算表</w:t>
      </w:r>
    </w:p>
    <w:p>
      <w:pPr>
        <w:pStyle w:val="4"/>
        <w:rPr>
          <w:rStyle w:val="20"/>
          <w:rFonts w:hint="eastAsia" w:ascii="仿宋_GB2312" w:hAnsi="仿宋" w:eastAsia="仿宋_GB2312"/>
          <w:b w:val="0"/>
          <w:bCs w:val="0"/>
        </w:rPr>
      </w:pPr>
      <w:bookmarkStart w:id="59" w:name="_Toc15396630"/>
      <w:r>
        <w:rPr>
          <w:rStyle w:val="20"/>
          <w:rFonts w:hint="eastAsia" w:ascii="仿宋" w:hAnsi="仿宋" w:eastAsia="仿宋"/>
          <w:b w:val="0"/>
          <w:bCs w:val="0"/>
        </w:rPr>
        <w:t>十二、</w:t>
      </w:r>
      <w:bookmarkEnd w:id="59"/>
      <w:bookmarkStart w:id="60" w:name="_Toc15396631"/>
      <w:r>
        <w:rPr>
          <w:rStyle w:val="20"/>
          <w:rFonts w:hint="eastAsia" w:ascii="仿宋_GB2312" w:hAnsi="仿宋" w:eastAsia="仿宋_GB2312"/>
          <w:b w:val="0"/>
          <w:bCs w:val="0"/>
        </w:rPr>
        <w:t>国有资本经营预算财政拨款支出决算表</w:t>
      </w:r>
    </w:p>
    <w:p>
      <w:pPr>
        <w:pStyle w:val="4"/>
        <w:rPr>
          <w:rStyle w:val="20"/>
          <w:rFonts w:ascii="仿宋" w:hAnsi="仿宋" w:eastAsia="仿宋"/>
          <w:b w:val="0"/>
          <w:bCs w:val="0"/>
        </w:rPr>
      </w:pPr>
      <w:r>
        <w:rPr>
          <w:rStyle w:val="20"/>
          <w:rFonts w:hint="eastAsia" w:ascii="仿宋" w:hAnsi="仿宋" w:eastAsia="仿宋"/>
          <w:b w:val="0"/>
          <w:bCs w:val="0"/>
        </w:rPr>
        <w:t>十三、</w:t>
      </w:r>
      <w:bookmarkEnd w:id="60"/>
      <w:r>
        <w:rPr>
          <w:rStyle w:val="20"/>
          <w:rFonts w:hint="eastAsia" w:ascii="仿宋" w:hAnsi="仿宋" w:eastAsia="仿宋"/>
          <w:b w:val="0"/>
          <w:bCs w:val="0"/>
        </w:rPr>
        <w:t>财政拨款“三公”经费支出决算表</w:t>
      </w:r>
    </w:p>
    <w:p>
      <w:pPr>
        <w:pStyle w:val="4"/>
        <w:rPr>
          <w:rFonts w:ascii="仿宋" w:hAnsi="仿宋" w:eastAsia="仿宋"/>
        </w:rPr>
      </w:pPr>
    </w:p>
    <w:p>
      <w:pPr>
        <w:rPr>
          <w:rFonts w:ascii="仿宋_GB2312" w:eastAsia="仿宋_GB2312"/>
          <w:b/>
          <w:bCs/>
        </w:rPr>
      </w:pPr>
    </w:p>
    <w:p>
      <w:pPr>
        <w:pStyle w:val="2"/>
        <w:rPr>
          <w:rFonts w:ascii="仿宋_GB2312" w:eastAsia="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6508147"/>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DD876"/>
    <w:multiLevelType w:val="multilevel"/>
    <w:tmpl w:val="AD0DD876"/>
    <w:lvl w:ilvl="0" w:tentative="0">
      <w:start w:val="5"/>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AFADC852"/>
    <w:multiLevelType w:val="singleLevel"/>
    <w:tmpl w:val="AFADC852"/>
    <w:lvl w:ilvl="0" w:tentative="0">
      <w:start w:val="2"/>
      <w:numFmt w:val="chineseCounting"/>
      <w:suff w:val="nothing"/>
      <w:lvlText w:val="（%1）"/>
      <w:lvlJc w:val="left"/>
      <w:pPr>
        <w:ind w:left="0" w:firstLine="0"/>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EBEF323"/>
    <w:multiLevelType w:val="singleLevel"/>
    <w:tmpl w:val="DEBEF323"/>
    <w:lvl w:ilvl="0" w:tentative="0">
      <w:start w:val="4"/>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4DF5CE4"/>
    <w:multiLevelType w:val="singleLevel"/>
    <w:tmpl w:val="14DF5CE4"/>
    <w:lvl w:ilvl="0" w:tentative="0">
      <w:start w:val="2"/>
      <w:numFmt w:val="chineseCounting"/>
      <w:suff w:val="nothing"/>
      <w:lvlText w:val="（%1）"/>
      <w:lvlJc w:val="left"/>
      <w:rPr>
        <w:rFonts w:hint="eastAsia"/>
      </w:rPr>
    </w:lvl>
  </w:abstractNum>
  <w:abstractNum w:abstractNumId="8">
    <w:nsid w:val="18DE3A19"/>
    <w:multiLevelType w:val="multilevel"/>
    <w:tmpl w:val="18DE3A19"/>
    <w:lvl w:ilvl="0" w:tentative="0">
      <w:start w:val="1"/>
      <w:numFmt w:val="japaneseCounting"/>
      <w:lvlText w:val="（%1）"/>
      <w:lvlJc w:val="left"/>
      <w:pPr>
        <w:ind w:left="1633" w:hanging="99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9">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9"/>
  </w:num>
  <w:num w:numId="2">
    <w:abstractNumId w:val="6"/>
  </w:num>
  <w:num w:numId="3">
    <w:abstractNumId w:val="2"/>
  </w:num>
  <w:num w:numId="4">
    <w:abstractNumId w:val="2"/>
    <w:lvlOverride w:ilvl="0">
      <w:startOverride w:val="9"/>
    </w:lvlOverride>
  </w:num>
  <w:num w:numId="5">
    <w:abstractNumId w:val="4"/>
  </w:num>
  <w:num w:numId="6">
    <w:abstractNumId w:val="5"/>
  </w:num>
  <w:num w:numId="7">
    <w:abstractNumId w:val="8"/>
  </w:num>
  <w:num w:numId="8">
    <w:abstractNumId w:val="1"/>
    <w:lvlOverride w:ilvl="0">
      <w:startOverride w:val="2"/>
    </w:lvlOverride>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mNjU4ZWMyNzRjNWRkODQwMDZiZGE1MWU4ZTU3OWEifQ=="/>
  </w:docVars>
  <w:rsids>
    <w:rsidRoot w:val="00C30B0D"/>
    <w:rsid w:val="00032B3C"/>
    <w:rsid w:val="00040363"/>
    <w:rsid w:val="00066927"/>
    <w:rsid w:val="000B54CD"/>
    <w:rsid w:val="000B71FC"/>
    <w:rsid w:val="000D4672"/>
    <w:rsid w:val="000F4616"/>
    <w:rsid w:val="001225BA"/>
    <w:rsid w:val="001272A3"/>
    <w:rsid w:val="00130EF1"/>
    <w:rsid w:val="00132CD7"/>
    <w:rsid w:val="001425D2"/>
    <w:rsid w:val="001646F8"/>
    <w:rsid w:val="00165111"/>
    <w:rsid w:val="00192AED"/>
    <w:rsid w:val="001B447C"/>
    <w:rsid w:val="001B7035"/>
    <w:rsid w:val="001C5684"/>
    <w:rsid w:val="001D370A"/>
    <w:rsid w:val="001D4F2A"/>
    <w:rsid w:val="00201D56"/>
    <w:rsid w:val="0024613E"/>
    <w:rsid w:val="00273B7D"/>
    <w:rsid w:val="0029668C"/>
    <w:rsid w:val="002C0F7C"/>
    <w:rsid w:val="002E0016"/>
    <w:rsid w:val="002E0572"/>
    <w:rsid w:val="002E074E"/>
    <w:rsid w:val="002E2350"/>
    <w:rsid w:val="002E7D6B"/>
    <w:rsid w:val="00337EAF"/>
    <w:rsid w:val="00345BBE"/>
    <w:rsid w:val="003462A5"/>
    <w:rsid w:val="0035234C"/>
    <w:rsid w:val="00376784"/>
    <w:rsid w:val="003777E5"/>
    <w:rsid w:val="004379F9"/>
    <w:rsid w:val="004464C5"/>
    <w:rsid w:val="00461EE1"/>
    <w:rsid w:val="00494AD1"/>
    <w:rsid w:val="004B3C1A"/>
    <w:rsid w:val="004F0B42"/>
    <w:rsid w:val="004F2106"/>
    <w:rsid w:val="0051472C"/>
    <w:rsid w:val="00514987"/>
    <w:rsid w:val="005167EE"/>
    <w:rsid w:val="0052167A"/>
    <w:rsid w:val="005416F4"/>
    <w:rsid w:val="0055118F"/>
    <w:rsid w:val="0055318B"/>
    <w:rsid w:val="005643FA"/>
    <w:rsid w:val="00573408"/>
    <w:rsid w:val="005B4D2E"/>
    <w:rsid w:val="005C4515"/>
    <w:rsid w:val="005E1382"/>
    <w:rsid w:val="0061478A"/>
    <w:rsid w:val="0063139A"/>
    <w:rsid w:val="00643714"/>
    <w:rsid w:val="00665665"/>
    <w:rsid w:val="0067158F"/>
    <w:rsid w:val="00672A7B"/>
    <w:rsid w:val="006D2E45"/>
    <w:rsid w:val="00716A1E"/>
    <w:rsid w:val="00727658"/>
    <w:rsid w:val="00727DC9"/>
    <w:rsid w:val="00740A42"/>
    <w:rsid w:val="007548CF"/>
    <w:rsid w:val="007633B2"/>
    <w:rsid w:val="00772F16"/>
    <w:rsid w:val="0077384E"/>
    <w:rsid w:val="00780C63"/>
    <w:rsid w:val="00782CB0"/>
    <w:rsid w:val="007A0515"/>
    <w:rsid w:val="007B2CD6"/>
    <w:rsid w:val="007C3086"/>
    <w:rsid w:val="007E6ADC"/>
    <w:rsid w:val="00826264"/>
    <w:rsid w:val="008454F9"/>
    <w:rsid w:val="008631E4"/>
    <w:rsid w:val="008712B0"/>
    <w:rsid w:val="008904CA"/>
    <w:rsid w:val="008C0525"/>
    <w:rsid w:val="0090127A"/>
    <w:rsid w:val="00911607"/>
    <w:rsid w:val="009324FA"/>
    <w:rsid w:val="009354D1"/>
    <w:rsid w:val="00962417"/>
    <w:rsid w:val="00963D33"/>
    <w:rsid w:val="00966DF4"/>
    <w:rsid w:val="009676D9"/>
    <w:rsid w:val="009862A0"/>
    <w:rsid w:val="00997F2C"/>
    <w:rsid w:val="009B635B"/>
    <w:rsid w:val="009C4193"/>
    <w:rsid w:val="009D4D19"/>
    <w:rsid w:val="009D784D"/>
    <w:rsid w:val="009F2087"/>
    <w:rsid w:val="00A112D9"/>
    <w:rsid w:val="00A45847"/>
    <w:rsid w:val="00A87F69"/>
    <w:rsid w:val="00A90EFE"/>
    <w:rsid w:val="00A9230B"/>
    <w:rsid w:val="00AA6FDC"/>
    <w:rsid w:val="00AE7BC4"/>
    <w:rsid w:val="00AF20E9"/>
    <w:rsid w:val="00B0247F"/>
    <w:rsid w:val="00B113FB"/>
    <w:rsid w:val="00B12DD2"/>
    <w:rsid w:val="00B32B61"/>
    <w:rsid w:val="00B50BB2"/>
    <w:rsid w:val="00B52AF6"/>
    <w:rsid w:val="00BA0BB6"/>
    <w:rsid w:val="00BC7E6E"/>
    <w:rsid w:val="00BE1260"/>
    <w:rsid w:val="00BE4E9B"/>
    <w:rsid w:val="00BE76FB"/>
    <w:rsid w:val="00C30B0D"/>
    <w:rsid w:val="00C344F4"/>
    <w:rsid w:val="00C41B97"/>
    <w:rsid w:val="00C61AB4"/>
    <w:rsid w:val="00C64CD6"/>
    <w:rsid w:val="00CA447F"/>
    <w:rsid w:val="00CB27BE"/>
    <w:rsid w:val="00CC633C"/>
    <w:rsid w:val="00CD6BBC"/>
    <w:rsid w:val="00D2119B"/>
    <w:rsid w:val="00D24998"/>
    <w:rsid w:val="00D62F2B"/>
    <w:rsid w:val="00D75D5B"/>
    <w:rsid w:val="00DB1288"/>
    <w:rsid w:val="00DD2512"/>
    <w:rsid w:val="00DD5D3F"/>
    <w:rsid w:val="00DF01E3"/>
    <w:rsid w:val="00DF250B"/>
    <w:rsid w:val="00E1273C"/>
    <w:rsid w:val="00E36621"/>
    <w:rsid w:val="00E379E3"/>
    <w:rsid w:val="00E7477D"/>
    <w:rsid w:val="00E90187"/>
    <w:rsid w:val="00E912E5"/>
    <w:rsid w:val="00E91900"/>
    <w:rsid w:val="00EA14B7"/>
    <w:rsid w:val="00EA2F23"/>
    <w:rsid w:val="00EA722A"/>
    <w:rsid w:val="00ED434A"/>
    <w:rsid w:val="00ED6711"/>
    <w:rsid w:val="00F22451"/>
    <w:rsid w:val="00F37583"/>
    <w:rsid w:val="00F50B5A"/>
    <w:rsid w:val="00F674F8"/>
    <w:rsid w:val="00F700E5"/>
    <w:rsid w:val="00F72880"/>
    <w:rsid w:val="00F92795"/>
    <w:rsid w:val="00F93694"/>
    <w:rsid w:val="00FB1378"/>
    <w:rsid w:val="00FF34AB"/>
    <w:rsid w:val="190C06CB"/>
    <w:rsid w:val="1C6D169A"/>
    <w:rsid w:val="21D24241"/>
    <w:rsid w:val="389C4E78"/>
    <w:rsid w:val="4AED200D"/>
    <w:rsid w:val="59645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20"/>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5">
    <w:name w:val="heading 3"/>
    <w:basedOn w:val="1"/>
    <w:next w:val="1"/>
    <w:link w:val="24"/>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link w:val="18"/>
    <w:semiHidden/>
    <w:unhideWhenUsed/>
    <w:qFormat/>
    <w:uiPriority w:val="99"/>
    <w:pPr>
      <w:spacing w:after="120"/>
    </w:pPr>
  </w:style>
  <w:style w:type="paragraph" w:styleId="6">
    <w:name w:val="Body Text Indent"/>
    <w:basedOn w:val="1"/>
    <w:link w:val="30"/>
    <w:semiHidden/>
    <w:unhideWhenUsed/>
    <w:uiPriority w:val="99"/>
    <w:pPr>
      <w:spacing w:after="120"/>
      <w:ind w:left="420" w:leftChars="200"/>
    </w:pPr>
  </w:style>
  <w:style w:type="paragraph" w:styleId="7">
    <w:name w:val="Plain Text"/>
    <w:basedOn w:val="1"/>
    <w:link w:val="27"/>
    <w:semiHidden/>
    <w:unhideWhenUsed/>
    <w:qFormat/>
    <w:uiPriority w:val="0"/>
    <w:rPr>
      <w:rFonts w:ascii="宋体" w:hAnsi="Courier New"/>
    </w:rPr>
  </w:style>
  <w:style w:type="paragraph" w:styleId="8">
    <w:name w:val="Balloon Text"/>
    <w:basedOn w:val="1"/>
    <w:link w:val="23"/>
    <w:semiHidden/>
    <w:unhideWhenUsed/>
    <w:qFormat/>
    <w:uiPriority w:val="99"/>
    <w:rPr>
      <w:sz w:val="18"/>
      <w:szCs w:val="18"/>
    </w:rPr>
  </w:style>
  <w:style w:type="paragraph" w:styleId="9">
    <w:name w:val="footer"/>
    <w:basedOn w:val="1"/>
    <w:link w:val="34"/>
    <w:unhideWhenUsed/>
    <w:uiPriority w:val="99"/>
    <w:pPr>
      <w:tabs>
        <w:tab w:val="center" w:pos="4153"/>
        <w:tab w:val="right" w:pos="8306"/>
      </w:tabs>
      <w:snapToGrid w:val="0"/>
      <w:jc w:val="left"/>
    </w:pPr>
    <w:rPr>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semiHidden/>
    <w:unhideWhenUsed/>
    <w:qFormat/>
    <w:uiPriority w:val="39"/>
    <w:pPr>
      <w:tabs>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pPr>
    <w:rPr>
      <w:sz w:val="24"/>
    </w:rPr>
  </w:style>
  <w:style w:type="paragraph" w:styleId="14">
    <w:name w:val="Body Text First Indent 2"/>
    <w:basedOn w:val="6"/>
    <w:link w:val="31"/>
    <w:semiHidden/>
    <w:unhideWhenUsed/>
    <w:qFormat/>
    <w:uiPriority w:val="99"/>
    <w:pPr>
      <w:ind w:firstLine="420" w:firstLineChars="200"/>
    </w:pPr>
  </w:style>
  <w:style w:type="character" w:styleId="17">
    <w:name w:val="Strong"/>
    <w:qFormat/>
    <w:uiPriority w:val="99"/>
    <w:rPr>
      <w:b/>
    </w:rPr>
  </w:style>
  <w:style w:type="character" w:customStyle="1" w:styleId="18">
    <w:name w:val="正文文本 字符"/>
    <w:basedOn w:val="16"/>
    <w:link w:val="2"/>
    <w:semiHidden/>
    <w:qFormat/>
    <w:uiPriority w:val="99"/>
    <w:rPr>
      <w:rFonts w:ascii="Times New Roman" w:hAnsi="Times New Roman" w:eastAsia="宋体" w:cs="Times New Roman"/>
      <w:szCs w:val="24"/>
    </w:rPr>
  </w:style>
  <w:style w:type="character" w:customStyle="1" w:styleId="19">
    <w:name w:val="标题 1 字符"/>
    <w:basedOn w:val="16"/>
    <w:link w:val="3"/>
    <w:qFormat/>
    <w:uiPriority w:val="9"/>
    <w:rPr>
      <w:rFonts w:ascii="Times New Roman" w:hAnsi="Times New Roman" w:eastAsia="宋体" w:cs="Times New Roman"/>
      <w:b/>
      <w:bCs/>
      <w:kern w:val="44"/>
      <w:sz w:val="44"/>
      <w:szCs w:val="44"/>
    </w:rPr>
  </w:style>
  <w:style w:type="character" w:customStyle="1" w:styleId="20">
    <w:name w:val="标题 2 字符"/>
    <w:basedOn w:val="16"/>
    <w:link w:val="4"/>
    <w:qFormat/>
    <w:uiPriority w:val="9"/>
    <w:rPr>
      <w:rFonts w:asciiTheme="majorHAnsi" w:hAnsiTheme="majorHAnsi" w:eastAsiaTheme="majorEastAsia" w:cstheme="majorBidi"/>
      <w:b/>
      <w:bCs/>
      <w:sz w:val="32"/>
      <w:szCs w:val="32"/>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character" w:customStyle="1" w:styleId="23">
    <w:name w:val="批注框文本 字符"/>
    <w:basedOn w:val="16"/>
    <w:link w:val="8"/>
    <w:semiHidden/>
    <w:qFormat/>
    <w:uiPriority w:val="99"/>
    <w:rPr>
      <w:rFonts w:ascii="Times New Roman" w:hAnsi="Times New Roman" w:eastAsia="宋体" w:cs="Times New Roman"/>
      <w:sz w:val="18"/>
      <w:szCs w:val="18"/>
    </w:rPr>
  </w:style>
  <w:style w:type="character" w:customStyle="1" w:styleId="24">
    <w:name w:val="标题 3 字符"/>
    <w:basedOn w:val="16"/>
    <w:link w:val="5"/>
    <w:qFormat/>
    <w:uiPriority w:val="9"/>
    <w:rPr>
      <w:rFonts w:ascii="Times New Roman" w:hAnsi="Times New Roman" w:eastAsia="宋体" w:cs="Times New Roman"/>
      <w:b/>
      <w:bCs/>
      <w:sz w:val="32"/>
      <w:szCs w:val="32"/>
    </w:rPr>
  </w:style>
  <w:style w:type="paragraph" w:customStyle="1" w:styleId="25">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7">
    <w:name w:val="纯文本 字符"/>
    <w:basedOn w:val="16"/>
    <w:link w:val="7"/>
    <w:semiHidden/>
    <w:qFormat/>
    <w:uiPriority w:val="0"/>
    <w:rPr>
      <w:rFonts w:ascii="宋体" w:hAnsi="Courier New" w:eastAsia="宋体" w:cs="Times New Roman"/>
      <w:szCs w:val="24"/>
    </w:rPr>
  </w:style>
  <w:style w:type="character" w:customStyle="1" w:styleId="28">
    <w:name w:val="font61"/>
    <w:qFormat/>
    <w:uiPriority w:val="0"/>
    <w:rPr>
      <w:rFonts w:hint="default" w:ascii="Times New Roman" w:hAnsi="Times New Roman" w:eastAsia="楷体_GB2312" w:cs="Times New Roman"/>
      <w:sz w:val="32"/>
      <w:szCs w:val="24"/>
    </w:rPr>
  </w:style>
  <w:style w:type="paragraph" w:customStyle="1" w:styleId="29">
    <w:name w:val="_Style 5"/>
    <w:qFormat/>
    <w:uiPriority w:val="99"/>
    <w:pPr>
      <w:widowControl w:val="0"/>
      <w:ind w:firstLine="200" w:firstLineChars="200"/>
      <w:jc w:val="both"/>
    </w:pPr>
    <w:rPr>
      <w:rFonts w:hint="eastAsia" w:ascii="Times New Roman" w:hAnsi="Times New Roman" w:eastAsia="宋体" w:cs="Times New Roman"/>
      <w:kern w:val="2"/>
      <w:sz w:val="24"/>
      <w:lang w:val="en-US" w:eastAsia="zh-CN" w:bidi="ar-SA"/>
    </w:rPr>
  </w:style>
  <w:style w:type="character" w:customStyle="1" w:styleId="30">
    <w:name w:val="正文文本缩进 字符"/>
    <w:basedOn w:val="16"/>
    <w:link w:val="6"/>
    <w:semiHidden/>
    <w:qFormat/>
    <w:uiPriority w:val="99"/>
    <w:rPr>
      <w:rFonts w:ascii="Times New Roman" w:hAnsi="Times New Roman" w:eastAsia="宋体" w:cs="Times New Roman"/>
      <w:szCs w:val="24"/>
    </w:rPr>
  </w:style>
  <w:style w:type="character" w:customStyle="1" w:styleId="31">
    <w:name w:val="正文文本首行缩进 2 字符"/>
    <w:basedOn w:val="30"/>
    <w:link w:val="14"/>
    <w:semiHidden/>
    <w:qFormat/>
    <w:uiPriority w:val="99"/>
    <w:rPr>
      <w:rFonts w:ascii="Times New Roman" w:hAnsi="Times New Roman" w:eastAsia="宋体" w:cs="Times New Roman"/>
      <w:szCs w:val="24"/>
    </w:rPr>
  </w:style>
  <w:style w:type="paragraph" w:customStyle="1" w:styleId="32">
    <w:name w:val="四号正文"/>
    <w:basedOn w:val="1"/>
    <w:qFormat/>
    <w:uiPriority w:val="0"/>
    <w:pPr>
      <w:spacing w:line="360" w:lineRule="auto"/>
    </w:pPr>
    <w:rPr>
      <w:rFonts w:ascii="??" w:hAnsi="??"/>
      <w:color w:val="000000"/>
      <w:kern w:val="0"/>
      <w:sz w:val="28"/>
      <w:szCs w:val="21"/>
      <w:lang w:val="zh-CN"/>
    </w:rPr>
  </w:style>
  <w:style w:type="character" w:customStyle="1" w:styleId="33">
    <w:name w:val="页眉 字符"/>
    <w:basedOn w:val="16"/>
    <w:link w:val="10"/>
    <w:qFormat/>
    <w:uiPriority w:val="99"/>
    <w:rPr>
      <w:rFonts w:ascii="Times New Roman" w:hAnsi="Times New Roman" w:eastAsia="宋体" w:cs="Times New Roman"/>
      <w:sz w:val="18"/>
      <w:szCs w:val="18"/>
    </w:rPr>
  </w:style>
  <w:style w:type="character" w:customStyle="1" w:styleId="34">
    <w:name w:val="页脚 字符"/>
    <w:basedOn w:val="16"/>
    <w:link w:val="9"/>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48117573673"/>
          <c:y val="0.0536635706914345"/>
          <c:w val="0.84116500546991"/>
          <c:h val="0.847623412398528"/>
        </c:manualLayout>
      </c:layout>
      <c:barChart>
        <c:barDir val="col"/>
        <c:grouping val="stacked"/>
        <c:varyColors val="0"/>
        <c:ser>
          <c:idx val="0"/>
          <c:order val="0"/>
          <c:tx>
            <c:strRef>
              <c:f>Sheet1!$B$1</c:f>
              <c:strCache>
                <c:ptCount val="1"/>
                <c:pt idx="0">
                  <c:v>列2</c:v>
                </c:pt>
              </c:strCache>
            </c:strRef>
          </c:tx>
          <c:spPr>
            <a:solidFill>
              <a:schemeClr val="accent1"/>
            </a:solidFill>
            <a:ln>
              <a:noFill/>
            </a:ln>
            <a:effectLst/>
            <a:sp3d/>
          </c:spPr>
          <c:invertIfNegative val="0"/>
          <c:dLbls>
            <c:dLbl>
              <c:idx val="0"/>
              <c:layout>
                <c:manualLayout>
                  <c:x val="0.00722369371538647"/>
                  <c:y val="-0.4582043343653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2021年</c:v>
                </c:pt>
                <c:pt idx="1">
                  <c:v>2022年</c:v>
                </c:pt>
              </c:strCache>
            </c:strRef>
          </c:cat>
          <c:val>
            <c:numRef>
              <c:f>Sheet1!$B$2:$B$5</c:f>
              <c:numCache>
                <c:formatCode>General</c:formatCode>
                <c:ptCount val="4"/>
                <c:pt idx="0">
                  <c:v>5518.88</c:v>
                </c:pt>
              </c:numCache>
            </c:numRef>
          </c:val>
        </c:ser>
        <c:ser>
          <c:idx val="1"/>
          <c:order val="1"/>
          <c:tx>
            <c:strRef>
              <c:f>Sheet1!$C$1</c:f>
              <c:strCache>
                <c:ptCount val="1"/>
                <c:pt idx="0">
                  <c:v>列3</c:v>
                </c:pt>
              </c:strCache>
            </c:strRef>
          </c:tx>
          <c:spPr>
            <a:solidFill>
              <a:schemeClr val="accent2"/>
            </a:solidFill>
            <a:ln>
              <a:noFill/>
            </a:ln>
            <a:effectLst/>
            <a:sp3d/>
          </c:spPr>
          <c:invertIfNegative val="0"/>
          <c:dLbls>
            <c:dLbl>
              <c:idx val="1"/>
              <c:layout>
                <c:manualLayout>
                  <c:x val="0.0240789790512882"/>
                  <c:y val="-0.44994840041279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2021年</c:v>
                </c:pt>
                <c:pt idx="1">
                  <c:v>2022年</c:v>
                </c:pt>
              </c:strCache>
            </c:strRef>
          </c:cat>
          <c:val>
            <c:numRef>
              <c:f>Sheet1!$C$2:$C$5</c:f>
              <c:numCache>
                <c:formatCode>General</c:formatCode>
                <c:ptCount val="4"/>
                <c:pt idx="1">
                  <c:v>5921.71</c:v>
                </c:pt>
              </c:numCache>
            </c:numRef>
          </c:val>
        </c:ser>
        <c:dLbls>
          <c:showLegendKey val="0"/>
          <c:showVal val="0"/>
          <c:showCatName val="0"/>
          <c:showSerName val="0"/>
          <c:showPercent val="0"/>
          <c:showBubbleSize val="0"/>
        </c:dLbls>
        <c:gapWidth val="150"/>
        <c:overlap val="100"/>
        <c:axId val="602570272"/>
        <c:axId val="612618128"/>
      </c:barChart>
      <c:catAx>
        <c:axId val="602570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2618128"/>
        <c:crosses val="autoZero"/>
        <c:auto val="1"/>
        <c:lblAlgn val="ctr"/>
        <c:lblOffset val="100"/>
        <c:noMultiLvlLbl val="0"/>
      </c:catAx>
      <c:valAx>
        <c:axId val="61261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257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一般公共预算财政拨款收入</c:v>
                </c:pt>
              </c:strCache>
            </c:strRef>
          </c:tx>
          <c:spPr/>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320081678930514"/>
                  <c:y val="-0.848677831679709"/>
                </c:manualLayout>
              </c:layout>
              <c:tx>
                <c:rich>
                  <a:bodyPr rot="0" spcFirstLastPara="1" vertOverflow="clip" vert="horz" wrap="square" lIns="38100" tIns="19050" rIns="38100" bIns="19050" anchor="ctr" anchorCtr="1"/>
                  <a:lstStyle/>
                  <a:p>
                    <a:fld id="{5ec5edca-8da9-41c1-866d-9489ce735eed}" type="SERIESNAME">
                      <a:t>[SERIES NAME]</a:t>
                    </a:fld>
                    <a:r>
                      <a:t>,</a:t>
                    </a:r>
                    <a:fld id="{fe12c26e-02ee-4de3-9188-b258322b81d2}" type="CATEGORYNAME">
                      <a:t>[CATEGORY NAME]</a:t>
                    </a:fld>
                    <a:endParaRPr lang="zh-CN" altLang="en-US"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1"/>
              <c:showPercent val="1"/>
              <c:showBubbleSize val="0"/>
              <c:extLst>
                <c:ext xmlns:c15="http://schemas.microsoft.com/office/drawing/2012/chart" uri="{CE6537A1-D6FC-4f65-9D91-7224C49458BB}">
                  <c15:layout/>
                </c:ext>
              </c:extLst>
            </c:dLbl>
            <c:numFmt formatCode="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1"/>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Sheet1!$B$2:$B$5</c:f>
              <c:numCache>
                <c:formatCode>General</c:formatCode>
                <c:ptCount val="4"/>
                <c:pt idx="0">
                  <c:v>5475.89</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基本支出</c:v>
                </c:pt>
                <c:pt idx="1">
                  <c:v>项目支出</c:v>
                </c:pt>
              </c:strCache>
            </c:strRef>
          </c:cat>
          <c:val>
            <c:numRef>
              <c:f>Sheet1!$B$2:$B$5</c:f>
              <c:numCache>
                <c:formatCode>General</c:formatCode>
                <c:ptCount val="4"/>
                <c:pt idx="0">
                  <c:v>1591.71</c:v>
                </c:pt>
                <c:pt idx="1">
                  <c:v>4236.33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4122643530623"/>
          <c:y val="0.0226729398763235"/>
          <c:w val="0.893837866943733"/>
          <c:h val="0.855879346351056"/>
        </c:manualLayout>
      </c:layout>
      <c:barChart>
        <c:barDir val="col"/>
        <c:grouping val="stacked"/>
        <c:varyColors val="0"/>
        <c:ser>
          <c:idx val="0"/>
          <c:order val="0"/>
          <c:tx>
            <c:strRef>
              <c:f>Sheet1!$B$1</c:f>
              <c:strCache>
                <c:ptCount val="1"/>
                <c:pt idx="0">
                  <c:v>系列 1</c:v>
                </c:pt>
              </c:strCache>
            </c:strRef>
          </c:tx>
          <c:spPr>
            <a:solidFill>
              <a:schemeClr val="accent1"/>
            </a:solidFill>
            <a:ln>
              <a:noFill/>
            </a:ln>
            <a:effectLst/>
            <a:sp3d/>
          </c:spPr>
          <c:invertIfNegative val="0"/>
          <c:dLbls>
            <c:dLbl>
              <c:idx val="0"/>
              <c:layout>
                <c:manualLayout>
                  <c:x val="0"/>
                  <c:y val="-0.44994840041279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2021年</c:v>
                </c:pt>
                <c:pt idx="1">
                  <c:v>2022年</c:v>
                </c:pt>
              </c:strCache>
            </c:strRef>
          </c:cat>
          <c:val>
            <c:numRef>
              <c:f>Sheet1!$B$2:$B$5</c:f>
              <c:numCache>
                <c:formatCode>General</c:formatCode>
                <c:ptCount val="4"/>
                <c:pt idx="0">
                  <c:v>5518.58</c:v>
                </c:pt>
              </c:numCache>
            </c:numRef>
          </c:val>
        </c:ser>
        <c:ser>
          <c:idx val="1"/>
          <c:order val="1"/>
          <c:tx>
            <c:strRef>
              <c:f>Sheet1!$C$1</c:f>
              <c:strCache>
                <c:ptCount val="1"/>
                <c:pt idx="0">
                  <c:v>列1</c:v>
                </c:pt>
              </c:strCache>
            </c:strRef>
          </c:tx>
          <c:spPr>
            <a:solidFill>
              <a:schemeClr val="accent2"/>
            </a:solidFill>
            <a:ln>
              <a:noFill/>
            </a:ln>
            <a:effectLst/>
            <a:sp3d/>
          </c:spPr>
          <c:invertIfNegative val="0"/>
          <c:dLbls>
            <c:dLbl>
              <c:idx val="1"/>
              <c:layout>
                <c:manualLayout>
                  <c:x val="0.0144473874307729"/>
                  <c:y val="-0.4334365325077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2021年</c:v>
                </c:pt>
                <c:pt idx="1">
                  <c:v>2022年</c:v>
                </c:pt>
              </c:strCache>
            </c:strRef>
          </c:cat>
          <c:val>
            <c:numRef>
              <c:f>Sheet1!$C$2:$C$5</c:f>
              <c:numCache>
                <c:formatCode>General</c:formatCode>
                <c:ptCount val="4"/>
                <c:pt idx="1">
                  <c:v>5921.7</c:v>
                </c:pt>
              </c:numCache>
            </c:numRef>
          </c:val>
        </c:ser>
        <c:dLbls>
          <c:showLegendKey val="0"/>
          <c:showVal val="1"/>
          <c:showCatName val="0"/>
          <c:showSerName val="0"/>
          <c:showPercent val="0"/>
          <c:showBubbleSize val="0"/>
        </c:dLbls>
        <c:gapWidth val="150"/>
        <c:overlap val="100"/>
        <c:axId val="574831360"/>
        <c:axId val="609367888"/>
      </c:barChart>
      <c:catAx>
        <c:axId val="574831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9367888"/>
        <c:crosses val="autoZero"/>
        <c:auto val="1"/>
        <c:lblAlgn val="ctr"/>
        <c:lblOffset val="100"/>
        <c:noMultiLvlLbl val="0"/>
      </c:catAx>
      <c:valAx>
        <c:axId val="60936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4831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spPr>
            <a:solidFill>
              <a:schemeClr val="accent1"/>
            </a:solidFill>
            <a:ln>
              <a:noFill/>
            </a:ln>
            <a:effectLst/>
            <a:sp3d/>
          </c:spPr>
          <c:invertIfNegative val="0"/>
          <c:dLbls>
            <c:dLbl>
              <c:idx val="0"/>
              <c:layout>
                <c:manualLayout>
                  <c:x val="0.0192631832410306"/>
                  <c:y val="-0.42105263157894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2021年</c:v>
                </c:pt>
                <c:pt idx="1">
                  <c:v>2022年</c:v>
                </c:pt>
              </c:strCache>
            </c:strRef>
          </c:cat>
          <c:val>
            <c:numRef>
              <c:f>Sheet1!$B$2:$B$5</c:f>
              <c:numCache>
                <c:formatCode>General</c:formatCode>
                <c:ptCount val="4"/>
                <c:pt idx="0">
                  <c:v>5336.15</c:v>
                </c:pt>
              </c:numCache>
            </c:numRef>
          </c:val>
        </c:ser>
        <c:ser>
          <c:idx val="1"/>
          <c:order val="1"/>
          <c:tx>
            <c:strRef>
              <c:f>Sheet1!$C$1</c:f>
              <c:strCache>
                <c:ptCount val="1"/>
                <c:pt idx="0">
                  <c:v>系列 2</c:v>
                </c:pt>
              </c:strCache>
            </c:strRef>
          </c:tx>
          <c:spPr>
            <a:solidFill>
              <a:schemeClr val="accent2"/>
            </a:solidFill>
            <a:ln>
              <a:noFill/>
            </a:ln>
            <a:effectLst/>
            <a:sp3d/>
          </c:spPr>
          <c:invertIfNegative val="0"/>
          <c:dLbls>
            <c:dLbl>
              <c:idx val="1"/>
              <c:layout>
                <c:manualLayout>
                  <c:x val="0.00963159162051525"/>
                  <c:y val="-0.4458204334365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2021年</c:v>
                </c:pt>
                <c:pt idx="1">
                  <c:v>2022年</c:v>
                </c:pt>
              </c:strCache>
            </c:strRef>
          </c:cat>
          <c:val>
            <c:numRef>
              <c:f>Sheet1!$C$2:$C$5</c:f>
              <c:numCache>
                <c:formatCode>General</c:formatCode>
                <c:ptCount val="4"/>
                <c:pt idx="1">
                  <c:v>5828.04</c:v>
                </c:pt>
              </c:numCache>
            </c:numRef>
          </c:val>
        </c:ser>
        <c:ser>
          <c:idx val="2"/>
          <c:order val="2"/>
          <c:tx>
            <c:strRef>
              <c:f>Sheet1!$D$1</c:f>
              <c:strCache>
                <c:ptCount val="1"/>
                <c:pt idx="0">
                  <c:v>列1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2021年</c:v>
                </c:pt>
                <c:pt idx="1">
                  <c:v>2022年</c:v>
                </c:pt>
              </c:strCache>
            </c:strRef>
          </c:cat>
          <c:val>
            <c:numRef>
              <c:f>Sheet1!$D$2:$D$5</c:f>
              <c:numCache>
                <c:formatCode>General</c:formatCode>
                <c:ptCount val="4"/>
              </c:numCache>
            </c:numRef>
          </c:val>
        </c:ser>
        <c:dLbls>
          <c:showLegendKey val="0"/>
          <c:showVal val="1"/>
          <c:showCatName val="0"/>
          <c:showSerName val="0"/>
          <c:showPercent val="0"/>
          <c:showBubbleSize val="0"/>
        </c:dLbls>
        <c:gapWidth val="150"/>
        <c:overlap val="100"/>
        <c:axId val="606475136"/>
        <c:axId val="814083088"/>
      </c:barChart>
      <c:catAx>
        <c:axId val="606475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083088"/>
        <c:crosses val="autoZero"/>
        <c:auto val="1"/>
        <c:lblAlgn val="ctr"/>
        <c:lblOffset val="100"/>
        <c:noMultiLvlLbl val="0"/>
      </c:catAx>
      <c:valAx>
        <c:axId val="814083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6475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18300024078979"/>
                  <c:y val="0.0247678018575851"/>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lang="zh-CN" sz="900" b="0" i="0" u="none" strike="noStrike" kern="1200" baseline="0">
                      <a:solidFill>
                        <a:schemeClr val="dk1">
                          <a:lumMod val="65000"/>
                          <a:lumOff val="3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299237246199"/>
                      <c:h val="0.118679700641135"/>
                    </c:manualLayout>
                  </c15:layout>
                </c:ext>
              </c:extLst>
            </c:dLbl>
            <c:dLbl>
              <c:idx val="2"/>
              <c:layout>
                <c:manualLayout>
                  <c:x val="-0.137250180592343"/>
                  <c:y val="0.0041279669762641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3"/>
                <c:pt idx="0">
                  <c:v>社会保障和就业支出</c:v>
                </c:pt>
                <c:pt idx="1">
                  <c:v>卫生健康支出</c:v>
                </c:pt>
                <c:pt idx="2">
                  <c:v>住房保障支出</c:v>
                </c:pt>
              </c:strCache>
            </c:strRef>
          </c:cat>
          <c:val>
            <c:numRef>
              <c:f>Sheet1!$B$2:$B$5</c:f>
              <c:numCache>
                <c:formatCode>General</c:formatCode>
                <c:ptCount val="4"/>
                <c:pt idx="0">
                  <c:v>172.24</c:v>
                </c:pt>
                <c:pt idx="1">
                  <c:v>5542.76</c:v>
                </c:pt>
                <c:pt idx="2">
                  <c:v>113.04</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98"/>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tx>
                <c:rich>
                  <a:bodyPr rot="0" spcFirstLastPara="1" vertOverflow="clip" vert="horz" wrap="square" lIns="38100" tIns="19050" rIns="38100" bIns="19050" anchor="ctr" anchorCtr="1"/>
                  <a:lstStyle/>
                  <a:p>
                    <a:fld id="{18b5100d-3b8b-46e6-a29e-733d4cd476ed}" type="CATEGORYNAME">
                      <a:t>[CATEGORY NAME]</a:t>
                    </a:fld>
                    <a:r>
                      <a:t>,</a:t>
                    </a:r>
                    <a:fld id="{79acbda1-3184-4dfa-897a-d31d6bb77d5e}"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1" vertOverflow="clip" vert="horz" wrap="square" lIns="38100" tIns="19050" rIns="38100" bIns="19050" anchor="ctr" anchorCtr="1"/>
                  <a:lstStyle/>
                  <a:p>
                    <a:fld id="{84d47fd2-7a11-4c18-b59b-a02b7dbbe14b}" type="CATEGORYNAME">
                      <a:t>[CATEGORY NAME]</a:t>
                    </a:fld>
                    <a:r>
                      <a:t>,</a:t>
                    </a:r>
                    <a:fld id="{929cf73d-cc59-47e4-a46f-5fdcc1d901bd}"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2"/>
                <c:pt idx="0">
                  <c:v>公务用车购置及运行维护费支出</c:v>
                </c:pt>
                <c:pt idx="1">
                  <c:v>公务接待费支出</c:v>
                </c:pt>
              </c:strCache>
            </c:strRef>
          </c:cat>
          <c:val>
            <c:numRef>
              <c:f>Sheet1!$B$2:$B$5</c:f>
              <c:numCache>
                <c:formatCode>General</c:formatCode>
                <c:ptCount val="4"/>
                <c:pt idx="0">
                  <c:v>13.19</c:v>
                </c:pt>
                <c:pt idx="1">
                  <c:v>0.18</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22755</Words>
  <Characters>24566</Characters>
  <Lines>179</Lines>
  <Paragraphs>50</Paragraphs>
  <TotalTime>1</TotalTime>
  <ScaleCrop>false</ScaleCrop>
  <LinksUpToDate>false</LinksUpToDate>
  <CharactersWithSpaces>24718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2023-10-26T00:29:00Z</dcterms:created>
  <dc:creator>微软用户</dc:creator>
  <cp:lastModifiedBy>企业用户_592795982</cp:lastModifiedBy>
  <dcterms:modified xsi:type="dcterms:W3CDTF">2024-08-01T07:50:36Z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A5524B461FFE441F9584552C8DE10A65_12</vt:lpwstr>
  </property>
</Properties>
</file>