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000000"/>
          <w:sz w:val="72"/>
          <w:szCs w:val="72"/>
          <w:lang w:val="en-US" w:eastAsia="zh-CN"/>
        </w:rPr>
      </w:pPr>
    </w:p>
    <w:p>
      <w:pPr>
        <w:jc w:val="center"/>
        <w:rPr>
          <w:rFonts w:hint="eastAsia" w:ascii="方正小标宋_GBK" w:hAnsi="方正小标宋_GBK" w:eastAsia="方正小标宋_GBK" w:cs="方正小标宋_GBK"/>
          <w:color w:val="000000"/>
          <w:sz w:val="72"/>
          <w:szCs w:val="72"/>
          <w:lang w:val="en-US" w:eastAsia="zh-CN"/>
        </w:rPr>
      </w:pPr>
    </w:p>
    <w:p>
      <w:pPr>
        <w:jc w:val="center"/>
        <w:rPr>
          <w:rFonts w:hint="eastAsia" w:ascii="方正小标宋_GBK" w:hAnsi="方正小标宋_GBK" w:eastAsia="方正小标宋_GBK" w:cs="方正小标宋_GBK"/>
          <w:color w:val="000000"/>
          <w:sz w:val="72"/>
          <w:szCs w:val="72"/>
          <w:lang w:val="en-US" w:eastAsia="zh-CN"/>
        </w:rPr>
      </w:pPr>
    </w:p>
    <w:p>
      <w:pPr>
        <w:jc w:val="center"/>
        <w:rPr>
          <w:rFonts w:hint="eastAsia" w:ascii="方正小标宋_GBK" w:hAnsi="方正小标宋_GBK" w:eastAsia="方正小标宋_GBK" w:cs="方正小标宋_GBK"/>
          <w:color w:val="000000"/>
          <w:sz w:val="72"/>
          <w:szCs w:val="72"/>
          <w:lang w:val="en-US" w:eastAsia="zh-CN"/>
        </w:rPr>
      </w:pPr>
      <w:r>
        <w:rPr>
          <w:rFonts w:hint="eastAsia" w:ascii="方正小标宋_GBK" w:hAnsi="方正小标宋_GBK" w:eastAsia="方正小标宋_GBK" w:cs="方正小标宋_GBK"/>
          <w:color w:val="000000"/>
          <w:sz w:val="72"/>
          <w:szCs w:val="72"/>
          <w:lang w:val="en-US" w:eastAsia="zh-CN"/>
        </w:rPr>
        <w:t>攀枝花市西区档案馆</w:t>
      </w:r>
    </w:p>
    <w:p>
      <w:pPr>
        <w:jc w:val="center"/>
        <w:rPr>
          <w:rFonts w:hint="eastAsia" w:ascii="方正小标宋_GBK" w:hAnsi="方正小标宋_GBK" w:eastAsia="方正小标宋_GBK" w:cs="方正小标宋_GBK"/>
          <w:color w:val="000000"/>
          <w:sz w:val="72"/>
          <w:szCs w:val="72"/>
          <w:lang w:val="en-US" w:eastAsia="zh-CN"/>
        </w:rPr>
      </w:pPr>
      <w:r>
        <w:rPr>
          <w:rFonts w:hint="eastAsia" w:ascii="方正小标宋_GBK" w:hAnsi="方正小标宋_GBK" w:eastAsia="方正小标宋_GBK" w:cs="方正小标宋_GBK"/>
          <w:color w:val="000000"/>
          <w:sz w:val="72"/>
          <w:szCs w:val="72"/>
          <w:lang w:val="en-US" w:eastAsia="zh-CN"/>
        </w:rPr>
        <w:t>2023年部门预算</w:t>
      </w:r>
    </w:p>
    <w:p>
      <w:pPr>
        <w:jc w:val="center"/>
        <w:rPr>
          <w:rFonts w:hint="eastAsia" w:ascii="方正小标宋_GBK" w:hAnsi="方正小标宋_GBK" w:eastAsia="方正小标宋_GBK" w:cs="方正小标宋_GBK"/>
          <w:color w:val="000000"/>
          <w:sz w:val="72"/>
          <w:szCs w:val="72"/>
          <w:lang w:val="en-US" w:eastAsia="zh-CN"/>
        </w:rPr>
      </w:pPr>
    </w:p>
    <w:p>
      <w:pPr>
        <w:jc w:val="center"/>
        <w:rPr>
          <w:rFonts w:hint="eastAsia" w:ascii="方正小标宋_GBK" w:hAnsi="方正小标宋_GBK" w:eastAsia="方正小标宋_GBK" w:cs="方正小标宋_GBK"/>
          <w:color w:val="000000"/>
          <w:sz w:val="72"/>
          <w:szCs w:val="72"/>
          <w:lang w:val="en-US" w:eastAsia="zh-CN"/>
        </w:rPr>
      </w:pPr>
    </w:p>
    <w:p>
      <w:pPr>
        <w:jc w:val="center"/>
        <w:rPr>
          <w:rFonts w:hint="eastAsia" w:ascii="方正小标宋_GBK" w:hAnsi="方正小标宋_GBK" w:eastAsia="方正小标宋_GBK" w:cs="方正小标宋_GBK"/>
          <w:color w:val="000000"/>
          <w:sz w:val="72"/>
          <w:szCs w:val="72"/>
          <w:lang w:val="en-US" w:eastAsia="zh-CN"/>
        </w:rPr>
      </w:pPr>
    </w:p>
    <w:p>
      <w:pPr>
        <w:jc w:val="center"/>
        <w:rPr>
          <w:rFonts w:hint="eastAsia" w:ascii="方正小标宋_GBK" w:hAnsi="方正小标宋_GBK" w:eastAsia="方正小标宋_GBK" w:cs="方正小标宋_GBK"/>
          <w:color w:val="000000"/>
          <w:sz w:val="72"/>
          <w:szCs w:val="72"/>
          <w:lang w:val="en-US" w:eastAsia="zh-CN"/>
        </w:rPr>
      </w:pPr>
    </w:p>
    <w:p>
      <w:pPr>
        <w:jc w:val="center"/>
        <w:rPr>
          <w:rFonts w:hint="eastAsia" w:ascii="方正小标宋_GBK" w:hAnsi="方正小标宋_GBK" w:eastAsia="方正小标宋_GBK" w:cs="方正小标宋_GBK"/>
          <w:color w:val="000000"/>
          <w:sz w:val="72"/>
          <w:szCs w:val="72"/>
          <w:lang w:val="en-US" w:eastAsia="zh-CN"/>
        </w:rPr>
      </w:pPr>
    </w:p>
    <w:sdt>
      <w:sdtPr>
        <w:rPr>
          <w:rFonts w:hint="eastAsia" w:ascii="方正小标宋_GBK" w:hAnsi="方正小标宋_GBK" w:eastAsia="方正小标宋_GBK" w:cs="方正小标宋_GBK"/>
          <w:color w:val="000000"/>
          <w:sz w:val="44"/>
          <w:szCs w:val="44"/>
          <w:lang w:val="en-US" w:eastAsia="zh-CN"/>
        </w:rPr>
        <w:id w:val="147480833"/>
        <w15:color w:val="DBDBDB"/>
        <w:docPartObj>
          <w:docPartGallery w:val="Table of Contents"/>
          <w:docPartUnique/>
        </w:docPartObj>
      </w:sdtPr>
      <w:sdtEndPr>
        <w:rPr>
          <w:rFonts w:hint="eastAsia" w:asciiTheme="minorHAnsi" w:hAnsiTheme="minorHAnsi" w:eastAsiaTheme="minorEastAsia" w:cstheme="minorBidi"/>
          <w:b/>
          <w:color w:val="000000"/>
          <w:kern w:val="2"/>
          <w:sz w:val="28"/>
          <w:szCs w:val="36"/>
          <w:lang w:val="en-US" w:eastAsia="zh-CN" w:bidi="ar-SA"/>
        </w:rPr>
      </w:sdtEndPr>
      <w:sdtContent>
        <w:p>
          <w:pPr>
            <w:jc w:val="center"/>
            <w:outlineLvl w:val="0"/>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目录</w:t>
          </w:r>
        </w:p>
        <w:p>
          <w:pPr>
            <w:pStyle w:val="6"/>
            <w:tabs>
              <w:tab w:val="right" w:leader="dot" w:pos="8845"/>
            </w:tabs>
            <w:rPr>
              <w:b/>
              <w:sz w:val="28"/>
              <w:szCs w:val="28"/>
            </w:rPr>
          </w:pPr>
          <w:r>
            <w:rPr>
              <w:sz w:val="28"/>
              <w:szCs w:val="28"/>
            </w:rPr>
            <w:fldChar w:fldCharType="begin"/>
          </w:r>
          <w:r>
            <w:rPr>
              <w:sz w:val="28"/>
              <w:szCs w:val="28"/>
            </w:rPr>
            <w:instrText xml:space="preserve">TOC \o "1-2" \h \u </w:instrText>
          </w:r>
          <w:r>
            <w:rPr>
              <w:sz w:val="28"/>
              <w:szCs w:val="28"/>
            </w:rPr>
            <w:fldChar w:fldCharType="separate"/>
          </w:r>
          <w:r>
            <w:rPr>
              <w:b/>
              <w:sz w:val="28"/>
              <w:szCs w:val="28"/>
            </w:rPr>
            <w:fldChar w:fldCharType="begin"/>
          </w:r>
          <w:r>
            <w:rPr>
              <w:b/>
              <w:sz w:val="28"/>
              <w:szCs w:val="28"/>
            </w:rPr>
            <w:instrText xml:space="preserve"> HYPERLINK \l _Toc9511 </w:instrText>
          </w:r>
          <w:r>
            <w:rPr>
              <w:b/>
              <w:sz w:val="28"/>
              <w:szCs w:val="28"/>
            </w:rPr>
            <w:fldChar w:fldCharType="separate"/>
          </w:r>
          <w:r>
            <w:rPr>
              <w:rFonts w:hint="eastAsia" w:ascii="方正小标宋_GBK" w:hAnsi="方正小标宋_GBK" w:eastAsia="方正小标宋_GBK" w:cs="方正小标宋_GBK"/>
              <w:b/>
              <w:sz w:val="28"/>
              <w:szCs w:val="72"/>
              <w:lang w:val="en-US" w:eastAsia="zh-CN"/>
            </w:rPr>
            <w:t>第一部分  攀枝花市西区档案馆概况</w:t>
          </w:r>
          <w:r>
            <w:rPr>
              <w:b/>
              <w:sz w:val="28"/>
              <w:szCs w:val="28"/>
            </w:rPr>
            <w:tab/>
          </w:r>
          <w:r>
            <w:rPr>
              <w:b/>
              <w:sz w:val="28"/>
              <w:szCs w:val="28"/>
            </w:rPr>
            <w:fldChar w:fldCharType="begin"/>
          </w:r>
          <w:r>
            <w:rPr>
              <w:b/>
              <w:sz w:val="28"/>
              <w:szCs w:val="28"/>
            </w:rPr>
            <w:instrText xml:space="preserve"> PAGEREF _Toc9511 \h </w:instrText>
          </w:r>
          <w:r>
            <w:rPr>
              <w:b/>
              <w:sz w:val="28"/>
              <w:szCs w:val="28"/>
            </w:rPr>
            <w:fldChar w:fldCharType="separate"/>
          </w:r>
          <w:r>
            <w:rPr>
              <w:b/>
              <w:sz w:val="28"/>
              <w:szCs w:val="28"/>
            </w:rPr>
            <w:t>3</w:t>
          </w:r>
          <w:r>
            <w:rPr>
              <w:b/>
              <w:sz w:val="28"/>
              <w:szCs w:val="28"/>
            </w:rPr>
            <w:fldChar w:fldCharType="end"/>
          </w:r>
          <w:r>
            <w:rPr>
              <w:b/>
              <w:sz w:val="28"/>
              <w:szCs w:val="28"/>
            </w:rPr>
            <w:fldChar w:fldCharType="end"/>
          </w:r>
        </w:p>
        <w:p>
          <w:pPr>
            <w:pStyle w:val="7"/>
            <w:tabs>
              <w:tab w:val="right" w:leader="dot" w:pos="8845"/>
            </w:tabs>
            <w:rPr>
              <w:sz w:val="28"/>
              <w:szCs w:val="28"/>
            </w:rPr>
          </w:pPr>
          <w:r>
            <w:rPr>
              <w:sz w:val="28"/>
              <w:szCs w:val="28"/>
            </w:rPr>
            <w:fldChar w:fldCharType="begin"/>
          </w:r>
          <w:r>
            <w:rPr>
              <w:sz w:val="28"/>
              <w:szCs w:val="28"/>
            </w:rPr>
            <w:instrText xml:space="preserve"> HYPERLINK \l _Toc5105 </w:instrText>
          </w:r>
          <w:r>
            <w:rPr>
              <w:sz w:val="28"/>
              <w:szCs w:val="28"/>
            </w:rPr>
            <w:fldChar w:fldCharType="separate"/>
          </w:r>
          <w:r>
            <w:rPr>
              <w:rFonts w:hint="eastAsia" w:ascii="Times New Roman" w:hAnsi="Times New Roman" w:eastAsia="黑体" w:cs="Times New Roman"/>
              <w:sz w:val="28"/>
              <w:szCs w:val="48"/>
            </w:rPr>
            <w:t>一、基本职能及主要工作</w:t>
          </w:r>
          <w:r>
            <w:rPr>
              <w:sz w:val="28"/>
              <w:szCs w:val="28"/>
            </w:rPr>
            <w:tab/>
          </w:r>
          <w:r>
            <w:rPr>
              <w:sz w:val="28"/>
              <w:szCs w:val="28"/>
            </w:rPr>
            <w:fldChar w:fldCharType="begin"/>
          </w:r>
          <w:r>
            <w:rPr>
              <w:sz w:val="28"/>
              <w:szCs w:val="28"/>
            </w:rPr>
            <w:instrText xml:space="preserve"> PAGEREF _Toc5105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7"/>
            <w:tabs>
              <w:tab w:val="right" w:leader="dot" w:pos="8845"/>
            </w:tabs>
            <w:rPr>
              <w:sz w:val="28"/>
              <w:szCs w:val="28"/>
            </w:rPr>
          </w:pPr>
          <w:r>
            <w:rPr>
              <w:sz w:val="28"/>
              <w:szCs w:val="28"/>
            </w:rPr>
            <w:fldChar w:fldCharType="begin"/>
          </w:r>
          <w:r>
            <w:rPr>
              <w:sz w:val="28"/>
              <w:szCs w:val="28"/>
            </w:rPr>
            <w:instrText xml:space="preserve"> HYPERLINK \l _Toc2754 </w:instrText>
          </w:r>
          <w:r>
            <w:rPr>
              <w:sz w:val="28"/>
              <w:szCs w:val="28"/>
            </w:rPr>
            <w:fldChar w:fldCharType="separate"/>
          </w:r>
          <w:r>
            <w:rPr>
              <w:rFonts w:hint="eastAsia" w:ascii="Times New Roman" w:hAnsi="Times New Roman" w:eastAsia="黑体" w:cs="Times New Roman"/>
              <w:sz w:val="28"/>
              <w:szCs w:val="48"/>
            </w:rPr>
            <w:t>二、机构设置情况</w:t>
          </w:r>
          <w:r>
            <w:rPr>
              <w:sz w:val="28"/>
              <w:szCs w:val="28"/>
            </w:rPr>
            <w:tab/>
          </w:r>
          <w:r>
            <w:rPr>
              <w:sz w:val="28"/>
              <w:szCs w:val="28"/>
            </w:rPr>
            <w:fldChar w:fldCharType="begin"/>
          </w:r>
          <w:r>
            <w:rPr>
              <w:sz w:val="28"/>
              <w:szCs w:val="28"/>
            </w:rPr>
            <w:instrText xml:space="preserve"> PAGEREF _Toc2754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6"/>
            <w:tabs>
              <w:tab w:val="right" w:leader="dot" w:pos="8845"/>
            </w:tabs>
            <w:rPr>
              <w:b/>
              <w:sz w:val="28"/>
              <w:szCs w:val="28"/>
            </w:rPr>
          </w:pPr>
          <w:r>
            <w:rPr>
              <w:b/>
              <w:sz w:val="28"/>
              <w:szCs w:val="28"/>
            </w:rPr>
            <w:fldChar w:fldCharType="begin"/>
          </w:r>
          <w:r>
            <w:rPr>
              <w:b/>
              <w:sz w:val="28"/>
              <w:szCs w:val="28"/>
            </w:rPr>
            <w:instrText xml:space="preserve"> HYPERLINK \l _Toc32754 </w:instrText>
          </w:r>
          <w:r>
            <w:rPr>
              <w:b/>
              <w:sz w:val="28"/>
              <w:szCs w:val="28"/>
            </w:rPr>
            <w:fldChar w:fldCharType="separate"/>
          </w:r>
          <w:r>
            <w:rPr>
              <w:rFonts w:hint="eastAsia" w:ascii="方正小标宋_GBK" w:hAnsi="方正小标宋_GBK" w:eastAsia="方正小标宋_GBK" w:cs="方正小标宋_GBK"/>
              <w:b/>
              <w:sz w:val="28"/>
              <w:szCs w:val="72"/>
            </w:rPr>
            <w:t>第二部分  攀枝花市西区档案馆2023年部门预算情况说明</w:t>
          </w:r>
          <w:r>
            <w:rPr>
              <w:b/>
              <w:sz w:val="28"/>
              <w:szCs w:val="28"/>
            </w:rPr>
            <w:tab/>
          </w:r>
          <w:r>
            <w:rPr>
              <w:b/>
              <w:sz w:val="28"/>
              <w:szCs w:val="28"/>
            </w:rPr>
            <w:fldChar w:fldCharType="begin"/>
          </w:r>
          <w:r>
            <w:rPr>
              <w:b/>
              <w:sz w:val="28"/>
              <w:szCs w:val="28"/>
            </w:rPr>
            <w:instrText xml:space="preserve"> PAGEREF _Toc32754 \h </w:instrText>
          </w:r>
          <w:r>
            <w:rPr>
              <w:b/>
              <w:sz w:val="28"/>
              <w:szCs w:val="28"/>
            </w:rPr>
            <w:fldChar w:fldCharType="separate"/>
          </w:r>
          <w:r>
            <w:rPr>
              <w:b/>
              <w:sz w:val="28"/>
              <w:szCs w:val="28"/>
            </w:rPr>
            <w:t>5</w:t>
          </w:r>
          <w:r>
            <w:rPr>
              <w:b/>
              <w:sz w:val="28"/>
              <w:szCs w:val="28"/>
            </w:rPr>
            <w:fldChar w:fldCharType="end"/>
          </w:r>
          <w:r>
            <w:rPr>
              <w:b/>
              <w:sz w:val="28"/>
              <w:szCs w:val="28"/>
            </w:rPr>
            <w:fldChar w:fldCharType="end"/>
          </w:r>
        </w:p>
        <w:p>
          <w:pPr>
            <w:pStyle w:val="7"/>
            <w:tabs>
              <w:tab w:val="right" w:leader="dot" w:pos="8845"/>
            </w:tabs>
            <w:rPr>
              <w:sz w:val="28"/>
              <w:szCs w:val="28"/>
            </w:rPr>
          </w:pPr>
          <w:r>
            <w:rPr>
              <w:sz w:val="28"/>
              <w:szCs w:val="28"/>
            </w:rPr>
            <w:fldChar w:fldCharType="begin"/>
          </w:r>
          <w:r>
            <w:rPr>
              <w:sz w:val="28"/>
              <w:szCs w:val="28"/>
            </w:rPr>
            <w:instrText xml:space="preserve"> HYPERLINK \l _Toc27113 </w:instrText>
          </w:r>
          <w:r>
            <w:rPr>
              <w:sz w:val="28"/>
              <w:szCs w:val="28"/>
            </w:rPr>
            <w:fldChar w:fldCharType="separate"/>
          </w:r>
          <w:r>
            <w:rPr>
              <w:rFonts w:hint="eastAsia" w:ascii="Times New Roman" w:hAnsi="Times New Roman" w:eastAsia="黑体" w:cs="Times New Roman"/>
              <w:sz w:val="28"/>
              <w:szCs w:val="48"/>
            </w:rPr>
            <w:t>一、收支预算总体情况</w:t>
          </w:r>
          <w:r>
            <w:rPr>
              <w:sz w:val="28"/>
              <w:szCs w:val="28"/>
            </w:rPr>
            <w:tab/>
          </w:r>
          <w:r>
            <w:rPr>
              <w:sz w:val="28"/>
              <w:szCs w:val="28"/>
            </w:rPr>
            <w:fldChar w:fldCharType="begin"/>
          </w:r>
          <w:r>
            <w:rPr>
              <w:sz w:val="28"/>
              <w:szCs w:val="28"/>
            </w:rPr>
            <w:instrText xml:space="preserve"> PAGEREF _Toc27113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7"/>
            <w:tabs>
              <w:tab w:val="right" w:leader="dot" w:pos="8845"/>
            </w:tabs>
            <w:rPr>
              <w:sz w:val="28"/>
              <w:szCs w:val="28"/>
            </w:rPr>
          </w:pPr>
          <w:r>
            <w:rPr>
              <w:sz w:val="28"/>
              <w:szCs w:val="28"/>
            </w:rPr>
            <w:fldChar w:fldCharType="begin"/>
          </w:r>
          <w:r>
            <w:rPr>
              <w:sz w:val="28"/>
              <w:szCs w:val="28"/>
            </w:rPr>
            <w:instrText xml:space="preserve"> HYPERLINK \l _Toc3101 </w:instrText>
          </w:r>
          <w:r>
            <w:rPr>
              <w:sz w:val="28"/>
              <w:szCs w:val="28"/>
            </w:rPr>
            <w:fldChar w:fldCharType="separate"/>
          </w:r>
          <w:r>
            <w:rPr>
              <w:rFonts w:hint="eastAsia" w:ascii="Times New Roman" w:hAnsi="Times New Roman" w:eastAsia="黑体" w:cs="Times New Roman"/>
              <w:sz w:val="28"/>
              <w:szCs w:val="48"/>
            </w:rPr>
            <w:t>二、财政拨款收支预算情况说明</w:t>
          </w:r>
          <w:r>
            <w:rPr>
              <w:sz w:val="28"/>
              <w:szCs w:val="28"/>
            </w:rPr>
            <w:tab/>
          </w:r>
          <w:r>
            <w:rPr>
              <w:sz w:val="28"/>
              <w:szCs w:val="28"/>
            </w:rPr>
            <w:fldChar w:fldCharType="begin"/>
          </w:r>
          <w:r>
            <w:rPr>
              <w:sz w:val="28"/>
              <w:szCs w:val="28"/>
            </w:rPr>
            <w:instrText xml:space="preserve"> PAGEREF _Toc3101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7"/>
            <w:tabs>
              <w:tab w:val="right" w:leader="dot" w:pos="8845"/>
            </w:tabs>
            <w:rPr>
              <w:sz w:val="28"/>
              <w:szCs w:val="28"/>
            </w:rPr>
          </w:pPr>
          <w:r>
            <w:rPr>
              <w:sz w:val="28"/>
              <w:szCs w:val="28"/>
            </w:rPr>
            <w:fldChar w:fldCharType="begin"/>
          </w:r>
          <w:r>
            <w:rPr>
              <w:sz w:val="28"/>
              <w:szCs w:val="28"/>
            </w:rPr>
            <w:instrText xml:space="preserve"> HYPERLINK \l _Toc3877 </w:instrText>
          </w:r>
          <w:r>
            <w:rPr>
              <w:sz w:val="28"/>
              <w:szCs w:val="28"/>
            </w:rPr>
            <w:fldChar w:fldCharType="separate"/>
          </w:r>
          <w:r>
            <w:rPr>
              <w:rFonts w:hint="eastAsia" w:ascii="Times New Roman" w:hAnsi="Times New Roman" w:eastAsia="黑体" w:cs="Times New Roman"/>
              <w:sz w:val="28"/>
              <w:szCs w:val="48"/>
            </w:rPr>
            <w:t>三、一般公共预算当年拨款情况说明</w:t>
          </w:r>
          <w:r>
            <w:rPr>
              <w:sz w:val="28"/>
              <w:szCs w:val="28"/>
            </w:rPr>
            <w:tab/>
          </w:r>
          <w:r>
            <w:rPr>
              <w:sz w:val="28"/>
              <w:szCs w:val="28"/>
            </w:rPr>
            <w:fldChar w:fldCharType="begin"/>
          </w:r>
          <w:r>
            <w:rPr>
              <w:sz w:val="28"/>
              <w:szCs w:val="28"/>
            </w:rPr>
            <w:instrText xml:space="preserve"> PAGEREF _Toc3877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7"/>
            <w:tabs>
              <w:tab w:val="right" w:leader="dot" w:pos="8845"/>
            </w:tabs>
            <w:rPr>
              <w:sz w:val="28"/>
              <w:szCs w:val="28"/>
            </w:rPr>
          </w:pPr>
          <w:r>
            <w:rPr>
              <w:sz w:val="28"/>
              <w:szCs w:val="28"/>
            </w:rPr>
            <w:fldChar w:fldCharType="begin"/>
          </w:r>
          <w:r>
            <w:rPr>
              <w:sz w:val="28"/>
              <w:szCs w:val="28"/>
            </w:rPr>
            <w:instrText xml:space="preserve"> HYPERLINK \l _Toc27476 </w:instrText>
          </w:r>
          <w:r>
            <w:rPr>
              <w:sz w:val="28"/>
              <w:szCs w:val="28"/>
            </w:rPr>
            <w:fldChar w:fldCharType="separate"/>
          </w:r>
          <w:r>
            <w:rPr>
              <w:rFonts w:hint="eastAsia" w:ascii="Times New Roman" w:hAnsi="Times New Roman" w:eastAsia="黑体" w:cs="Times New Roman"/>
              <w:sz w:val="28"/>
              <w:szCs w:val="48"/>
            </w:rPr>
            <w:t>四、一般公共预算基本支出情况说明</w:t>
          </w:r>
          <w:r>
            <w:rPr>
              <w:sz w:val="28"/>
              <w:szCs w:val="28"/>
            </w:rPr>
            <w:tab/>
          </w:r>
          <w:r>
            <w:rPr>
              <w:sz w:val="28"/>
              <w:szCs w:val="28"/>
            </w:rPr>
            <w:fldChar w:fldCharType="begin"/>
          </w:r>
          <w:r>
            <w:rPr>
              <w:sz w:val="28"/>
              <w:szCs w:val="28"/>
            </w:rPr>
            <w:instrText xml:space="preserve"> PAGEREF _Toc27476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7"/>
            <w:tabs>
              <w:tab w:val="right" w:leader="dot" w:pos="8845"/>
            </w:tabs>
            <w:rPr>
              <w:sz w:val="28"/>
              <w:szCs w:val="28"/>
            </w:rPr>
          </w:pPr>
          <w:r>
            <w:rPr>
              <w:sz w:val="28"/>
              <w:szCs w:val="28"/>
            </w:rPr>
            <w:fldChar w:fldCharType="begin"/>
          </w:r>
          <w:r>
            <w:rPr>
              <w:sz w:val="28"/>
              <w:szCs w:val="28"/>
            </w:rPr>
            <w:instrText xml:space="preserve"> HYPERLINK \l _Toc95 </w:instrText>
          </w:r>
          <w:r>
            <w:rPr>
              <w:sz w:val="28"/>
              <w:szCs w:val="28"/>
            </w:rPr>
            <w:fldChar w:fldCharType="separate"/>
          </w:r>
          <w:r>
            <w:rPr>
              <w:rFonts w:hint="eastAsia" w:ascii="Times New Roman" w:hAnsi="Times New Roman" w:eastAsia="黑体" w:cs="Times New Roman"/>
              <w:sz w:val="28"/>
              <w:szCs w:val="48"/>
            </w:rPr>
            <w:t>五、</w:t>
          </w:r>
          <w:r>
            <w:rPr>
              <w:rFonts w:hint="default" w:ascii="Times New Roman" w:hAnsi="Times New Roman" w:eastAsia="黑体" w:cs="Times New Roman"/>
              <w:sz w:val="28"/>
              <w:szCs w:val="48"/>
            </w:rPr>
            <w:t>“</w:t>
          </w:r>
          <w:r>
            <w:rPr>
              <w:rFonts w:hint="eastAsia" w:ascii="Times New Roman" w:hAnsi="Times New Roman" w:eastAsia="黑体" w:cs="Times New Roman"/>
              <w:sz w:val="28"/>
              <w:szCs w:val="48"/>
            </w:rPr>
            <w:t>三公</w:t>
          </w:r>
          <w:r>
            <w:rPr>
              <w:rFonts w:hint="default" w:ascii="Times New Roman" w:hAnsi="Times New Roman" w:eastAsia="黑体" w:cs="Times New Roman"/>
              <w:sz w:val="28"/>
              <w:szCs w:val="48"/>
            </w:rPr>
            <w:t>”</w:t>
          </w:r>
          <w:r>
            <w:rPr>
              <w:rFonts w:hint="eastAsia" w:ascii="Times New Roman" w:hAnsi="Times New Roman" w:eastAsia="黑体" w:cs="Times New Roman"/>
              <w:sz w:val="28"/>
              <w:szCs w:val="48"/>
            </w:rPr>
            <w:t>经费财政拨款预算安排情况说明</w:t>
          </w:r>
          <w:r>
            <w:rPr>
              <w:sz w:val="28"/>
              <w:szCs w:val="28"/>
            </w:rPr>
            <w:tab/>
          </w:r>
          <w:r>
            <w:rPr>
              <w:sz w:val="28"/>
              <w:szCs w:val="28"/>
            </w:rPr>
            <w:fldChar w:fldCharType="begin"/>
          </w:r>
          <w:r>
            <w:rPr>
              <w:sz w:val="28"/>
              <w:szCs w:val="28"/>
            </w:rPr>
            <w:instrText xml:space="preserve"> PAGEREF _Toc95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7"/>
            <w:tabs>
              <w:tab w:val="right" w:leader="dot" w:pos="8845"/>
            </w:tabs>
            <w:rPr>
              <w:sz w:val="28"/>
              <w:szCs w:val="28"/>
            </w:rPr>
          </w:pPr>
          <w:r>
            <w:rPr>
              <w:sz w:val="28"/>
              <w:szCs w:val="28"/>
            </w:rPr>
            <w:fldChar w:fldCharType="begin"/>
          </w:r>
          <w:r>
            <w:rPr>
              <w:sz w:val="28"/>
              <w:szCs w:val="28"/>
            </w:rPr>
            <w:instrText xml:space="preserve"> HYPERLINK \l _Toc30755 </w:instrText>
          </w:r>
          <w:r>
            <w:rPr>
              <w:sz w:val="28"/>
              <w:szCs w:val="28"/>
            </w:rPr>
            <w:fldChar w:fldCharType="separate"/>
          </w:r>
          <w:r>
            <w:rPr>
              <w:rFonts w:hint="eastAsia" w:ascii="Times New Roman" w:hAnsi="Times New Roman" w:eastAsia="黑体" w:cs="Times New Roman"/>
              <w:sz w:val="28"/>
              <w:szCs w:val="48"/>
            </w:rPr>
            <w:t>六、非财政拨款预算安排</w:t>
          </w:r>
          <w:r>
            <w:rPr>
              <w:rFonts w:hint="default" w:ascii="Times New Roman" w:hAnsi="Times New Roman" w:eastAsia="黑体" w:cs="Times New Roman"/>
              <w:sz w:val="28"/>
              <w:szCs w:val="48"/>
            </w:rPr>
            <w:t>“</w:t>
          </w:r>
          <w:r>
            <w:rPr>
              <w:rFonts w:hint="eastAsia" w:ascii="Times New Roman" w:hAnsi="Times New Roman" w:eastAsia="黑体" w:cs="Times New Roman"/>
              <w:sz w:val="28"/>
              <w:szCs w:val="48"/>
            </w:rPr>
            <w:t>三公</w:t>
          </w:r>
          <w:r>
            <w:rPr>
              <w:rFonts w:hint="default" w:ascii="Times New Roman" w:hAnsi="Times New Roman" w:eastAsia="黑体" w:cs="Times New Roman"/>
              <w:sz w:val="28"/>
              <w:szCs w:val="48"/>
            </w:rPr>
            <w:t>”</w:t>
          </w:r>
          <w:r>
            <w:rPr>
              <w:rFonts w:hint="eastAsia" w:ascii="Times New Roman" w:hAnsi="Times New Roman" w:eastAsia="黑体" w:cs="Times New Roman"/>
              <w:sz w:val="28"/>
              <w:szCs w:val="48"/>
            </w:rPr>
            <w:t>经费情况说明</w:t>
          </w:r>
          <w:r>
            <w:rPr>
              <w:sz w:val="28"/>
              <w:szCs w:val="28"/>
            </w:rPr>
            <w:tab/>
          </w:r>
          <w:r>
            <w:rPr>
              <w:sz w:val="28"/>
              <w:szCs w:val="28"/>
            </w:rPr>
            <w:fldChar w:fldCharType="begin"/>
          </w:r>
          <w:r>
            <w:rPr>
              <w:sz w:val="28"/>
              <w:szCs w:val="28"/>
            </w:rPr>
            <w:instrText xml:space="preserve"> PAGEREF _Toc30755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7"/>
            <w:tabs>
              <w:tab w:val="right" w:leader="dot" w:pos="8845"/>
            </w:tabs>
            <w:rPr>
              <w:sz w:val="28"/>
              <w:szCs w:val="28"/>
            </w:rPr>
          </w:pPr>
          <w:r>
            <w:rPr>
              <w:sz w:val="28"/>
              <w:szCs w:val="28"/>
            </w:rPr>
            <w:fldChar w:fldCharType="begin"/>
          </w:r>
          <w:r>
            <w:rPr>
              <w:sz w:val="28"/>
              <w:szCs w:val="28"/>
            </w:rPr>
            <w:instrText xml:space="preserve"> HYPERLINK \l _Toc4380 </w:instrText>
          </w:r>
          <w:r>
            <w:rPr>
              <w:sz w:val="28"/>
              <w:szCs w:val="28"/>
            </w:rPr>
            <w:fldChar w:fldCharType="separate"/>
          </w:r>
          <w:r>
            <w:rPr>
              <w:rFonts w:hint="eastAsia" w:ascii="Times New Roman" w:hAnsi="Times New Roman" w:eastAsia="黑体" w:cs="Times New Roman"/>
              <w:sz w:val="28"/>
              <w:szCs w:val="48"/>
            </w:rPr>
            <w:t>七、政府性基金预算支出情况说明</w:t>
          </w:r>
          <w:r>
            <w:rPr>
              <w:sz w:val="28"/>
              <w:szCs w:val="28"/>
            </w:rPr>
            <w:tab/>
          </w:r>
          <w:r>
            <w:rPr>
              <w:sz w:val="28"/>
              <w:szCs w:val="28"/>
            </w:rPr>
            <w:fldChar w:fldCharType="begin"/>
          </w:r>
          <w:r>
            <w:rPr>
              <w:sz w:val="28"/>
              <w:szCs w:val="28"/>
            </w:rPr>
            <w:instrText xml:space="preserve"> PAGEREF _Toc4380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7"/>
            <w:tabs>
              <w:tab w:val="right" w:leader="dot" w:pos="8845"/>
            </w:tabs>
            <w:rPr>
              <w:sz w:val="28"/>
              <w:szCs w:val="28"/>
            </w:rPr>
          </w:pPr>
          <w:r>
            <w:rPr>
              <w:sz w:val="28"/>
              <w:szCs w:val="28"/>
            </w:rPr>
            <w:fldChar w:fldCharType="begin"/>
          </w:r>
          <w:r>
            <w:rPr>
              <w:sz w:val="28"/>
              <w:szCs w:val="28"/>
            </w:rPr>
            <w:instrText xml:space="preserve"> HYPERLINK \l _Toc5785 </w:instrText>
          </w:r>
          <w:r>
            <w:rPr>
              <w:sz w:val="28"/>
              <w:szCs w:val="28"/>
            </w:rPr>
            <w:fldChar w:fldCharType="separate"/>
          </w:r>
          <w:r>
            <w:rPr>
              <w:rFonts w:hint="eastAsia" w:ascii="Times New Roman" w:hAnsi="Times New Roman" w:eastAsia="黑体" w:cs="Times New Roman"/>
              <w:sz w:val="28"/>
              <w:szCs w:val="48"/>
            </w:rPr>
            <w:t>八、国有资本经营预算情况说明</w:t>
          </w:r>
          <w:r>
            <w:rPr>
              <w:sz w:val="28"/>
              <w:szCs w:val="28"/>
            </w:rPr>
            <w:tab/>
          </w:r>
          <w:r>
            <w:rPr>
              <w:sz w:val="28"/>
              <w:szCs w:val="28"/>
            </w:rPr>
            <w:fldChar w:fldCharType="begin"/>
          </w:r>
          <w:r>
            <w:rPr>
              <w:sz w:val="28"/>
              <w:szCs w:val="28"/>
            </w:rPr>
            <w:instrText xml:space="preserve"> PAGEREF _Toc5785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7"/>
            <w:tabs>
              <w:tab w:val="right" w:leader="dot" w:pos="8845"/>
            </w:tabs>
            <w:rPr>
              <w:sz w:val="28"/>
              <w:szCs w:val="28"/>
            </w:rPr>
          </w:pPr>
          <w:r>
            <w:rPr>
              <w:sz w:val="28"/>
              <w:szCs w:val="28"/>
            </w:rPr>
            <w:fldChar w:fldCharType="begin"/>
          </w:r>
          <w:r>
            <w:rPr>
              <w:sz w:val="28"/>
              <w:szCs w:val="28"/>
            </w:rPr>
            <w:instrText xml:space="preserve"> HYPERLINK \l _Toc24919 </w:instrText>
          </w:r>
          <w:r>
            <w:rPr>
              <w:sz w:val="28"/>
              <w:szCs w:val="28"/>
            </w:rPr>
            <w:fldChar w:fldCharType="separate"/>
          </w:r>
          <w:r>
            <w:rPr>
              <w:rFonts w:hint="eastAsia" w:ascii="Times New Roman" w:hAnsi="Times New Roman" w:eastAsia="黑体" w:cs="Times New Roman"/>
              <w:sz w:val="28"/>
              <w:szCs w:val="48"/>
            </w:rPr>
            <w:t>九、其他重要事项的情况说明</w:t>
          </w:r>
          <w:r>
            <w:rPr>
              <w:sz w:val="28"/>
              <w:szCs w:val="28"/>
            </w:rPr>
            <w:tab/>
          </w:r>
          <w:r>
            <w:rPr>
              <w:sz w:val="28"/>
              <w:szCs w:val="28"/>
            </w:rPr>
            <w:fldChar w:fldCharType="begin"/>
          </w:r>
          <w:r>
            <w:rPr>
              <w:sz w:val="28"/>
              <w:szCs w:val="28"/>
            </w:rPr>
            <w:instrText xml:space="preserve"> PAGEREF _Toc24919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6"/>
            <w:tabs>
              <w:tab w:val="right" w:leader="dot" w:pos="8845"/>
            </w:tabs>
            <w:rPr>
              <w:b/>
              <w:sz w:val="28"/>
              <w:szCs w:val="28"/>
            </w:rPr>
          </w:pPr>
          <w:r>
            <w:rPr>
              <w:b/>
              <w:sz w:val="28"/>
              <w:szCs w:val="28"/>
            </w:rPr>
            <w:fldChar w:fldCharType="begin"/>
          </w:r>
          <w:r>
            <w:rPr>
              <w:b/>
              <w:sz w:val="28"/>
              <w:szCs w:val="28"/>
            </w:rPr>
            <w:instrText xml:space="preserve"> HYPERLINK \l _Toc18985 </w:instrText>
          </w:r>
          <w:r>
            <w:rPr>
              <w:b/>
              <w:sz w:val="28"/>
              <w:szCs w:val="28"/>
            </w:rPr>
            <w:fldChar w:fldCharType="separate"/>
          </w:r>
          <w:r>
            <w:rPr>
              <w:rFonts w:hint="eastAsia" w:ascii="方正小标宋_GBK" w:hAnsi="方正小标宋_GBK" w:eastAsia="方正小标宋_GBK" w:cs="方正小标宋_GBK"/>
              <w:b/>
              <w:sz w:val="28"/>
              <w:szCs w:val="72"/>
            </w:rPr>
            <w:t>第三部分  名词解释</w:t>
          </w:r>
          <w:r>
            <w:rPr>
              <w:b/>
              <w:sz w:val="28"/>
              <w:szCs w:val="28"/>
            </w:rPr>
            <w:tab/>
          </w:r>
          <w:r>
            <w:rPr>
              <w:b/>
              <w:sz w:val="28"/>
              <w:szCs w:val="28"/>
            </w:rPr>
            <w:fldChar w:fldCharType="begin"/>
          </w:r>
          <w:r>
            <w:rPr>
              <w:b/>
              <w:sz w:val="28"/>
              <w:szCs w:val="28"/>
            </w:rPr>
            <w:instrText xml:space="preserve"> PAGEREF _Toc18985 \h </w:instrText>
          </w:r>
          <w:r>
            <w:rPr>
              <w:b/>
              <w:sz w:val="28"/>
              <w:szCs w:val="28"/>
            </w:rPr>
            <w:fldChar w:fldCharType="separate"/>
          </w:r>
          <w:r>
            <w:rPr>
              <w:b/>
              <w:sz w:val="28"/>
              <w:szCs w:val="28"/>
            </w:rPr>
            <w:t>11</w:t>
          </w:r>
          <w:r>
            <w:rPr>
              <w:b/>
              <w:sz w:val="28"/>
              <w:szCs w:val="28"/>
            </w:rPr>
            <w:fldChar w:fldCharType="end"/>
          </w:r>
          <w:r>
            <w:rPr>
              <w:b/>
              <w:sz w:val="28"/>
              <w:szCs w:val="28"/>
            </w:rPr>
            <w:fldChar w:fldCharType="end"/>
          </w:r>
        </w:p>
        <w:p>
          <w:pPr>
            <w:pStyle w:val="6"/>
            <w:tabs>
              <w:tab w:val="right" w:leader="dot" w:pos="8845"/>
            </w:tabs>
            <w:rPr>
              <w:b/>
              <w:sz w:val="28"/>
              <w:szCs w:val="28"/>
            </w:rPr>
          </w:pPr>
          <w:r>
            <w:rPr>
              <w:b/>
              <w:sz w:val="28"/>
              <w:szCs w:val="28"/>
            </w:rPr>
            <w:fldChar w:fldCharType="begin"/>
          </w:r>
          <w:r>
            <w:rPr>
              <w:b/>
              <w:sz w:val="28"/>
              <w:szCs w:val="28"/>
            </w:rPr>
            <w:instrText xml:space="preserve"> HYPERLINK \l _Toc25731 </w:instrText>
          </w:r>
          <w:r>
            <w:rPr>
              <w:b/>
              <w:sz w:val="28"/>
              <w:szCs w:val="28"/>
            </w:rPr>
            <w:fldChar w:fldCharType="separate"/>
          </w:r>
          <w:r>
            <w:rPr>
              <w:rFonts w:hint="eastAsia" w:ascii="方正小标宋_GBK" w:hAnsi="方正小标宋_GBK" w:eastAsia="方正小标宋_GBK" w:cs="方正小标宋_GBK"/>
              <w:b/>
              <w:sz w:val="28"/>
              <w:szCs w:val="72"/>
            </w:rPr>
            <w:t>第四部分  附表</w:t>
          </w:r>
          <w:r>
            <w:rPr>
              <w:b/>
              <w:sz w:val="28"/>
              <w:szCs w:val="28"/>
            </w:rPr>
            <w:tab/>
          </w:r>
          <w:r>
            <w:rPr>
              <w:b/>
              <w:sz w:val="28"/>
              <w:szCs w:val="28"/>
            </w:rPr>
            <w:fldChar w:fldCharType="begin"/>
          </w:r>
          <w:r>
            <w:rPr>
              <w:b/>
              <w:sz w:val="28"/>
              <w:szCs w:val="28"/>
            </w:rPr>
            <w:instrText xml:space="preserve"> PAGEREF _Toc25731 \h </w:instrText>
          </w:r>
          <w:r>
            <w:rPr>
              <w:b/>
              <w:sz w:val="28"/>
              <w:szCs w:val="28"/>
            </w:rPr>
            <w:fldChar w:fldCharType="separate"/>
          </w:r>
          <w:r>
            <w:rPr>
              <w:b/>
              <w:sz w:val="28"/>
              <w:szCs w:val="28"/>
            </w:rPr>
            <w:t>13</w:t>
          </w:r>
          <w:r>
            <w:rPr>
              <w:b/>
              <w:sz w:val="28"/>
              <w:szCs w:val="28"/>
            </w:rPr>
            <w:fldChar w:fldCharType="end"/>
          </w:r>
          <w:r>
            <w:rPr>
              <w:b/>
              <w:sz w:val="28"/>
              <w:szCs w:val="28"/>
            </w:rPr>
            <w:fldChar w:fldCharType="end"/>
          </w:r>
        </w:p>
        <w:p>
          <w:pPr>
            <w:rPr>
              <w:sz w:val="28"/>
              <w:szCs w:val="36"/>
            </w:rPr>
          </w:pPr>
          <w:r>
            <w:rPr>
              <w:b/>
              <w:sz w:val="32"/>
              <w:szCs w:val="40"/>
            </w:rPr>
            <w:fldChar w:fldCharType="end"/>
          </w:r>
        </w:p>
      </w:sdtContent>
    </w:sdt>
    <w:p/>
    <w:p/>
    <w:p/>
    <w:p>
      <w:pPr>
        <w:jc w:val="center"/>
        <w:outlineLvl w:val="0"/>
        <w:rPr>
          <w:rFonts w:hint="eastAsia" w:ascii="方正小标宋_GBK" w:hAnsi="方正小标宋_GBK" w:eastAsia="方正小标宋_GBK" w:cs="方正小标宋_GBK"/>
          <w:color w:val="000000"/>
          <w:sz w:val="44"/>
          <w:szCs w:val="44"/>
          <w:lang w:val="en-US" w:eastAsia="zh-CN"/>
        </w:rPr>
      </w:pPr>
      <w:bookmarkStart w:id="0" w:name="_Toc9511"/>
      <w:bookmarkStart w:id="1" w:name="_Toc31147"/>
    </w:p>
    <w:p>
      <w:pPr>
        <w:jc w:val="center"/>
        <w:outlineLvl w:val="0"/>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第一部分  攀枝花市西区档案馆概况</w:t>
      </w:r>
      <w:bookmarkEnd w:id="0"/>
      <w:bookmarkEnd w:id="1"/>
    </w:p>
    <w:p>
      <w:pPr>
        <w:spacing w:line="353" w:lineRule="auto"/>
        <w:ind w:firstLine="640" w:firstLineChars="200"/>
        <w:outlineLvl w:val="1"/>
        <w:rPr>
          <w:rFonts w:hint="eastAsia" w:ascii="Times New Roman" w:hAnsi="Times New Roman" w:eastAsia="黑体" w:cs="Times New Roman"/>
          <w:color w:val="000000"/>
          <w:sz w:val="32"/>
          <w:szCs w:val="32"/>
        </w:rPr>
      </w:pPr>
      <w:bookmarkStart w:id="2" w:name="_Toc29950"/>
      <w:bookmarkStart w:id="3" w:name="_Toc5105"/>
      <w:r>
        <w:rPr>
          <w:rFonts w:hint="eastAsia" w:ascii="Times New Roman" w:hAnsi="Times New Roman" w:eastAsia="黑体" w:cs="Times New Roman"/>
          <w:color w:val="000000"/>
          <w:sz w:val="32"/>
          <w:szCs w:val="32"/>
        </w:rPr>
        <w:t>一、基本职能及主要工作</w:t>
      </w:r>
      <w:bookmarkEnd w:id="2"/>
      <w:bookmarkEnd w:id="3"/>
    </w:p>
    <w:p>
      <w:pPr>
        <w:snapToGrid w:val="0"/>
        <w:spacing w:line="353" w:lineRule="auto"/>
        <w:ind w:firstLine="643" w:firstLineChars="200"/>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（一）主要职责。</w:t>
      </w:r>
    </w:p>
    <w:p>
      <w:pPr>
        <w:snapToGrid w:val="0"/>
        <w:spacing w:line="353" w:lineRule="auto"/>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收集和接收西区保管范围内对国家和社会有保价值的档案。</w:t>
      </w:r>
    </w:p>
    <w:p>
      <w:pPr>
        <w:snapToGrid w:val="0"/>
        <w:spacing w:line="353" w:lineRule="auto"/>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对所保存的档案严格按照规定整理和保管。</w:t>
      </w:r>
    </w:p>
    <w:p>
      <w:pPr>
        <w:snapToGrid w:val="0"/>
        <w:spacing w:line="353" w:lineRule="auto"/>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采取各种形式开发档案资源，为社会利用档案资源提供服务。</w:t>
      </w:r>
    </w:p>
    <w:p>
      <w:pPr>
        <w:snapToGrid w:val="0"/>
        <w:spacing w:line="353" w:lineRule="auto"/>
        <w:ind w:firstLine="643" w:firstLineChars="200"/>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（二）202</w:t>
      </w:r>
      <w:r>
        <w:rPr>
          <w:rFonts w:hint="default" w:ascii="方正楷体_GBK" w:hAnsi="方正楷体_GBK" w:eastAsia="方正楷体_GBK" w:cs="方正楷体_GBK"/>
          <w:b/>
          <w:bCs/>
          <w:sz w:val="32"/>
          <w:szCs w:val="32"/>
        </w:rPr>
        <w:t>3</w:t>
      </w:r>
      <w:r>
        <w:rPr>
          <w:rFonts w:hint="eastAsia" w:ascii="方正楷体_GBK" w:hAnsi="方正楷体_GBK" w:eastAsia="方正楷体_GBK" w:cs="方正楷体_GBK"/>
          <w:b/>
          <w:bCs/>
          <w:sz w:val="32"/>
          <w:szCs w:val="32"/>
        </w:rPr>
        <w:t>年重点工作任务。</w:t>
      </w:r>
    </w:p>
    <w:p>
      <w:pPr>
        <w:snapToGrid w:val="0"/>
        <w:spacing w:line="353" w:lineRule="auto"/>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圆满完成全省档案行政执法三年行动，实现档案行政执法全区立档单位全覆盖。</w:t>
      </w:r>
    </w:p>
    <w:p>
      <w:pPr>
        <w:snapToGrid w:val="0"/>
        <w:spacing w:line="353" w:lineRule="auto"/>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推进数字档案馆建设，一是完成馆藏档案数字化工作，积极对接设计施工单位，争取新档案馆年底前完成室内装修等施工；二是积极对接省档案局数字档案馆软硬件设备标准，并开展采购工作；三是筹备区档案馆搬迁工作。</w:t>
      </w:r>
    </w:p>
    <w:p>
      <w:pPr>
        <w:snapToGrid w:val="0"/>
        <w:spacing w:line="353" w:lineRule="auto"/>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落实习近平总书记对档案工作</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四个好</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（保管好、利用好、记录好、留存好）、</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两个服务</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服务党和国家工作大局、服务人民群众）的批示，一是围绕区委区政府重点工作在共同富裕、疫情防控、文明城市创建等方面开展好档案收集整理指导，并适时接收进馆；二是在档案利用方面创新方式，实现多部门档案数据共享，进一步优化群众查档流程。</w:t>
      </w:r>
    </w:p>
    <w:p>
      <w:pPr>
        <w:snapToGrid w:val="0"/>
        <w:spacing w:line="353" w:lineRule="auto"/>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rPr>
        <w:t>推进档案整理方案、归档范围及保管期限表三表合一工作，确保全区立档单位在全市范围内率先于</w:t>
      </w:r>
      <w:r>
        <w:rPr>
          <w:rFonts w:hint="default" w:ascii="Times New Roman" w:hAnsi="Times New Roman" w:eastAsia="仿宋_GB2312" w:cs="Times New Roman"/>
          <w:sz w:val="32"/>
          <w:szCs w:val="32"/>
        </w:rPr>
        <w:t>2023</w:t>
      </w:r>
      <w:r>
        <w:rPr>
          <w:rFonts w:hint="eastAsia" w:ascii="Times New Roman" w:hAnsi="Times New Roman" w:eastAsia="仿宋_GB2312" w:cs="Times New Roman"/>
          <w:sz w:val="32"/>
          <w:szCs w:val="32"/>
        </w:rPr>
        <w:t>年年底前完成制定工作。</w:t>
      </w:r>
    </w:p>
    <w:p>
      <w:pPr>
        <w:spacing w:line="353" w:lineRule="auto"/>
        <w:ind w:firstLine="640" w:firstLineChars="200"/>
        <w:outlineLvl w:val="1"/>
        <w:rPr>
          <w:rFonts w:hint="eastAsia" w:ascii="Times New Roman" w:hAnsi="Times New Roman" w:eastAsia="黑体" w:cs="Times New Roman"/>
          <w:color w:val="000000"/>
          <w:sz w:val="32"/>
          <w:szCs w:val="32"/>
        </w:rPr>
      </w:pPr>
      <w:bookmarkStart w:id="4" w:name="_Toc26636"/>
      <w:bookmarkStart w:id="5" w:name="_Toc2754"/>
      <w:r>
        <w:rPr>
          <w:rFonts w:hint="eastAsia" w:ascii="Times New Roman" w:hAnsi="Times New Roman" w:eastAsia="黑体" w:cs="Times New Roman"/>
          <w:color w:val="000000"/>
          <w:sz w:val="32"/>
          <w:szCs w:val="32"/>
        </w:rPr>
        <w:t>二、机构设置情况</w:t>
      </w:r>
      <w:bookmarkEnd w:id="4"/>
      <w:bookmarkEnd w:id="5"/>
    </w:p>
    <w:p>
      <w:pPr>
        <w:snapToGrid w:val="0"/>
        <w:spacing w:line="353"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内设股室</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个，下属二级单位</w:t>
      </w:r>
      <w:r>
        <w:rPr>
          <w:rFonts w:hint="default" w:ascii="Times New Roman" w:hAnsi="Times New Roman" w:eastAsia="仿宋_GB2312" w:cs="Times New Roman"/>
          <w:sz w:val="32"/>
          <w:szCs w:val="32"/>
        </w:rPr>
        <w:t>0</w:t>
      </w:r>
      <w:r>
        <w:rPr>
          <w:rFonts w:hint="eastAsia" w:ascii="Times New Roman" w:hAnsi="Times New Roman" w:eastAsia="仿宋_GB2312" w:cs="Times New Roman"/>
          <w:sz w:val="32"/>
          <w:szCs w:val="32"/>
        </w:rPr>
        <w:t>个，其中行政单位</w:t>
      </w:r>
      <w:r>
        <w:rPr>
          <w:rFonts w:hint="default" w:ascii="Times New Roman" w:hAnsi="Times New Roman" w:eastAsia="仿宋_GB2312" w:cs="Times New Roman"/>
          <w:sz w:val="32"/>
          <w:szCs w:val="32"/>
        </w:rPr>
        <w:t>0</w:t>
      </w:r>
      <w:r>
        <w:rPr>
          <w:rFonts w:hint="eastAsia" w:ascii="Times New Roman" w:hAnsi="Times New Roman" w:eastAsia="仿宋_GB2312" w:cs="Times New Roman"/>
          <w:sz w:val="32"/>
          <w:szCs w:val="32"/>
        </w:rPr>
        <w:t>个，参照公务员法管理的事业单位</w:t>
      </w:r>
      <w:r>
        <w:rPr>
          <w:rFonts w:hint="default" w:ascii="Times New Roman" w:hAnsi="Times New Roman" w:eastAsia="仿宋_GB2312" w:cs="Times New Roman"/>
          <w:sz w:val="32"/>
          <w:szCs w:val="32"/>
        </w:rPr>
        <w:t>0</w:t>
      </w:r>
      <w:r>
        <w:rPr>
          <w:rFonts w:hint="eastAsia" w:ascii="Times New Roman" w:hAnsi="Times New Roman" w:eastAsia="仿宋_GB2312" w:cs="Times New Roman"/>
          <w:sz w:val="32"/>
          <w:szCs w:val="32"/>
        </w:rPr>
        <w:t>个，其他事业单位</w:t>
      </w:r>
      <w:r>
        <w:rPr>
          <w:rFonts w:hint="default" w:ascii="Times New Roman" w:hAnsi="Times New Roman" w:eastAsia="仿宋_GB2312" w:cs="Times New Roman"/>
          <w:sz w:val="32"/>
          <w:szCs w:val="32"/>
        </w:rPr>
        <w:t>0</w:t>
      </w:r>
      <w:r>
        <w:rPr>
          <w:rFonts w:hint="eastAsia" w:ascii="Times New Roman" w:hAnsi="Times New Roman" w:eastAsia="仿宋_GB2312" w:cs="Times New Roman"/>
          <w:sz w:val="32"/>
          <w:szCs w:val="32"/>
        </w:rPr>
        <w:t>个。</w:t>
      </w:r>
    </w:p>
    <w:p>
      <w:pPr>
        <w:rPr>
          <w:rFonts w:hint="eastAsia"/>
        </w:rPr>
      </w:pPr>
      <w:r>
        <w:rPr>
          <w:rFonts w:hint="eastAsia"/>
        </w:rPr>
        <w:t> </w:t>
      </w:r>
    </w:p>
    <w:p>
      <w:pPr>
        <w:rPr>
          <w:rFonts w:hint="eastAsia"/>
        </w:rPr>
      </w:pPr>
      <w:r>
        <w:rPr>
          <w:rFonts w:hint="eastAsia"/>
        </w:rPr>
        <w:t> </w:t>
      </w:r>
    </w:p>
    <w:p>
      <w:pPr>
        <w:rPr>
          <w:rFonts w:hint="eastAsia"/>
        </w:rPr>
      </w:pPr>
      <w:r>
        <w:rPr>
          <w:rFonts w:hint="eastAsia"/>
        </w:rPr>
        <w:t> </w:t>
      </w:r>
    </w:p>
    <w:p>
      <w:pPr>
        <w:rPr>
          <w:rFonts w:hint="eastAsia"/>
        </w:rPr>
      </w:pPr>
      <w:r>
        <w:rPr>
          <w:rFonts w:hint="eastAsia"/>
        </w:rPr>
        <w:t> </w:t>
      </w:r>
    </w:p>
    <w:p>
      <w:pPr>
        <w:rPr>
          <w:rFonts w:hint="eastAsia"/>
        </w:rPr>
      </w:pPr>
      <w:r>
        <w:rPr>
          <w:rFonts w:hint="eastAsia"/>
        </w:rPr>
        <w:t> </w:t>
      </w:r>
    </w:p>
    <w:p>
      <w:pPr>
        <w:rPr>
          <w:rFonts w:hint="eastAsia"/>
        </w:rPr>
      </w:pPr>
      <w:r>
        <w:rPr>
          <w:rFonts w:hint="eastAsia"/>
        </w:rPr>
        <w:t> </w:t>
      </w:r>
    </w:p>
    <w:p>
      <w:pPr>
        <w:rPr>
          <w:rFonts w:hint="eastAsia"/>
        </w:rPr>
      </w:pPr>
      <w:r>
        <w:rPr>
          <w:rFonts w:hint="eastAsia"/>
        </w:rPr>
        <w:t> </w:t>
      </w:r>
    </w:p>
    <w:p>
      <w:pPr>
        <w:rPr>
          <w:rFonts w:hint="eastAsia"/>
        </w:rPr>
      </w:pPr>
      <w:r>
        <w:rPr>
          <w:rFonts w:hint="eastAsia"/>
        </w:rPr>
        <w:t> </w:t>
      </w:r>
    </w:p>
    <w:p>
      <w:pPr>
        <w:rPr>
          <w:rFonts w:hint="eastAsia"/>
        </w:rPr>
      </w:pPr>
      <w:r>
        <w:rPr>
          <w:rFonts w:hint="eastAsia"/>
        </w:rPr>
        <w:t> </w:t>
      </w:r>
    </w:p>
    <w:p>
      <w:pPr>
        <w:rPr>
          <w:rFonts w:hint="eastAsia"/>
        </w:rPr>
      </w:pPr>
      <w:r>
        <w:rPr>
          <w:rFonts w:hint="eastAsia"/>
        </w:rPr>
        <w:t> </w:t>
      </w:r>
    </w:p>
    <w:p>
      <w:pPr>
        <w:rPr>
          <w:rFonts w:hint="eastAsia"/>
        </w:rPr>
      </w:pPr>
      <w:r>
        <w:rPr>
          <w:rFonts w:hint="eastAsia"/>
        </w:rPr>
        <w:t> </w:t>
      </w:r>
    </w:p>
    <w:p>
      <w:pPr>
        <w:rPr>
          <w:rFonts w:hint="eastAsia"/>
        </w:rPr>
      </w:pPr>
      <w:r>
        <w:rPr>
          <w:rFonts w:hint="eastAsia"/>
        </w:rPr>
        <w:t> </w:t>
      </w:r>
    </w:p>
    <w:p>
      <w:pPr>
        <w:rPr>
          <w:rFonts w:hint="eastAsia"/>
        </w:rPr>
      </w:pPr>
      <w:r>
        <w:rPr>
          <w:rFonts w:hint="eastAsia"/>
        </w:rPr>
        <w:t>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0" w:lineRule="atLeast"/>
        <w:jc w:val="center"/>
        <w:outlineLvl w:val="0"/>
        <w:rPr>
          <w:rFonts w:hint="eastAsia" w:ascii="方正小标宋_GBK" w:hAnsi="方正小标宋_GBK" w:eastAsia="方正小标宋_GBK" w:cs="方正小标宋_GBK"/>
          <w:color w:val="000000"/>
          <w:sz w:val="44"/>
          <w:szCs w:val="44"/>
        </w:rPr>
      </w:pPr>
      <w:bookmarkStart w:id="6" w:name="_Toc4607"/>
      <w:bookmarkStart w:id="7" w:name="_Toc32754"/>
      <w:r>
        <w:rPr>
          <w:rFonts w:hint="eastAsia" w:ascii="方正小标宋_GBK" w:hAnsi="方正小标宋_GBK" w:eastAsia="方正小标宋_GBK" w:cs="方正小标宋_GBK"/>
          <w:color w:val="000000"/>
          <w:sz w:val="44"/>
          <w:szCs w:val="44"/>
        </w:rPr>
        <w:t>第二部分  攀枝花市西区档案馆</w:t>
      </w:r>
      <w:bookmarkEnd w:id="6"/>
      <w:bookmarkStart w:id="8" w:name="_Toc13379"/>
    </w:p>
    <w:p>
      <w:pPr>
        <w:spacing w:line="0" w:lineRule="atLeast"/>
        <w:jc w:val="center"/>
        <w:outlineLvl w:val="0"/>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2023年部门预算情况说明</w:t>
      </w:r>
      <w:bookmarkEnd w:id="7"/>
      <w:bookmarkEnd w:id="8"/>
    </w:p>
    <w:p>
      <w:pPr>
        <w:rPr>
          <w:rFonts w:hint="eastAsia"/>
        </w:rPr>
      </w:pPr>
      <w:r>
        <w:rPr>
          <w:rFonts w:hint="eastAsia"/>
        </w:rPr>
        <w:t> </w:t>
      </w:r>
    </w:p>
    <w:p>
      <w:pPr>
        <w:spacing w:line="353" w:lineRule="auto"/>
        <w:ind w:firstLine="640" w:firstLineChars="200"/>
        <w:outlineLvl w:val="1"/>
        <w:rPr>
          <w:rFonts w:hint="eastAsia" w:ascii="Times New Roman" w:hAnsi="Times New Roman" w:eastAsia="黑体" w:cs="Times New Roman"/>
          <w:color w:val="000000"/>
          <w:sz w:val="32"/>
          <w:szCs w:val="32"/>
        </w:rPr>
      </w:pPr>
      <w:bookmarkStart w:id="9" w:name="_Toc12496"/>
      <w:bookmarkStart w:id="10" w:name="_Toc27113"/>
      <w:r>
        <w:rPr>
          <w:rFonts w:hint="eastAsia" w:ascii="Times New Roman" w:hAnsi="Times New Roman" w:eastAsia="黑体" w:cs="Times New Roman"/>
          <w:color w:val="000000"/>
          <w:sz w:val="32"/>
          <w:szCs w:val="32"/>
        </w:rPr>
        <w:t>一、收支预算总体情况</w:t>
      </w:r>
      <w:bookmarkEnd w:id="9"/>
      <w:bookmarkEnd w:id="10"/>
    </w:p>
    <w:p>
      <w:pPr>
        <w:snapToGrid w:val="0"/>
        <w:spacing w:line="353"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按照综合预算的原则，西区档案馆所有收入和支出均纳入部门预算管理。收入包括：一般公共预算拨款收入、政府性基金预算拨款收入；支出包括：一般公共服务支出、社会保障和就业支出、卫生健康支出、城乡社区支出、住房保障支出。西区档案馆</w:t>
      </w:r>
      <w:r>
        <w:rPr>
          <w:rFonts w:hint="default" w:ascii="Times New Roman" w:hAnsi="Times New Roman" w:eastAsia="仿宋_GB2312" w:cs="Times New Roman"/>
          <w:sz w:val="32"/>
          <w:szCs w:val="32"/>
        </w:rPr>
        <w:t>2023</w:t>
      </w:r>
      <w:r>
        <w:rPr>
          <w:rFonts w:hint="eastAsia" w:ascii="Times New Roman" w:hAnsi="Times New Roman" w:eastAsia="仿宋_GB2312" w:cs="Times New Roman"/>
          <w:sz w:val="32"/>
          <w:szCs w:val="32"/>
        </w:rPr>
        <w:t>年收支预算总数</w:t>
      </w:r>
      <w:r>
        <w:rPr>
          <w:rFonts w:hint="default" w:ascii="Times New Roman" w:hAnsi="Times New Roman" w:eastAsia="仿宋_GB2312" w:cs="Times New Roman"/>
          <w:sz w:val="32"/>
          <w:szCs w:val="32"/>
        </w:rPr>
        <w:t>127.37</w:t>
      </w:r>
      <w:r>
        <w:rPr>
          <w:rFonts w:hint="eastAsia" w:ascii="Times New Roman" w:hAnsi="Times New Roman" w:eastAsia="仿宋_GB2312" w:cs="Times New Roman"/>
          <w:sz w:val="32"/>
          <w:szCs w:val="32"/>
        </w:rPr>
        <w:t>万元</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比</w:t>
      </w:r>
      <w:r>
        <w:rPr>
          <w:rFonts w:hint="default" w:ascii="Times New Roman" w:hAnsi="Times New Roman" w:eastAsia="仿宋_GB2312" w:cs="Times New Roman"/>
          <w:sz w:val="32"/>
          <w:szCs w:val="32"/>
        </w:rPr>
        <w:t>2022</w:t>
      </w:r>
      <w:r>
        <w:rPr>
          <w:rFonts w:hint="eastAsia" w:ascii="Times New Roman" w:hAnsi="Times New Roman" w:eastAsia="仿宋_GB2312" w:cs="Times New Roman"/>
          <w:sz w:val="32"/>
          <w:szCs w:val="32"/>
        </w:rPr>
        <w:t>年收支预算总数减少</w:t>
      </w:r>
      <w:r>
        <w:rPr>
          <w:rFonts w:hint="default" w:ascii="Times New Roman" w:hAnsi="Times New Roman" w:eastAsia="仿宋_GB2312" w:cs="Times New Roman"/>
          <w:sz w:val="32"/>
          <w:szCs w:val="32"/>
        </w:rPr>
        <w:t>2.03</w:t>
      </w:r>
      <w:r>
        <w:rPr>
          <w:rFonts w:hint="eastAsia" w:ascii="Times New Roman" w:hAnsi="Times New Roman" w:eastAsia="仿宋_GB2312" w:cs="Times New Roman"/>
          <w:sz w:val="32"/>
          <w:szCs w:val="32"/>
        </w:rPr>
        <w:t>万元，主要原因是减少了卫生健康支出和住房保障支出。</w:t>
      </w:r>
    </w:p>
    <w:p>
      <w:pPr>
        <w:spacing w:line="353" w:lineRule="auto"/>
        <w:ind w:firstLine="640" w:firstLineChars="200"/>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（一）收入预算情况。</w:t>
      </w:r>
    </w:p>
    <w:p>
      <w:pPr>
        <w:snapToGrid w:val="0"/>
        <w:spacing w:line="353" w:lineRule="auto"/>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2023</w:t>
      </w:r>
      <w:r>
        <w:rPr>
          <w:rFonts w:hint="eastAsia" w:ascii="Times New Roman" w:hAnsi="Times New Roman" w:eastAsia="仿宋_GB2312" w:cs="Times New Roman"/>
          <w:sz w:val="32"/>
          <w:szCs w:val="32"/>
        </w:rPr>
        <w:t>年，收入预算</w:t>
      </w:r>
      <w:r>
        <w:rPr>
          <w:rFonts w:hint="default" w:ascii="Times New Roman" w:hAnsi="Times New Roman" w:eastAsia="仿宋_GB2312" w:cs="Times New Roman"/>
          <w:sz w:val="32"/>
          <w:szCs w:val="32"/>
        </w:rPr>
        <w:t>127.37</w:t>
      </w:r>
      <w:r>
        <w:rPr>
          <w:rFonts w:hint="eastAsia" w:ascii="Times New Roman" w:hAnsi="Times New Roman" w:eastAsia="仿宋_GB2312" w:cs="Times New Roman"/>
          <w:sz w:val="32"/>
          <w:szCs w:val="32"/>
        </w:rPr>
        <w:t>万元，其中：一般公共预算收入</w:t>
      </w:r>
      <w:r>
        <w:rPr>
          <w:rFonts w:hint="default" w:ascii="Times New Roman" w:hAnsi="Times New Roman" w:eastAsia="仿宋_GB2312" w:cs="Times New Roman"/>
          <w:sz w:val="32"/>
          <w:szCs w:val="32"/>
        </w:rPr>
        <w:t>124.37</w:t>
      </w:r>
      <w:r>
        <w:rPr>
          <w:rFonts w:hint="eastAsia" w:ascii="Times New Roman" w:hAnsi="Times New Roman" w:eastAsia="仿宋_GB2312" w:cs="Times New Roman"/>
          <w:sz w:val="32"/>
          <w:szCs w:val="32"/>
        </w:rPr>
        <w:t>万元，占</w:t>
      </w:r>
      <w:r>
        <w:rPr>
          <w:rFonts w:hint="default" w:ascii="Times New Roman" w:hAnsi="Times New Roman" w:eastAsia="仿宋_GB2312" w:cs="Times New Roman"/>
          <w:sz w:val="32"/>
          <w:szCs w:val="32"/>
        </w:rPr>
        <w:t>97.64%</w:t>
      </w:r>
      <w:r>
        <w:rPr>
          <w:rFonts w:hint="eastAsia" w:ascii="Times New Roman" w:hAnsi="Times New Roman" w:eastAsia="仿宋_GB2312" w:cs="Times New Roman"/>
          <w:sz w:val="32"/>
          <w:szCs w:val="32"/>
        </w:rPr>
        <w:t>；政府性基金预算收入</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万元，占</w:t>
      </w:r>
      <w:r>
        <w:rPr>
          <w:rFonts w:hint="default" w:ascii="Times New Roman" w:hAnsi="Times New Roman" w:eastAsia="仿宋_GB2312" w:cs="Times New Roman"/>
          <w:sz w:val="32"/>
          <w:szCs w:val="32"/>
        </w:rPr>
        <w:t>2.36%</w:t>
      </w:r>
      <w:r>
        <w:rPr>
          <w:rFonts w:hint="eastAsia" w:ascii="Times New Roman" w:hAnsi="Times New Roman" w:eastAsia="仿宋_GB2312" w:cs="Times New Roman"/>
          <w:sz w:val="32"/>
          <w:szCs w:val="32"/>
        </w:rPr>
        <w:t>。</w:t>
      </w:r>
    </w:p>
    <w:p>
      <w:pPr>
        <w:spacing w:line="353" w:lineRule="auto"/>
        <w:ind w:firstLine="640" w:firstLineChars="200"/>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（二）支出预算情况。</w:t>
      </w:r>
    </w:p>
    <w:p>
      <w:pPr>
        <w:snapToGrid w:val="0"/>
        <w:spacing w:line="353" w:lineRule="auto"/>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2023</w:t>
      </w:r>
      <w:r>
        <w:rPr>
          <w:rFonts w:hint="eastAsia" w:ascii="Times New Roman" w:hAnsi="Times New Roman" w:eastAsia="仿宋_GB2312" w:cs="Times New Roman"/>
          <w:sz w:val="32"/>
          <w:szCs w:val="32"/>
        </w:rPr>
        <w:t>年，支出预算</w:t>
      </w:r>
      <w:r>
        <w:rPr>
          <w:rFonts w:hint="default" w:ascii="Times New Roman" w:hAnsi="Times New Roman" w:eastAsia="仿宋_GB2312" w:cs="Times New Roman"/>
          <w:sz w:val="32"/>
          <w:szCs w:val="32"/>
        </w:rPr>
        <w:t>127.37</w:t>
      </w:r>
      <w:r>
        <w:rPr>
          <w:rFonts w:hint="eastAsia" w:ascii="Times New Roman" w:hAnsi="Times New Roman" w:eastAsia="仿宋_GB2312" w:cs="Times New Roman"/>
          <w:sz w:val="32"/>
          <w:szCs w:val="32"/>
        </w:rPr>
        <w:t>万元，其中：基本支出</w:t>
      </w:r>
      <w:r>
        <w:rPr>
          <w:rFonts w:hint="default" w:ascii="Times New Roman" w:hAnsi="Times New Roman" w:eastAsia="仿宋_GB2312" w:cs="Times New Roman"/>
          <w:sz w:val="32"/>
          <w:szCs w:val="32"/>
        </w:rPr>
        <w:t>124.37</w:t>
      </w:r>
      <w:r>
        <w:rPr>
          <w:rFonts w:hint="eastAsia" w:ascii="Times New Roman" w:hAnsi="Times New Roman" w:eastAsia="仿宋_GB2312" w:cs="Times New Roman"/>
          <w:sz w:val="32"/>
          <w:szCs w:val="32"/>
        </w:rPr>
        <w:t>万元，占</w:t>
      </w:r>
      <w:r>
        <w:rPr>
          <w:rFonts w:hint="default" w:ascii="Times New Roman" w:hAnsi="Times New Roman" w:eastAsia="仿宋_GB2312" w:cs="Times New Roman"/>
          <w:sz w:val="32"/>
          <w:szCs w:val="32"/>
        </w:rPr>
        <w:t>97.64%</w:t>
      </w:r>
      <w:r>
        <w:rPr>
          <w:rFonts w:hint="eastAsia" w:ascii="Times New Roman" w:hAnsi="Times New Roman" w:eastAsia="仿宋_GB2312" w:cs="Times New Roman"/>
          <w:sz w:val="32"/>
          <w:szCs w:val="32"/>
        </w:rPr>
        <w:t>；项目支出</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万元，占</w:t>
      </w:r>
      <w:r>
        <w:rPr>
          <w:rFonts w:hint="default" w:ascii="Times New Roman" w:hAnsi="Times New Roman" w:eastAsia="仿宋_GB2312" w:cs="Times New Roman"/>
          <w:sz w:val="32"/>
          <w:szCs w:val="32"/>
        </w:rPr>
        <w:t>2.36%</w:t>
      </w:r>
      <w:r>
        <w:rPr>
          <w:rFonts w:hint="eastAsia" w:ascii="Times New Roman" w:hAnsi="Times New Roman" w:eastAsia="仿宋_GB2312" w:cs="Times New Roman"/>
          <w:sz w:val="32"/>
          <w:szCs w:val="32"/>
        </w:rPr>
        <w:t>。</w:t>
      </w:r>
    </w:p>
    <w:p>
      <w:pPr>
        <w:snapToGrid w:val="0"/>
        <w:spacing w:line="353"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西区档案馆单位预算安排支出主要用于维持档案馆的基本运行与开展相关工作。</w:t>
      </w:r>
    </w:p>
    <w:p>
      <w:pPr>
        <w:snapToGrid w:val="0"/>
        <w:spacing w:line="353"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基本支出，是用于保障人员经费开支。</w:t>
      </w:r>
    </w:p>
    <w:p>
      <w:pPr>
        <w:snapToGrid w:val="0"/>
        <w:spacing w:line="353"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项目支出，是用于保障档案管理相关工作开展。</w:t>
      </w:r>
    </w:p>
    <w:p>
      <w:pPr>
        <w:snapToGrid w:val="0"/>
        <w:spacing w:line="353"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按支出功能分类主要用于以下方面支出：</w:t>
      </w:r>
    </w:p>
    <w:p>
      <w:pPr>
        <w:snapToGrid w:val="0"/>
        <w:spacing w:line="353" w:lineRule="auto"/>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一般公共服务支出</w:t>
      </w:r>
      <w:r>
        <w:rPr>
          <w:rFonts w:hint="default" w:ascii="Times New Roman" w:hAnsi="Times New Roman" w:eastAsia="仿宋_GB2312" w:cs="Times New Roman"/>
          <w:sz w:val="32"/>
          <w:szCs w:val="32"/>
        </w:rPr>
        <w:t>96</w:t>
      </w:r>
      <w:r>
        <w:rPr>
          <w:rFonts w:hint="eastAsia" w:ascii="Times New Roman" w:hAnsi="Times New Roman" w:eastAsia="仿宋_GB2312" w:cs="Times New Roman"/>
          <w:sz w:val="32"/>
          <w:szCs w:val="32"/>
        </w:rPr>
        <w:t>万元，主要用于基本工资以及开展相关工作；</w:t>
      </w:r>
    </w:p>
    <w:p>
      <w:pPr>
        <w:snapToGrid w:val="0"/>
        <w:spacing w:line="353" w:lineRule="auto"/>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社会保障和就业支出</w:t>
      </w:r>
      <w:r>
        <w:rPr>
          <w:rFonts w:hint="default" w:ascii="Times New Roman" w:hAnsi="Times New Roman" w:eastAsia="仿宋_GB2312" w:cs="Times New Roman"/>
          <w:sz w:val="32"/>
          <w:szCs w:val="32"/>
        </w:rPr>
        <w:t>12.55</w:t>
      </w:r>
      <w:r>
        <w:rPr>
          <w:rFonts w:hint="eastAsia" w:ascii="Times New Roman" w:hAnsi="Times New Roman" w:eastAsia="仿宋_GB2312" w:cs="Times New Roman"/>
          <w:sz w:val="32"/>
          <w:szCs w:val="32"/>
        </w:rPr>
        <w:t>万元，主要用于保障退休人员退休补助及在职人员养老保险缴纳；</w:t>
      </w:r>
    </w:p>
    <w:p>
      <w:pPr>
        <w:snapToGrid w:val="0"/>
        <w:spacing w:line="353" w:lineRule="auto"/>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医疗卫生支出</w:t>
      </w:r>
      <w:r>
        <w:rPr>
          <w:rFonts w:hint="default" w:ascii="Times New Roman" w:hAnsi="Times New Roman" w:eastAsia="仿宋_GB2312" w:cs="Times New Roman"/>
          <w:sz w:val="32"/>
          <w:szCs w:val="32"/>
        </w:rPr>
        <w:t>6.57</w:t>
      </w:r>
      <w:r>
        <w:rPr>
          <w:rFonts w:hint="eastAsia" w:ascii="Times New Roman" w:hAnsi="Times New Roman" w:eastAsia="仿宋_GB2312" w:cs="Times New Roman"/>
          <w:sz w:val="32"/>
          <w:szCs w:val="32"/>
        </w:rPr>
        <w:t>万元，主要用于保障人员医疗保险缴纳；</w:t>
      </w:r>
    </w:p>
    <w:p>
      <w:pPr>
        <w:snapToGrid w:val="0"/>
        <w:spacing w:line="353" w:lineRule="auto"/>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rPr>
        <w:t>土地开发支出</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万元，主要用于档案安全保管利用维护及数据安全保障；</w:t>
      </w:r>
    </w:p>
    <w:p>
      <w:pPr>
        <w:snapToGrid w:val="0"/>
        <w:spacing w:line="353" w:lineRule="auto"/>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住房保障支出</w:t>
      </w:r>
      <w:r>
        <w:rPr>
          <w:rFonts w:hint="default" w:ascii="Times New Roman" w:hAnsi="Times New Roman" w:eastAsia="仿宋_GB2312" w:cs="Times New Roman"/>
          <w:sz w:val="32"/>
          <w:szCs w:val="32"/>
        </w:rPr>
        <w:t>9.25</w:t>
      </w:r>
      <w:r>
        <w:rPr>
          <w:rFonts w:hint="eastAsia" w:ascii="Times New Roman" w:hAnsi="Times New Roman" w:eastAsia="仿宋_GB2312" w:cs="Times New Roman"/>
          <w:sz w:val="32"/>
          <w:szCs w:val="32"/>
        </w:rPr>
        <w:t>万元，主要用于缴纳工作人员住房公积金。</w:t>
      </w:r>
    </w:p>
    <w:p>
      <w:pPr>
        <w:spacing w:line="353" w:lineRule="auto"/>
        <w:ind w:firstLine="640" w:firstLineChars="200"/>
        <w:outlineLvl w:val="1"/>
        <w:rPr>
          <w:rFonts w:hint="eastAsia" w:ascii="Times New Roman" w:hAnsi="Times New Roman" w:eastAsia="黑体" w:cs="Times New Roman"/>
          <w:color w:val="000000"/>
          <w:sz w:val="32"/>
          <w:szCs w:val="32"/>
        </w:rPr>
      </w:pPr>
      <w:bookmarkStart w:id="11" w:name="_Toc3101"/>
      <w:bookmarkStart w:id="12" w:name="_Toc1550"/>
      <w:r>
        <w:rPr>
          <w:rFonts w:hint="eastAsia" w:ascii="Times New Roman" w:hAnsi="Times New Roman" w:eastAsia="黑体" w:cs="Times New Roman"/>
          <w:color w:val="000000"/>
          <w:sz w:val="32"/>
          <w:szCs w:val="32"/>
        </w:rPr>
        <w:t>二、财政拨款收支预算情况说明</w:t>
      </w:r>
      <w:bookmarkEnd w:id="11"/>
      <w:bookmarkEnd w:id="12"/>
    </w:p>
    <w:p>
      <w:pPr>
        <w:snapToGrid w:val="0"/>
        <w:spacing w:line="353" w:lineRule="auto"/>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2023</w:t>
      </w:r>
      <w:r>
        <w:rPr>
          <w:rFonts w:hint="eastAsia" w:ascii="Times New Roman" w:hAnsi="Times New Roman" w:eastAsia="仿宋_GB2312" w:cs="Times New Roman"/>
          <w:sz w:val="32"/>
          <w:szCs w:val="32"/>
        </w:rPr>
        <w:t>年，财政拨款收支总预算</w:t>
      </w:r>
      <w:r>
        <w:rPr>
          <w:rFonts w:hint="default" w:ascii="Times New Roman" w:hAnsi="Times New Roman" w:eastAsia="仿宋_GB2312" w:cs="Times New Roman"/>
          <w:sz w:val="32"/>
          <w:szCs w:val="32"/>
        </w:rPr>
        <w:t>127.37</w:t>
      </w:r>
      <w:r>
        <w:rPr>
          <w:rFonts w:hint="eastAsia" w:ascii="Times New Roman" w:hAnsi="Times New Roman" w:eastAsia="仿宋_GB2312" w:cs="Times New Roman"/>
          <w:sz w:val="32"/>
          <w:szCs w:val="32"/>
        </w:rPr>
        <w:t>万元。收入包括：本年一般公共预算拨款收入</w:t>
      </w:r>
      <w:r>
        <w:rPr>
          <w:rFonts w:hint="default" w:ascii="Times New Roman" w:hAnsi="Times New Roman" w:eastAsia="仿宋_GB2312" w:cs="Times New Roman"/>
          <w:sz w:val="32"/>
          <w:szCs w:val="32"/>
        </w:rPr>
        <w:t>124.37</w:t>
      </w:r>
      <w:r>
        <w:rPr>
          <w:rFonts w:hint="eastAsia" w:ascii="Times New Roman" w:hAnsi="Times New Roman" w:eastAsia="仿宋_GB2312" w:cs="Times New Roman"/>
          <w:sz w:val="32"/>
          <w:szCs w:val="32"/>
        </w:rPr>
        <w:t>万元、本年政府性基金预算拨款收入</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万元；支出包括：一般公共服务支出</w:t>
      </w:r>
      <w:r>
        <w:rPr>
          <w:rFonts w:hint="default" w:ascii="Times New Roman" w:hAnsi="Times New Roman" w:eastAsia="仿宋_GB2312" w:cs="Times New Roman"/>
          <w:sz w:val="32"/>
          <w:szCs w:val="32"/>
        </w:rPr>
        <w:t>96</w:t>
      </w:r>
      <w:r>
        <w:rPr>
          <w:rFonts w:hint="eastAsia" w:ascii="Times New Roman" w:hAnsi="Times New Roman" w:eastAsia="仿宋_GB2312" w:cs="Times New Roman"/>
          <w:sz w:val="32"/>
          <w:szCs w:val="32"/>
        </w:rPr>
        <w:t>万元、社会保障和就业支出</w:t>
      </w:r>
      <w:r>
        <w:rPr>
          <w:rFonts w:hint="default" w:ascii="Times New Roman" w:hAnsi="Times New Roman" w:eastAsia="仿宋_GB2312" w:cs="Times New Roman"/>
          <w:sz w:val="32"/>
          <w:szCs w:val="32"/>
        </w:rPr>
        <w:t>12.55</w:t>
      </w:r>
      <w:r>
        <w:rPr>
          <w:rFonts w:hint="eastAsia" w:ascii="Times New Roman" w:hAnsi="Times New Roman" w:eastAsia="仿宋_GB2312" w:cs="Times New Roman"/>
          <w:sz w:val="32"/>
          <w:szCs w:val="32"/>
        </w:rPr>
        <w:t>万元、医疗卫生支出</w:t>
      </w:r>
      <w:r>
        <w:rPr>
          <w:rFonts w:hint="default" w:ascii="Times New Roman" w:hAnsi="Times New Roman" w:eastAsia="仿宋_GB2312" w:cs="Times New Roman"/>
          <w:sz w:val="32"/>
          <w:szCs w:val="32"/>
        </w:rPr>
        <w:t>6.57</w:t>
      </w:r>
      <w:r>
        <w:rPr>
          <w:rFonts w:hint="eastAsia" w:ascii="Times New Roman" w:hAnsi="Times New Roman" w:eastAsia="仿宋_GB2312" w:cs="Times New Roman"/>
          <w:sz w:val="32"/>
          <w:szCs w:val="32"/>
        </w:rPr>
        <w:t>万元、土地开发支出</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万元、住房保障支出</w:t>
      </w:r>
      <w:r>
        <w:rPr>
          <w:rFonts w:hint="default" w:ascii="Times New Roman" w:hAnsi="Times New Roman" w:eastAsia="仿宋_GB2312" w:cs="Times New Roman"/>
          <w:sz w:val="32"/>
          <w:szCs w:val="32"/>
        </w:rPr>
        <w:t>9.25</w:t>
      </w:r>
      <w:r>
        <w:rPr>
          <w:rFonts w:hint="eastAsia" w:ascii="Times New Roman" w:hAnsi="Times New Roman" w:eastAsia="仿宋_GB2312" w:cs="Times New Roman"/>
          <w:sz w:val="32"/>
          <w:szCs w:val="32"/>
        </w:rPr>
        <w:t>万元。</w:t>
      </w:r>
    </w:p>
    <w:p>
      <w:pPr>
        <w:spacing w:line="353" w:lineRule="auto"/>
        <w:ind w:firstLine="640" w:firstLineChars="200"/>
        <w:outlineLvl w:val="1"/>
        <w:rPr>
          <w:rFonts w:hint="eastAsia" w:ascii="Times New Roman" w:hAnsi="Times New Roman" w:eastAsia="黑体" w:cs="Times New Roman"/>
          <w:color w:val="000000"/>
          <w:sz w:val="32"/>
          <w:szCs w:val="32"/>
        </w:rPr>
      </w:pPr>
      <w:bookmarkStart w:id="13" w:name="_Toc3877"/>
      <w:bookmarkStart w:id="14" w:name="_Toc1745"/>
      <w:r>
        <w:rPr>
          <w:rFonts w:hint="eastAsia" w:ascii="Times New Roman" w:hAnsi="Times New Roman" w:eastAsia="黑体" w:cs="Times New Roman"/>
          <w:color w:val="000000"/>
          <w:sz w:val="32"/>
          <w:szCs w:val="32"/>
        </w:rPr>
        <w:t>三、一般公共预算当年拨款情况说明</w:t>
      </w:r>
      <w:bookmarkEnd w:id="13"/>
      <w:bookmarkEnd w:id="14"/>
    </w:p>
    <w:p>
      <w:pPr>
        <w:spacing w:line="353" w:lineRule="auto"/>
        <w:ind w:firstLine="640" w:firstLineChars="200"/>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（一）一般公共预算当年拨款规模变化情况。</w:t>
      </w:r>
    </w:p>
    <w:p>
      <w:pPr>
        <w:snapToGrid w:val="0"/>
        <w:spacing w:line="353" w:lineRule="auto"/>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2023</w:t>
      </w:r>
      <w:r>
        <w:rPr>
          <w:rFonts w:hint="eastAsia" w:ascii="Times New Roman" w:hAnsi="Times New Roman" w:eastAsia="仿宋_GB2312" w:cs="Times New Roman"/>
          <w:sz w:val="32"/>
          <w:szCs w:val="32"/>
        </w:rPr>
        <w:t>年，一般公共预算当年拨款</w:t>
      </w:r>
      <w:r>
        <w:rPr>
          <w:rFonts w:hint="default" w:ascii="Times New Roman" w:hAnsi="Times New Roman" w:eastAsia="仿宋_GB2312" w:cs="Times New Roman"/>
          <w:sz w:val="32"/>
          <w:szCs w:val="32"/>
        </w:rPr>
        <w:t>124.37</w:t>
      </w:r>
      <w:r>
        <w:rPr>
          <w:rFonts w:hint="eastAsia" w:ascii="Times New Roman" w:hAnsi="Times New Roman" w:eastAsia="仿宋_GB2312" w:cs="Times New Roman"/>
          <w:sz w:val="32"/>
          <w:szCs w:val="32"/>
        </w:rPr>
        <w:t>万元，比</w:t>
      </w:r>
      <w:r>
        <w:rPr>
          <w:rFonts w:hint="default" w:ascii="Times New Roman" w:hAnsi="Times New Roman" w:eastAsia="仿宋_GB2312" w:cs="Times New Roman"/>
          <w:sz w:val="32"/>
          <w:szCs w:val="32"/>
        </w:rPr>
        <w:t>2022</w:t>
      </w:r>
      <w:r>
        <w:rPr>
          <w:rFonts w:hint="eastAsia" w:ascii="Times New Roman" w:hAnsi="Times New Roman" w:eastAsia="仿宋_GB2312" w:cs="Times New Roman"/>
          <w:sz w:val="32"/>
          <w:szCs w:val="32"/>
        </w:rPr>
        <w:t>年预算数</w:t>
      </w:r>
      <w:r>
        <w:rPr>
          <w:rFonts w:hint="default" w:ascii="Times New Roman" w:hAnsi="Times New Roman" w:eastAsia="仿宋_GB2312" w:cs="Times New Roman"/>
          <w:sz w:val="32"/>
          <w:szCs w:val="32"/>
        </w:rPr>
        <w:t>5.03</w:t>
      </w:r>
      <w:r>
        <w:rPr>
          <w:rFonts w:hint="eastAsia" w:ascii="Times New Roman" w:hAnsi="Times New Roman" w:eastAsia="仿宋_GB2312" w:cs="Times New Roman"/>
          <w:sz w:val="32"/>
          <w:szCs w:val="32"/>
        </w:rPr>
        <w:t>万元，主要原因是减少了卫生健康支出和住房保障支出。</w:t>
      </w:r>
    </w:p>
    <w:p>
      <w:pPr>
        <w:spacing w:line="353" w:lineRule="auto"/>
        <w:ind w:firstLine="640" w:firstLineChars="200"/>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（二）一般公共预算当年拨款结构情况。</w:t>
      </w:r>
    </w:p>
    <w:p>
      <w:pPr>
        <w:snapToGrid w:val="0"/>
        <w:spacing w:line="353"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一般公共服务支出</w:t>
      </w:r>
      <w:r>
        <w:rPr>
          <w:rFonts w:hint="default" w:ascii="Times New Roman" w:hAnsi="Times New Roman" w:eastAsia="仿宋_GB2312" w:cs="Times New Roman"/>
          <w:sz w:val="32"/>
          <w:szCs w:val="32"/>
        </w:rPr>
        <w:t>121.37</w:t>
      </w:r>
      <w:r>
        <w:rPr>
          <w:rFonts w:hint="eastAsia" w:ascii="Times New Roman" w:hAnsi="Times New Roman" w:eastAsia="仿宋_GB2312" w:cs="Times New Roman"/>
          <w:sz w:val="32"/>
          <w:szCs w:val="32"/>
        </w:rPr>
        <w:t>万元，占</w:t>
      </w:r>
      <w:r>
        <w:rPr>
          <w:rFonts w:hint="default" w:ascii="Times New Roman" w:hAnsi="Times New Roman" w:eastAsia="仿宋_GB2312" w:cs="Times New Roman"/>
          <w:sz w:val="32"/>
          <w:szCs w:val="32"/>
        </w:rPr>
        <w:t>97.64%</w:t>
      </w:r>
      <w:r>
        <w:rPr>
          <w:rFonts w:hint="eastAsia" w:ascii="Times New Roman" w:hAnsi="Times New Roman" w:eastAsia="仿宋_GB2312" w:cs="Times New Roman"/>
          <w:sz w:val="32"/>
          <w:szCs w:val="32"/>
        </w:rPr>
        <w:t>；一般公共服务支出</w:t>
      </w:r>
      <w:r>
        <w:rPr>
          <w:rFonts w:hint="default" w:ascii="Times New Roman" w:hAnsi="Times New Roman" w:eastAsia="仿宋_GB2312" w:cs="Times New Roman"/>
          <w:sz w:val="32"/>
          <w:szCs w:val="32"/>
        </w:rPr>
        <w:t>96</w:t>
      </w:r>
      <w:r>
        <w:rPr>
          <w:rFonts w:hint="eastAsia" w:ascii="Times New Roman" w:hAnsi="Times New Roman" w:eastAsia="仿宋_GB2312" w:cs="Times New Roman"/>
          <w:sz w:val="32"/>
          <w:szCs w:val="32"/>
        </w:rPr>
        <w:t>万元、社会保障和就业支出</w:t>
      </w:r>
      <w:r>
        <w:rPr>
          <w:rFonts w:hint="default" w:ascii="Times New Roman" w:hAnsi="Times New Roman" w:eastAsia="仿宋_GB2312" w:cs="Times New Roman"/>
          <w:sz w:val="32"/>
          <w:szCs w:val="32"/>
        </w:rPr>
        <w:t>12.55</w:t>
      </w:r>
      <w:r>
        <w:rPr>
          <w:rFonts w:hint="eastAsia" w:ascii="Times New Roman" w:hAnsi="Times New Roman" w:eastAsia="仿宋_GB2312" w:cs="Times New Roman"/>
          <w:sz w:val="32"/>
          <w:szCs w:val="32"/>
        </w:rPr>
        <w:t>万元、医疗卫生支出</w:t>
      </w:r>
      <w:r>
        <w:rPr>
          <w:rFonts w:hint="default" w:ascii="Times New Roman" w:hAnsi="Times New Roman" w:eastAsia="仿宋_GB2312" w:cs="Times New Roman"/>
          <w:sz w:val="32"/>
          <w:szCs w:val="32"/>
        </w:rPr>
        <w:t>6.57</w:t>
      </w:r>
      <w:r>
        <w:rPr>
          <w:rFonts w:hint="eastAsia" w:ascii="Times New Roman" w:hAnsi="Times New Roman" w:eastAsia="仿宋_GB2312" w:cs="Times New Roman"/>
          <w:sz w:val="32"/>
          <w:szCs w:val="32"/>
        </w:rPr>
        <w:t>万元、住房保障支出</w:t>
      </w:r>
      <w:r>
        <w:rPr>
          <w:rFonts w:hint="default" w:ascii="Times New Roman" w:hAnsi="Times New Roman" w:eastAsia="仿宋_GB2312" w:cs="Times New Roman"/>
          <w:sz w:val="32"/>
          <w:szCs w:val="32"/>
        </w:rPr>
        <w:t>9.25</w:t>
      </w:r>
      <w:r>
        <w:rPr>
          <w:rFonts w:hint="eastAsia" w:ascii="Times New Roman" w:hAnsi="Times New Roman" w:eastAsia="仿宋_GB2312" w:cs="Times New Roman"/>
          <w:sz w:val="32"/>
          <w:szCs w:val="32"/>
        </w:rPr>
        <w:t>万元。</w:t>
      </w:r>
    </w:p>
    <w:p>
      <w:pPr>
        <w:spacing w:line="353" w:lineRule="auto"/>
        <w:ind w:firstLine="640" w:firstLineChars="200"/>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（三）一般公共预算当年拨款具体使用情况。</w:t>
      </w:r>
    </w:p>
    <w:p>
      <w:pPr>
        <w:snapToGrid w:val="0"/>
        <w:spacing w:line="353" w:lineRule="auto"/>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一般公共服务（类）档案事务（款）行政运行（项）</w:t>
      </w:r>
      <w:r>
        <w:rPr>
          <w:rFonts w:hint="default" w:ascii="Times New Roman" w:hAnsi="Times New Roman" w:eastAsia="仿宋_GB2312" w:cs="Times New Roman"/>
          <w:sz w:val="32"/>
          <w:szCs w:val="32"/>
        </w:rPr>
        <w:t>2023</w:t>
      </w:r>
      <w:r>
        <w:rPr>
          <w:rFonts w:hint="eastAsia" w:ascii="Times New Roman" w:hAnsi="Times New Roman" w:eastAsia="仿宋_GB2312" w:cs="Times New Roman"/>
          <w:sz w:val="32"/>
          <w:szCs w:val="32"/>
        </w:rPr>
        <w:t>年预算数为</w:t>
      </w:r>
      <w:r>
        <w:rPr>
          <w:rFonts w:hint="default" w:ascii="Times New Roman" w:hAnsi="Times New Roman" w:eastAsia="仿宋_GB2312" w:cs="Times New Roman"/>
          <w:sz w:val="32"/>
          <w:szCs w:val="32"/>
        </w:rPr>
        <w:t>96</w:t>
      </w:r>
      <w:r>
        <w:rPr>
          <w:rFonts w:hint="eastAsia" w:ascii="Times New Roman" w:hAnsi="Times New Roman" w:eastAsia="仿宋_GB2312" w:cs="Times New Roman"/>
          <w:sz w:val="32"/>
          <w:szCs w:val="32"/>
        </w:rPr>
        <w:t>万元，主要用于：人员工资以及开展相关工作。</w:t>
      </w:r>
    </w:p>
    <w:p>
      <w:pPr>
        <w:snapToGrid w:val="0"/>
        <w:spacing w:line="353" w:lineRule="auto"/>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社会保障和就业支出（类）行政事业单位养老支出（款）行政单位离退休（项）</w:t>
      </w:r>
      <w:r>
        <w:rPr>
          <w:rFonts w:hint="default" w:ascii="Times New Roman" w:hAnsi="Times New Roman" w:eastAsia="仿宋_GB2312" w:cs="Times New Roman"/>
          <w:sz w:val="32"/>
          <w:szCs w:val="32"/>
        </w:rPr>
        <w:t>2023</w:t>
      </w:r>
      <w:r>
        <w:rPr>
          <w:rFonts w:hint="eastAsia" w:ascii="Times New Roman" w:hAnsi="Times New Roman" w:eastAsia="仿宋_GB2312" w:cs="Times New Roman"/>
          <w:sz w:val="32"/>
          <w:szCs w:val="32"/>
        </w:rPr>
        <w:t>年预算数为</w:t>
      </w:r>
      <w:r>
        <w:rPr>
          <w:rFonts w:hint="default" w:ascii="Times New Roman" w:hAnsi="Times New Roman" w:eastAsia="仿宋_GB2312" w:cs="Times New Roman"/>
          <w:sz w:val="32"/>
          <w:szCs w:val="32"/>
        </w:rPr>
        <w:t>1.63</w:t>
      </w:r>
      <w:r>
        <w:rPr>
          <w:rFonts w:hint="eastAsia" w:ascii="Times New Roman" w:hAnsi="Times New Roman" w:eastAsia="仿宋_GB2312" w:cs="Times New Roman"/>
          <w:sz w:val="32"/>
          <w:szCs w:val="32"/>
        </w:rPr>
        <w:t>万元，主要用于：退休人员生活补助。</w:t>
      </w:r>
    </w:p>
    <w:p>
      <w:pPr>
        <w:snapToGrid w:val="0"/>
        <w:spacing w:line="353" w:lineRule="auto"/>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3. </w:t>
      </w:r>
      <w:r>
        <w:rPr>
          <w:rFonts w:hint="eastAsia" w:ascii="Times New Roman" w:hAnsi="Times New Roman" w:eastAsia="仿宋_GB2312" w:cs="Times New Roman"/>
          <w:sz w:val="32"/>
          <w:szCs w:val="32"/>
        </w:rPr>
        <w:t>社会保障和就业支出（类）行政事业单位养老支出（款）机关事业单位基本养老保险缴费支出（项）</w:t>
      </w:r>
      <w:r>
        <w:rPr>
          <w:rFonts w:hint="default" w:ascii="Times New Roman" w:hAnsi="Times New Roman" w:eastAsia="仿宋_GB2312" w:cs="Times New Roman"/>
          <w:sz w:val="32"/>
          <w:szCs w:val="32"/>
        </w:rPr>
        <w:t>2023</w:t>
      </w:r>
      <w:r>
        <w:rPr>
          <w:rFonts w:hint="eastAsia" w:ascii="Times New Roman" w:hAnsi="Times New Roman" w:eastAsia="仿宋_GB2312" w:cs="Times New Roman"/>
          <w:sz w:val="32"/>
          <w:szCs w:val="32"/>
        </w:rPr>
        <w:t>年预算数为</w:t>
      </w:r>
      <w:r>
        <w:rPr>
          <w:rFonts w:hint="default" w:ascii="Times New Roman" w:hAnsi="Times New Roman" w:eastAsia="仿宋_GB2312" w:cs="Times New Roman"/>
          <w:sz w:val="32"/>
          <w:szCs w:val="32"/>
        </w:rPr>
        <w:t>10.92</w:t>
      </w:r>
      <w:r>
        <w:rPr>
          <w:rFonts w:hint="eastAsia" w:ascii="Times New Roman" w:hAnsi="Times New Roman" w:eastAsia="仿宋_GB2312" w:cs="Times New Roman"/>
          <w:sz w:val="32"/>
          <w:szCs w:val="32"/>
        </w:rPr>
        <w:t>万元，主要用于：支付在职人员养老保险缴纳。</w:t>
      </w:r>
    </w:p>
    <w:p>
      <w:pPr>
        <w:snapToGrid w:val="0"/>
        <w:spacing w:line="353" w:lineRule="auto"/>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4. </w:t>
      </w:r>
      <w:r>
        <w:rPr>
          <w:rFonts w:hint="eastAsia" w:ascii="Times New Roman" w:hAnsi="Times New Roman" w:eastAsia="仿宋_GB2312" w:cs="Times New Roman"/>
          <w:sz w:val="32"/>
          <w:szCs w:val="32"/>
        </w:rPr>
        <w:t>卫生健康支出（类）行政事业单位医疗（款）行政单位医疗（项）</w:t>
      </w:r>
      <w:r>
        <w:rPr>
          <w:rFonts w:hint="default" w:ascii="Times New Roman" w:hAnsi="Times New Roman" w:eastAsia="仿宋_GB2312" w:cs="Times New Roman"/>
          <w:sz w:val="32"/>
          <w:szCs w:val="32"/>
        </w:rPr>
        <w:t>2023</w:t>
      </w:r>
      <w:r>
        <w:rPr>
          <w:rFonts w:hint="eastAsia" w:ascii="Times New Roman" w:hAnsi="Times New Roman" w:eastAsia="仿宋_GB2312" w:cs="Times New Roman"/>
          <w:sz w:val="32"/>
          <w:szCs w:val="32"/>
        </w:rPr>
        <w:t>年预算数为</w:t>
      </w:r>
      <w:r>
        <w:rPr>
          <w:rFonts w:hint="default" w:ascii="Times New Roman" w:hAnsi="Times New Roman" w:eastAsia="仿宋_GB2312" w:cs="Times New Roman"/>
          <w:sz w:val="32"/>
          <w:szCs w:val="32"/>
        </w:rPr>
        <w:t>5.93</w:t>
      </w:r>
      <w:r>
        <w:rPr>
          <w:rFonts w:hint="eastAsia" w:ascii="Times New Roman" w:hAnsi="Times New Roman" w:eastAsia="仿宋_GB2312" w:cs="Times New Roman"/>
          <w:sz w:val="32"/>
          <w:szCs w:val="32"/>
        </w:rPr>
        <w:t>万元，主要用于：支付在职人员医疗保险缴纳。</w:t>
      </w:r>
    </w:p>
    <w:p>
      <w:pPr>
        <w:snapToGrid w:val="0"/>
        <w:spacing w:line="353" w:lineRule="auto"/>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5. </w:t>
      </w:r>
      <w:r>
        <w:rPr>
          <w:rFonts w:hint="eastAsia" w:ascii="Times New Roman" w:hAnsi="Times New Roman" w:eastAsia="仿宋_GB2312" w:cs="Times New Roman"/>
          <w:sz w:val="32"/>
          <w:szCs w:val="32"/>
        </w:rPr>
        <w:t>卫生健康支出（类）行政事业单位医疗（款）公务员医疗补助（项）</w:t>
      </w:r>
      <w:r>
        <w:rPr>
          <w:rFonts w:hint="default" w:ascii="Times New Roman" w:hAnsi="Times New Roman" w:eastAsia="仿宋_GB2312" w:cs="Times New Roman"/>
          <w:sz w:val="32"/>
          <w:szCs w:val="32"/>
        </w:rPr>
        <w:t>2023</w:t>
      </w:r>
      <w:r>
        <w:rPr>
          <w:rFonts w:hint="eastAsia" w:ascii="Times New Roman" w:hAnsi="Times New Roman" w:eastAsia="仿宋_GB2312" w:cs="Times New Roman"/>
          <w:sz w:val="32"/>
          <w:szCs w:val="32"/>
        </w:rPr>
        <w:t>年预算数为</w:t>
      </w:r>
      <w:r>
        <w:rPr>
          <w:rFonts w:hint="default" w:ascii="Times New Roman" w:hAnsi="Times New Roman" w:eastAsia="仿宋_GB2312" w:cs="Times New Roman"/>
          <w:sz w:val="32"/>
          <w:szCs w:val="32"/>
        </w:rPr>
        <w:t>0.64</w:t>
      </w:r>
      <w:r>
        <w:rPr>
          <w:rFonts w:hint="eastAsia" w:ascii="Times New Roman" w:hAnsi="Times New Roman" w:eastAsia="仿宋_GB2312" w:cs="Times New Roman"/>
          <w:sz w:val="32"/>
          <w:szCs w:val="32"/>
        </w:rPr>
        <w:t>万元，主要用于：支付在职人员医疗保险缴纳。</w:t>
      </w:r>
    </w:p>
    <w:p>
      <w:pPr>
        <w:snapToGrid w:val="0"/>
        <w:spacing w:line="353" w:lineRule="auto"/>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5. </w:t>
      </w:r>
      <w:r>
        <w:rPr>
          <w:rFonts w:hint="eastAsia" w:ascii="Times New Roman" w:hAnsi="Times New Roman" w:eastAsia="仿宋_GB2312" w:cs="Times New Roman"/>
          <w:sz w:val="32"/>
          <w:szCs w:val="32"/>
        </w:rPr>
        <w:t>住房保障支出（类）住房改革支出（款）住房公积金（项）</w:t>
      </w:r>
      <w:r>
        <w:rPr>
          <w:rFonts w:hint="default" w:ascii="Times New Roman" w:hAnsi="Times New Roman" w:eastAsia="仿宋_GB2312" w:cs="Times New Roman"/>
          <w:sz w:val="32"/>
          <w:szCs w:val="32"/>
        </w:rPr>
        <w:t>2023</w:t>
      </w:r>
      <w:r>
        <w:rPr>
          <w:rFonts w:hint="eastAsia" w:ascii="Times New Roman" w:hAnsi="Times New Roman" w:eastAsia="仿宋_GB2312" w:cs="Times New Roman"/>
          <w:sz w:val="32"/>
          <w:szCs w:val="32"/>
        </w:rPr>
        <w:t>年预算数为</w:t>
      </w:r>
      <w:r>
        <w:rPr>
          <w:rFonts w:hint="default" w:ascii="Times New Roman" w:hAnsi="Times New Roman" w:eastAsia="仿宋_GB2312" w:cs="Times New Roman"/>
          <w:sz w:val="32"/>
          <w:szCs w:val="32"/>
        </w:rPr>
        <w:t>9.24</w:t>
      </w:r>
      <w:r>
        <w:rPr>
          <w:rFonts w:hint="eastAsia" w:ascii="Times New Roman" w:hAnsi="Times New Roman" w:eastAsia="仿宋_GB2312" w:cs="Times New Roman"/>
          <w:sz w:val="32"/>
          <w:szCs w:val="32"/>
        </w:rPr>
        <w:t>万元，主要用于：支付工作人员住房公积金缴纳。</w:t>
      </w:r>
    </w:p>
    <w:p>
      <w:pPr>
        <w:spacing w:line="353" w:lineRule="auto"/>
        <w:ind w:firstLine="640" w:firstLineChars="200"/>
        <w:outlineLvl w:val="1"/>
        <w:rPr>
          <w:rFonts w:hint="eastAsia" w:ascii="Times New Roman" w:hAnsi="Times New Roman" w:eastAsia="黑体" w:cs="Times New Roman"/>
          <w:color w:val="000000"/>
          <w:sz w:val="32"/>
          <w:szCs w:val="32"/>
        </w:rPr>
      </w:pPr>
      <w:bookmarkStart w:id="15" w:name="_Toc27476"/>
      <w:bookmarkStart w:id="16" w:name="_Toc8067"/>
      <w:r>
        <w:rPr>
          <w:rFonts w:hint="eastAsia" w:ascii="Times New Roman" w:hAnsi="Times New Roman" w:eastAsia="黑体" w:cs="Times New Roman"/>
          <w:color w:val="000000"/>
          <w:sz w:val="32"/>
          <w:szCs w:val="32"/>
        </w:rPr>
        <w:t>四、一般公共预算基本支出情况说明</w:t>
      </w:r>
      <w:bookmarkEnd w:id="15"/>
      <w:bookmarkEnd w:id="16"/>
    </w:p>
    <w:p>
      <w:pPr>
        <w:snapToGrid w:val="0"/>
        <w:spacing w:line="353" w:lineRule="auto"/>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2023</w:t>
      </w:r>
      <w:r>
        <w:rPr>
          <w:rFonts w:hint="eastAsia" w:ascii="Times New Roman" w:hAnsi="Times New Roman" w:eastAsia="仿宋_GB2312" w:cs="Times New Roman"/>
          <w:sz w:val="32"/>
          <w:szCs w:val="32"/>
        </w:rPr>
        <w:t>年，一般公共预算基本支出</w:t>
      </w:r>
      <w:r>
        <w:rPr>
          <w:rFonts w:hint="default" w:ascii="Times New Roman" w:hAnsi="Times New Roman" w:eastAsia="仿宋_GB2312" w:cs="Times New Roman"/>
          <w:sz w:val="32"/>
          <w:szCs w:val="32"/>
        </w:rPr>
        <w:t>121.37</w:t>
      </w:r>
      <w:r>
        <w:rPr>
          <w:rFonts w:hint="eastAsia" w:ascii="Times New Roman" w:hAnsi="Times New Roman" w:eastAsia="仿宋_GB2312" w:cs="Times New Roman"/>
          <w:sz w:val="32"/>
          <w:szCs w:val="32"/>
        </w:rPr>
        <w:t>万元，其中：</w:t>
      </w:r>
    </w:p>
    <w:p>
      <w:pPr>
        <w:snapToGrid w:val="0"/>
        <w:spacing w:line="353"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人员经费</w:t>
      </w:r>
      <w:r>
        <w:rPr>
          <w:rFonts w:hint="default" w:ascii="Times New Roman" w:hAnsi="Times New Roman" w:eastAsia="仿宋_GB2312" w:cs="Times New Roman"/>
          <w:sz w:val="32"/>
          <w:szCs w:val="32"/>
        </w:rPr>
        <w:t>112.78</w:t>
      </w:r>
      <w:r>
        <w:rPr>
          <w:rFonts w:hint="eastAsia" w:ascii="Times New Roman" w:hAnsi="Times New Roman" w:eastAsia="仿宋_GB2312" w:cs="Times New Roman"/>
          <w:sz w:val="32"/>
          <w:szCs w:val="32"/>
        </w:rPr>
        <w:t>万元，主要包括：基本工资、津贴补贴、奖金、机关事业单位基本养老保险缴费、职工基本医疗保险缴费、公务员医疗补助缴费、其他社会保障缴费、住房公积金、其他工资福利支出。</w:t>
      </w:r>
    </w:p>
    <w:p>
      <w:pPr>
        <w:snapToGrid w:val="0"/>
        <w:spacing w:line="353"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公用经费</w:t>
      </w:r>
      <w:r>
        <w:rPr>
          <w:rFonts w:hint="default" w:ascii="Times New Roman" w:hAnsi="Times New Roman" w:eastAsia="仿宋_GB2312" w:cs="Times New Roman"/>
          <w:sz w:val="32"/>
          <w:szCs w:val="32"/>
        </w:rPr>
        <w:t>11.59</w:t>
      </w:r>
      <w:r>
        <w:rPr>
          <w:rFonts w:hint="eastAsia" w:ascii="Times New Roman" w:hAnsi="Times New Roman" w:eastAsia="仿宋_GB2312" w:cs="Times New Roman"/>
          <w:sz w:val="32"/>
          <w:szCs w:val="32"/>
        </w:rPr>
        <w:t>万元，主要包括：办公费、印刷费、咨询费、手续费、公务接待费、工会经费、福利费。</w:t>
      </w:r>
    </w:p>
    <w:p>
      <w:pPr>
        <w:spacing w:line="353" w:lineRule="auto"/>
        <w:ind w:firstLine="640" w:firstLineChars="200"/>
        <w:outlineLvl w:val="1"/>
        <w:rPr>
          <w:rFonts w:hint="eastAsia" w:ascii="Times New Roman" w:hAnsi="Times New Roman" w:eastAsia="黑体" w:cs="Times New Roman"/>
          <w:color w:val="000000"/>
          <w:sz w:val="32"/>
          <w:szCs w:val="32"/>
        </w:rPr>
      </w:pPr>
      <w:bookmarkStart w:id="17" w:name="_Toc28459"/>
      <w:bookmarkStart w:id="18" w:name="_Toc95"/>
      <w:r>
        <w:rPr>
          <w:rFonts w:hint="eastAsia" w:ascii="Times New Roman" w:hAnsi="Times New Roman" w:eastAsia="黑体" w:cs="Times New Roman"/>
          <w:color w:val="000000"/>
          <w:sz w:val="32"/>
          <w:szCs w:val="32"/>
        </w:rPr>
        <w:t>五、</w:t>
      </w:r>
      <w:r>
        <w:rPr>
          <w:rFonts w:hint="default" w:ascii="Times New Roman" w:hAnsi="Times New Roman" w:eastAsia="黑体" w:cs="Times New Roman"/>
          <w:color w:val="000000"/>
          <w:sz w:val="32"/>
          <w:szCs w:val="32"/>
        </w:rPr>
        <w:t>“</w:t>
      </w:r>
      <w:r>
        <w:rPr>
          <w:rFonts w:hint="eastAsia" w:ascii="Times New Roman" w:hAnsi="Times New Roman" w:eastAsia="黑体" w:cs="Times New Roman"/>
          <w:color w:val="000000"/>
          <w:sz w:val="32"/>
          <w:szCs w:val="32"/>
        </w:rPr>
        <w:t>三公</w:t>
      </w:r>
      <w:r>
        <w:rPr>
          <w:rFonts w:hint="default" w:ascii="Times New Roman" w:hAnsi="Times New Roman" w:eastAsia="黑体" w:cs="Times New Roman"/>
          <w:color w:val="000000"/>
          <w:sz w:val="32"/>
          <w:szCs w:val="32"/>
        </w:rPr>
        <w:t>”</w:t>
      </w:r>
      <w:r>
        <w:rPr>
          <w:rFonts w:hint="eastAsia" w:ascii="Times New Roman" w:hAnsi="Times New Roman" w:eastAsia="黑体" w:cs="Times New Roman"/>
          <w:color w:val="000000"/>
          <w:sz w:val="32"/>
          <w:szCs w:val="32"/>
        </w:rPr>
        <w:t>经费财政拨款预算安排情况说明</w:t>
      </w:r>
      <w:bookmarkEnd w:id="17"/>
      <w:bookmarkEnd w:id="18"/>
    </w:p>
    <w:p>
      <w:pPr>
        <w:snapToGrid w:val="0"/>
        <w:spacing w:line="353" w:lineRule="auto"/>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2023</w:t>
      </w:r>
      <w:r>
        <w:rPr>
          <w:rFonts w:hint="eastAsia" w:ascii="Times New Roman" w:hAnsi="Times New Roman" w:eastAsia="仿宋_GB2312" w:cs="Times New Roman"/>
          <w:sz w:val="32"/>
          <w:szCs w:val="32"/>
        </w:rPr>
        <w:t>年，</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三公</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经费财政拨款预算数</w:t>
      </w:r>
      <w:r>
        <w:rPr>
          <w:rFonts w:hint="default" w:ascii="Times New Roman" w:hAnsi="Times New Roman" w:eastAsia="仿宋_GB2312" w:cs="Times New Roman"/>
          <w:sz w:val="32"/>
          <w:szCs w:val="32"/>
        </w:rPr>
        <w:t>0.3</w:t>
      </w:r>
      <w:r>
        <w:rPr>
          <w:rFonts w:hint="eastAsia" w:ascii="Times New Roman" w:hAnsi="Times New Roman" w:eastAsia="仿宋_GB2312" w:cs="Times New Roman"/>
          <w:sz w:val="32"/>
          <w:szCs w:val="32"/>
        </w:rPr>
        <w:t>万元，其中：因公出国（境）经费</w:t>
      </w:r>
      <w:r>
        <w:rPr>
          <w:rFonts w:hint="default"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万元、公务接待费</w:t>
      </w:r>
      <w:r>
        <w:rPr>
          <w:rFonts w:hint="default" w:ascii="Times New Roman" w:hAnsi="Times New Roman" w:eastAsia="仿宋_GB2312" w:cs="Times New Roman"/>
          <w:sz w:val="32"/>
          <w:szCs w:val="32"/>
        </w:rPr>
        <w:t>0.3</w:t>
      </w:r>
      <w:r>
        <w:rPr>
          <w:rFonts w:hint="eastAsia" w:ascii="Times New Roman" w:hAnsi="Times New Roman" w:eastAsia="仿宋_GB2312" w:cs="Times New Roman"/>
          <w:sz w:val="32"/>
          <w:szCs w:val="32"/>
        </w:rPr>
        <w:t>万元、公务用车购置及运行维护费</w:t>
      </w:r>
      <w:r>
        <w:rPr>
          <w:rFonts w:hint="default" w:ascii="Times New Roman" w:hAnsi="Times New Roman" w:eastAsia="仿宋_GB2312" w:cs="Times New Roman"/>
          <w:sz w:val="32"/>
          <w:szCs w:val="32"/>
        </w:rPr>
        <w:t>0</w:t>
      </w:r>
      <w:r>
        <w:rPr>
          <w:rFonts w:hint="eastAsia" w:ascii="Times New Roman" w:hAnsi="Times New Roman" w:eastAsia="仿宋_GB2312" w:cs="Times New Roman"/>
          <w:sz w:val="32"/>
          <w:szCs w:val="32"/>
        </w:rPr>
        <w:t>万元。</w:t>
      </w:r>
    </w:p>
    <w:p>
      <w:pPr>
        <w:spacing w:line="353" w:lineRule="auto"/>
        <w:ind w:firstLine="640" w:firstLineChars="200"/>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（一）因公出国（境）经费较</w:t>
      </w:r>
      <w:r>
        <w:rPr>
          <w:rFonts w:hint="default" w:ascii="Times New Roman" w:hAnsi="Times New Roman" w:eastAsia="楷体_GB2312" w:cs="Times New Roman"/>
          <w:sz w:val="32"/>
          <w:szCs w:val="32"/>
        </w:rPr>
        <w:t>2022</w:t>
      </w:r>
      <w:r>
        <w:rPr>
          <w:rFonts w:hint="eastAsia" w:ascii="Times New Roman" w:hAnsi="Times New Roman" w:eastAsia="楷体_GB2312" w:cs="Times New Roman"/>
          <w:sz w:val="32"/>
          <w:szCs w:val="32"/>
        </w:rPr>
        <w:t>年预算无变化。</w:t>
      </w:r>
    </w:p>
    <w:p>
      <w:pPr>
        <w:spacing w:line="353" w:lineRule="auto"/>
        <w:ind w:firstLine="640" w:firstLineChars="200"/>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（二）公务接待费与</w:t>
      </w:r>
      <w:r>
        <w:rPr>
          <w:rFonts w:hint="default" w:ascii="Times New Roman" w:hAnsi="Times New Roman" w:eastAsia="楷体_GB2312" w:cs="Times New Roman"/>
          <w:sz w:val="32"/>
          <w:szCs w:val="32"/>
        </w:rPr>
        <w:t>2022</w:t>
      </w:r>
      <w:r>
        <w:rPr>
          <w:rFonts w:hint="eastAsia" w:ascii="Times New Roman" w:hAnsi="Times New Roman" w:eastAsia="楷体_GB2312" w:cs="Times New Roman"/>
          <w:sz w:val="32"/>
          <w:szCs w:val="32"/>
        </w:rPr>
        <w:t>年预算持平。</w:t>
      </w:r>
    </w:p>
    <w:p>
      <w:pPr>
        <w:snapToGrid w:val="0"/>
        <w:spacing w:line="353" w:lineRule="auto"/>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2023</w:t>
      </w:r>
      <w:r>
        <w:rPr>
          <w:rFonts w:hint="eastAsia" w:ascii="Times New Roman" w:hAnsi="Times New Roman" w:eastAsia="仿宋_GB2312" w:cs="Times New Roman"/>
          <w:sz w:val="32"/>
          <w:szCs w:val="32"/>
        </w:rPr>
        <w:t>年公务接待费计划用于接待市级领导调研、检查开支的用餐费等。</w:t>
      </w:r>
    </w:p>
    <w:p>
      <w:pPr>
        <w:rPr>
          <w:rFonts w:hint="eastAsia"/>
        </w:rPr>
      </w:pPr>
      <w:r>
        <w:rPr>
          <w:rFonts w:hint="eastAsia"/>
        </w:rPr>
        <w:t>   </w:t>
      </w:r>
      <w:r>
        <w:rPr>
          <w:rFonts w:hint="eastAsia" w:ascii="Times New Roman" w:hAnsi="Times New Roman" w:eastAsia="楷体_GB2312" w:cs="Times New Roman"/>
          <w:sz w:val="32"/>
          <w:szCs w:val="32"/>
        </w:rPr>
        <w:t xml:space="preserve"> （三）公务用车购置及运行维护费较</w:t>
      </w:r>
      <w:r>
        <w:rPr>
          <w:rFonts w:hint="default" w:ascii="Times New Roman" w:hAnsi="Times New Roman" w:eastAsia="楷体_GB2312" w:cs="Times New Roman"/>
          <w:sz w:val="32"/>
          <w:szCs w:val="32"/>
        </w:rPr>
        <w:t>2022</w:t>
      </w:r>
      <w:r>
        <w:rPr>
          <w:rFonts w:hint="eastAsia" w:ascii="Times New Roman" w:hAnsi="Times New Roman" w:eastAsia="楷体_GB2312" w:cs="Times New Roman"/>
          <w:sz w:val="32"/>
          <w:szCs w:val="32"/>
        </w:rPr>
        <w:t>年预算持平。</w:t>
      </w:r>
    </w:p>
    <w:p>
      <w:pPr>
        <w:snapToGrid w:val="0"/>
        <w:spacing w:line="353"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单位现有公务用车</w:t>
      </w:r>
      <w:r>
        <w:rPr>
          <w:rFonts w:hint="default" w:ascii="Times New Roman" w:hAnsi="Times New Roman" w:eastAsia="仿宋_GB2312" w:cs="Times New Roman"/>
          <w:sz w:val="32"/>
          <w:szCs w:val="32"/>
        </w:rPr>
        <w:t>0</w:t>
      </w:r>
      <w:r>
        <w:rPr>
          <w:rFonts w:hint="eastAsia" w:ascii="Times New Roman" w:hAnsi="Times New Roman" w:eastAsia="仿宋_GB2312" w:cs="Times New Roman"/>
          <w:sz w:val="32"/>
          <w:szCs w:val="32"/>
        </w:rPr>
        <w:t>辆，其中：轿车（含</w:t>
      </w:r>
      <w:r>
        <w:rPr>
          <w:rFonts w:hint="default" w:ascii="Times New Roman" w:hAnsi="Times New Roman" w:eastAsia="仿宋_GB2312" w:cs="Times New Roman"/>
          <w:sz w:val="32"/>
          <w:szCs w:val="32"/>
        </w:rPr>
        <w:t>7</w:t>
      </w:r>
      <w:r>
        <w:rPr>
          <w:rFonts w:hint="eastAsia" w:ascii="Times New Roman" w:hAnsi="Times New Roman" w:eastAsia="仿宋_GB2312" w:cs="Times New Roman"/>
          <w:sz w:val="32"/>
          <w:szCs w:val="32"/>
        </w:rPr>
        <w:t>座以下商务车、城市越野车）</w:t>
      </w:r>
      <w:r>
        <w:rPr>
          <w:rFonts w:hint="default" w:ascii="Times New Roman" w:hAnsi="Times New Roman" w:eastAsia="仿宋_GB2312" w:cs="Times New Roman"/>
          <w:sz w:val="32"/>
          <w:szCs w:val="32"/>
        </w:rPr>
        <w:t>0</w:t>
      </w:r>
      <w:r>
        <w:rPr>
          <w:rFonts w:hint="eastAsia" w:ascii="Times New Roman" w:hAnsi="Times New Roman" w:eastAsia="仿宋_GB2312" w:cs="Times New Roman"/>
          <w:sz w:val="32"/>
          <w:szCs w:val="32"/>
        </w:rPr>
        <w:t>辆，</w:t>
      </w:r>
      <w:r>
        <w:rPr>
          <w:rFonts w:hint="default" w:ascii="Times New Roman" w:hAnsi="Times New Roman" w:eastAsia="仿宋_GB2312" w:cs="Times New Roman"/>
          <w:sz w:val="32"/>
          <w:szCs w:val="32"/>
        </w:rPr>
        <w:t>7</w:t>
      </w:r>
      <w:r>
        <w:rPr>
          <w:rFonts w:hint="eastAsia" w:ascii="Times New Roman" w:hAnsi="Times New Roman" w:eastAsia="仿宋_GB2312" w:cs="Times New Roman"/>
          <w:sz w:val="32"/>
          <w:szCs w:val="32"/>
        </w:rPr>
        <w:t>座以上</w:t>
      </w:r>
      <w:r>
        <w:rPr>
          <w:rFonts w:hint="default" w:ascii="Times New Roman" w:hAnsi="Times New Roman" w:eastAsia="仿宋_GB2312" w:cs="Times New Roman"/>
          <w:sz w:val="32"/>
          <w:szCs w:val="32"/>
        </w:rPr>
        <w:t>19</w:t>
      </w:r>
      <w:r>
        <w:rPr>
          <w:rFonts w:hint="eastAsia" w:ascii="Times New Roman" w:hAnsi="Times New Roman" w:eastAsia="仿宋_GB2312" w:cs="Times New Roman"/>
          <w:sz w:val="32"/>
          <w:szCs w:val="32"/>
        </w:rPr>
        <w:t>座（含</w:t>
      </w:r>
      <w:r>
        <w:rPr>
          <w:rFonts w:hint="default" w:ascii="Times New Roman" w:hAnsi="Times New Roman" w:eastAsia="仿宋_GB2312" w:cs="Times New Roman"/>
          <w:sz w:val="32"/>
          <w:szCs w:val="32"/>
        </w:rPr>
        <w:t>19</w:t>
      </w:r>
      <w:r>
        <w:rPr>
          <w:rFonts w:hint="eastAsia" w:ascii="Times New Roman" w:hAnsi="Times New Roman" w:eastAsia="仿宋_GB2312" w:cs="Times New Roman"/>
          <w:sz w:val="32"/>
          <w:szCs w:val="32"/>
        </w:rPr>
        <w:t>座）以下客车</w:t>
      </w:r>
      <w:r>
        <w:rPr>
          <w:rFonts w:hint="default" w:ascii="Times New Roman" w:hAnsi="Times New Roman" w:eastAsia="仿宋_GB2312" w:cs="Times New Roman"/>
          <w:sz w:val="32"/>
          <w:szCs w:val="32"/>
        </w:rPr>
        <w:t>0</w:t>
      </w:r>
      <w:r>
        <w:rPr>
          <w:rFonts w:hint="eastAsia" w:ascii="Times New Roman" w:hAnsi="Times New Roman" w:eastAsia="仿宋_GB2312" w:cs="Times New Roman"/>
          <w:sz w:val="32"/>
          <w:szCs w:val="32"/>
        </w:rPr>
        <w:t>辆，越野车</w:t>
      </w:r>
      <w:r>
        <w:rPr>
          <w:rFonts w:hint="default" w:ascii="Times New Roman" w:hAnsi="Times New Roman" w:eastAsia="仿宋_GB2312" w:cs="Times New Roman"/>
          <w:sz w:val="32"/>
          <w:szCs w:val="32"/>
        </w:rPr>
        <w:t>0</w:t>
      </w:r>
      <w:r>
        <w:rPr>
          <w:rFonts w:hint="eastAsia" w:ascii="Times New Roman" w:hAnsi="Times New Roman" w:eastAsia="仿宋_GB2312" w:cs="Times New Roman"/>
          <w:sz w:val="32"/>
          <w:szCs w:val="32"/>
        </w:rPr>
        <w:t>辆，货车及</w:t>
      </w:r>
      <w:r>
        <w:rPr>
          <w:rFonts w:hint="default" w:ascii="Times New Roman" w:hAnsi="Times New Roman" w:eastAsia="仿宋_GB2312" w:cs="Times New Roman"/>
          <w:sz w:val="32"/>
          <w:szCs w:val="32"/>
        </w:rPr>
        <w:t>19</w:t>
      </w:r>
      <w:r>
        <w:rPr>
          <w:rFonts w:hint="eastAsia" w:ascii="Times New Roman" w:hAnsi="Times New Roman" w:eastAsia="仿宋_GB2312" w:cs="Times New Roman"/>
          <w:sz w:val="32"/>
          <w:szCs w:val="32"/>
        </w:rPr>
        <w:t>座以上客车</w:t>
      </w:r>
      <w:r>
        <w:rPr>
          <w:rFonts w:hint="default" w:ascii="Times New Roman" w:hAnsi="Times New Roman" w:eastAsia="仿宋_GB2312" w:cs="Times New Roman"/>
          <w:sz w:val="32"/>
          <w:szCs w:val="32"/>
        </w:rPr>
        <w:t>0</w:t>
      </w:r>
      <w:r>
        <w:rPr>
          <w:rFonts w:hint="eastAsia" w:ascii="Times New Roman" w:hAnsi="Times New Roman" w:eastAsia="仿宋_GB2312" w:cs="Times New Roman"/>
          <w:sz w:val="32"/>
          <w:szCs w:val="32"/>
        </w:rPr>
        <w:t>辆，摩托车</w:t>
      </w:r>
      <w:r>
        <w:rPr>
          <w:rFonts w:hint="default" w:ascii="Times New Roman" w:hAnsi="Times New Roman" w:eastAsia="仿宋_GB2312" w:cs="Times New Roman"/>
          <w:sz w:val="32"/>
          <w:szCs w:val="32"/>
        </w:rPr>
        <w:t>0</w:t>
      </w:r>
      <w:r>
        <w:rPr>
          <w:rFonts w:hint="eastAsia" w:ascii="Times New Roman" w:hAnsi="Times New Roman" w:eastAsia="仿宋_GB2312" w:cs="Times New Roman"/>
          <w:sz w:val="32"/>
          <w:szCs w:val="32"/>
        </w:rPr>
        <w:t>辆。</w:t>
      </w:r>
    </w:p>
    <w:p>
      <w:pPr>
        <w:snapToGrid w:val="0"/>
        <w:spacing w:line="353" w:lineRule="auto"/>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2023</w:t>
      </w:r>
      <w:r>
        <w:rPr>
          <w:rFonts w:hint="eastAsia" w:ascii="Times New Roman" w:hAnsi="Times New Roman" w:eastAsia="仿宋_GB2312" w:cs="Times New Roman"/>
          <w:sz w:val="32"/>
          <w:szCs w:val="32"/>
        </w:rPr>
        <w:t>年，安排公务用车购置费</w:t>
      </w:r>
      <w:r>
        <w:rPr>
          <w:rFonts w:hint="default" w:ascii="Times New Roman" w:hAnsi="Times New Roman" w:eastAsia="仿宋_GB2312" w:cs="Times New Roman"/>
          <w:sz w:val="32"/>
          <w:szCs w:val="32"/>
        </w:rPr>
        <w:t>0</w:t>
      </w:r>
      <w:r>
        <w:rPr>
          <w:rFonts w:hint="eastAsia" w:ascii="Times New Roman" w:hAnsi="Times New Roman" w:eastAsia="仿宋_GB2312" w:cs="Times New Roman"/>
          <w:sz w:val="32"/>
          <w:szCs w:val="32"/>
        </w:rPr>
        <w:t>万元，购置公务用车</w:t>
      </w:r>
      <w:r>
        <w:rPr>
          <w:rFonts w:hint="default" w:ascii="Times New Roman" w:hAnsi="Times New Roman" w:eastAsia="仿宋_GB2312" w:cs="Times New Roman"/>
          <w:sz w:val="32"/>
          <w:szCs w:val="32"/>
        </w:rPr>
        <w:t>0</w:t>
      </w:r>
      <w:r>
        <w:rPr>
          <w:rFonts w:hint="eastAsia" w:ascii="Times New Roman" w:hAnsi="Times New Roman" w:eastAsia="仿宋_GB2312" w:cs="Times New Roman"/>
          <w:sz w:val="32"/>
          <w:szCs w:val="32"/>
        </w:rPr>
        <w:t>辆，其中：轿车（含</w:t>
      </w:r>
      <w:r>
        <w:rPr>
          <w:rFonts w:hint="default" w:ascii="Times New Roman" w:hAnsi="Times New Roman" w:eastAsia="仿宋_GB2312" w:cs="Times New Roman"/>
          <w:sz w:val="32"/>
          <w:szCs w:val="32"/>
        </w:rPr>
        <w:t>7</w:t>
      </w:r>
      <w:r>
        <w:rPr>
          <w:rFonts w:hint="eastAsia" w:ascii="Times New Roman" w:hAnsi="Times New Roman" w:eastAsia="仿宋_GB2312" w:cs="Times New Roman"/>
          <w:sz w:val="32"/>
          <w:szCs w:val="32"/>
        </w:rPr>
        <w:t>座以下商务车、城市越野车）</w:t>
      </w:r>
      <w:r>
        <w:rPr>
          <w:rFonts w:hint="default" w:ascii="Times New Roman" w:hAnsi="Times New Roman" w:eastAsia="仿宋_GB2312" w:cs="Times New Roman"/>
          <w:sz w:val="32"/>
          <w:szCs w:val="32"/>
        </w:rPr>
        <w:t>0</w:t>
      </w:r>
      <w:r>
        <w:rPr>
          <w:rFonts w:hint="eastAsia" w:ascii="Times New Roman" w:hAnsi="Times New Roman" w:eastAsia="仿宋_GB2312" w:cs="Times New Roman"/>
          <w:sz w:val="32"/>
          <w:szCs w:val="32"/>
        </w:rPr>
        <w:t>辆，</w:t>
      </w:r>
      <w:r>
        <w:rPr>
          <w:rFonts w:hint="default" w:ascii="Times New Roman" w:hAnsi="Times New Roman" w:eastAsia="仿宋_GB2312" w:cs="Times New Roman"/>
          <w:sz w:val="32"/>
          <w:szCs w:val="32"/>
        </w:rPr>
        <w:t>7</w:t>
      </w:r>
      <w:r>
        <w:rPr>
          <w:rFonts w:hint="eastAsia" w:ascii="Times New Roman" w:hAnsi="Times New Roman" w:eastAsia="仿宋_GB2312" w:cs="Times New Roman"/>
          <w:sz w:val="32"/>
          <w:szCs w:val="32"/>
        </w:rPr>
        <w:t>座以上</w:t>
      </w:r>
      <w:r>
        <w:rPr>
          <w:rFonts w:hint="default" w:ascii="Times New Roman" w:hAnsi="Times New Roman" w:eastAsia="仿宋_GB2312" w:cs="Times New Roman"/>
          <w:sz w:val="32"/>
          <w:szCs w:val="32"/>
        </w:rPr>
        <w:t>19</w:t>
      </w:r>
      <w:r>
        <w:rPr>
          <w:rFonts w:hint="eastAsia" w:ascii="Times New Roman" w:hAnsi="Times New Roman" w:eastAsia="仿宋_GB2312" w:cs="Times New Roman"/>
          <w:sz w:val="32"/>
          <w:szCs w:val="32"/>
        </w:rPr>
        <w:t>座（含</w:t>
      </w:r>
      <w:r>
        <w:rPr>
          <w:rFonts w:hint="default" w:ascii="Times New Roman" w:hAnsi="Times New Roman" w:eastAsia="仿宋_GB2312" w:cs="Times New Roman"/>
          <w:sz w:val="32"/>
          <w:szCs w:val="32"/>
        </w:rPr>
        <w:t>19</w:t>
      </w:r>
      <w:r>
        <w:rPr>
          <w:rFonts w:hint="eastAsia" w:ascii="Times New Roman" w:hAnsi="Times New Roman" w:eastAsia="仿宋_GB2312" w:cs="Times New Roman"/>
          <w:sz w:val="32"/>
          <w:szCs w:val="32"/>
        </w:rPr>
        <w:t>座）以下客车</w:t>
      </w:r>
      <w:r>
        <w:rPr>
          <w:rFonts w:hint="default" w:ascii="Times New Roman" w:hAnsi="Times New Roman" w:eastAsia="仿宋_GB2312" w:cs="Times New Roman"/>
          <w:sz w:val="32"/>
          <w:szCs w:val="32"/>
        </w:rPr>
        <w:t>0</w:t>
      </w:r>
      <w:r>
        <w:rPr>
          <w:rFonts w:hint="eastAsia" w:ascii="Times New Roman" w:hAnsi="Times New Roman" w:eastAsia="仿宋_GB2312" w:cs="Times New Roman"/>
          <w:sz w:val="32"/>
          <w:szCs w:val="32"/>
        </w:rPr>
        <w:t>辆，越野车</w:t>
      </w:r>
      <w:r>
        <w:rPr>
          <w:rFonts w:hint="default" w:ascii="Times New Roman" w:hAnsi="Times New Roman" w:eastAsia="仿宋_GB2312" w:cs="Times New Roman"/>
          <w:sz w:val="32"/>
          <w:szCs w:val="32"/>
        </w:rPr>
        <w:t>0</w:t>
      </w:r>
      <w:r>
        <w:rPr>
          <w:rFonts w:hint="eastAsia" w:ascii="Times New Roman" w:hAnsi="Times New Roman" w:eastAsia="仿宋_GB2312" w:cs="Times New Roman"/>
          <w:sz w:val="32"/>
          <w:szCs w:val="32"/>
        </w:rPr>
        <w:t>辆，货车及</w:t>
      </w:r>
      <w:r>
        <w:rPr>
          <w:rFonts w:hint="default" w:ascii="Times New Roman" w:hAnsi="Times New Roman" w:eastAsia="仿宋_GB2312" w:cs="Times New Roman"/>
          <w:sz w:val="32"/>
          <w:szCs w:val="32"/>
        </w:rPr>
        <w:t>19</w:t>
      </w:r>
      <w:r>
        <w:rPr>
          <w:rFonts w:hint="eastAsia" w:ascii="Times New Roman" w:hAnsi="Times New Roman" w:eastAsia="仿宋_GB2312" w:cs="Times New Roman"/>
          <w:sz w:val="32"/>
          <w:szCs w:val="32"/>
        </w:rPr>
        <w:t>座以上客车</w:t>
      </w:r>
      <w:r>
        <w:rPr>
          <w:rFonts w:hint="default" w:ascii="Times New Roman" w:hAnsi="Times New Roman" w:eastAsia="仿宋_GB2312" w:cs="Times New Roman"/>
          <w:sz w:val="32"/>
          <w:szCs w:val="32"/>
        </w:rPr>
        <w:t>0</w:t>
      </w:r>
      <w:r>
        <w:rPr>
          <w:rFonts w:hint="eastAsia" w:ascii="Times New Roman" w:hAnsi="Times New Roman" w:eastAsia="仿宋_GB2312" w:cs="Times New Roman"/>
          <w:sz w:val="32"/>
          <w:szCs w:val="32"/>
        </w:rPr>
        <w:t>辆，摩托车</w:t>
      </w:r>
      <w:r>
        <w:rPr>
          <w:rFonts w:hint="default" w:ascii="Times New Roman" w:hAnsi="Times New Roman" w:eastAsia="仿宋_GB2312" w:cs="Times New Roman"/>
          <w:sz w:val="32"/>
          <w:szCs w:val="32"/>
        </w:rPr>
        <w:t>0</w:t>
      </w:r>
      <w:r>
        <w:rPr>
          <w:rFonts w:hint="eastAsia" w:ascii="Times New Roman" w:hAnsi="Times New Roman" w:eastAsia="仿宋_GB2312" w:cs="Times New Roman"/>
          <w:sz w:val="32"/>
          <w:szCs w:val="32"/>
        </w:rPr>
        <w:t>辆。</w:t>
      </w:r>
    </w:p>
    <w:p>
      <w:pPr>
        <w:snapToGrid w:val="0"/>
        <w:spacing w:line="353" w:lineRule="auto"/>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2023</w:t>
      </w:r>
      <w:r>
        <w:rPr>
          <w:rFonts w:hint="eastAsia" w:ascii="Times New Roman" w:hAnsi="Times New Roman" w:eastAsia="仿宋_GB2312" w:cs="Times New Roman"/>
          <w:sz w:val="32"/>
          <w:szCs w:val="32"/>
        </w:rPr>
        <w:t>年，安排公务用车运行维护费</w:t>
      </w:r>
      <w:r>
        <w:rPr>
          <w:rFonts w:hint="default" w:ascii="Times New Roman" w:hAnsi="Times New Roman" w:eastAsia="仿宋_GB2312" w:cs="Times New Roman"/>
          <w:sz w:val="32"/>
          <w:szCs w:val="32"/>
        </w:rPr>
        <w:t>0</w:t>
      </w:r>
      <w:r>
        <w:rPr>
          <w:rFonts w:hint="eastAsia" w:ascii="Times New Roman" w:hAnsi="Times New Roman" w:eastAsia="仿宋_GB2312" w:cs="Times New Roman"/>
          <w:sz w:val="32"/>
          <w:szCs w:val="32"/>
        </w:rPr>
        <w:t>万元。</w:t>
      </w:r>
    </w:p>
    <w:p>
      <w:pPr>
        <w:spacing w:line="353" w:lineRule="auto"/>
        <w:ind w:firstLine="640" w:firstLineChars="200"/>
        <w:outlineLvl w:val="1"/>
        <w:rPr>
          <w:rFonts w:hint="eastAsia" w:ascii="Times New Roman" w:hAnsi="Times New Roman" w:eastAsia="黑体" w:cs="Times New Roman"/>
          <w:color w:val="000000"/>
          <w:sz w:val="32"/>
          <w:szCs w:val="32"/>
        </w:rPr>
      </w:pPr>
      <w:bookmarkStart w:id="19" w:name="_Toc13031"/>
      <w:bookmarkStart w:id="20" w:name="_Toc30755"/>
      <w:r>
        <w:rPr>
          <w:rFonts w:hint="eastAsia" w:ascii="Times New Roman" w:hAnsi="Times New Roman" w:eastAsia="黑体" w:cs="Times New Roman"/>
          <w:color w:val="000000"/>
          <w:sz w:val="32"/>
          <w:szCs w:val="32"/>
        </w:rPr>
        <w:t>六、非财政拨款预算安排</w:t>
      </w:r>
      <w:r>
        <w:rPr>
          <w:rFonts w:hint="default" w:ascii="Times New Roman" w:hAnsi="Times New Roman" w:eastAsia="黑体" w:cs="Times New Roman"/>
          <w:color w:val="000000"/>
          <w:sz w:val="32"/>
          <w:szCs w:val="32"/>
        </w:rPr>
        <w:t>“</w:t>
      </w:r>
      <w:r>
        <w:rPr>
          <w:rFonts w:hint="eastAsia" w:ascii="Times New Roman" w:hAnsi="Times New Roman" w:eastAsia="黑体" w:cs="Times New Roman"/>
          <w:color w:val="000000"/>
          <w:sz w:val="32"/>
          <w:szCs w:val="32"/>
        </w:rPr>
        <w:t>三公</w:t>
      </w:r>
      <w:r>
        <w:rPr>
          <w:rFonts w:hint="default" w:ascii="Times New Roman" w:hAnsi="Times New Roman" w:eastAsia="黑体" w:cs="Times New Roman"/>
          <w:color w:val="000000"/>
          <w:sz w:val="32"/>
          <w:szCs w:val="32"/>
        </w:rPr>
        <w:t>”</w:t>
      </w:r>
      <w:r>
        <w:rPr>
          <w:rFonts w:hint="eastAsia" w:ascii="Times New Roman" w:hAnsi="Times New Roman" w:eastAsia="黑体" w:cs="Times New Roman"/>
          <w:color w:val="000000"/>
          <w:sz w:val="32"/>
          <w:szCs w:val="32"/>
        </w:rPr>
        <w:t>经费情况说明</w:t>
      </w:r>
      <w:bookmarkEnd w:id="19"/>
      <w:bookmarkEnd w:id="20"/>
    </w:p>
    <w:p>
      <w:pPr>
        <w:snapToGrid w:val="0"/>
        <w:spacing w:line="353" w:lineRule="auto"/>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2023</w:t>
      </w:r>
      <w:r>
        <w:rPr>
          <w:rFonts w:hint="eastAsia" w:ascii="Times New Roman" w:hAnsi="Times New Roman" w:eastAsia="仿宋_GB2312" w:cs="Times New Roman"/>
          <w:sz w:val="32"/>
          <w:szCs w:val="32"/>
        </w:rPr>
        <w:t>年，没有使用非财政拨款安排“三公”经费预算。</w:t>
      </w:r>
    </w:p>
    <w:p>
      <w:pPr>
        <w:spacing w:line="353" w:lineRule="auto"/>
        <w:ind w:firstLine="640" w:firstLineChars="200"/>
        <w:outlineLvl w:val="1"/>
        <w:rPr>
          <w:rFonts w:hint="eastAsia" w:ascii="Times New Roman" w:hAnsi="Times New Roman" w:eastAsia="黑体" w:cs="Times New Roman"/>
          <w:color w:val="000000"/>
          <w:sz w:val="32"/>
          <w:szCs w:val="32"/>
        </w:rPr>
      </w:pPr>
      <w:bookmarkStart w:id="21" w:name="_Toc4045"/>
      <w:bookmarkStart w:id="22" w:name="_Toc4380"/>
      <w:r>
        <w:rPr>
          <w:rFonts w:hint="eastAsia" w:ascii="Times New Roman" w:hAnsi="Times New Roman" w:eastAsia="黑体" w:cs="Times New Roman"/>
          <w:color w:val="000000"/>
          <w:sz w:val="32"/>
          <w:szCs w:val="32"/>
        </w:rPr>
        <w:t>七、政府性基金预算支出情况说明</w:t>
      </w:r>
      <w:bookmarkEnd w:id="21"/>
      <w:bookmarkEnd w:id="22"/>
    </w:p>
    <w:p>
      <w:pPr>
        <w:snapToGrid w:val="0"/>
        <w:spacing w:line="353" w:lineRule="auto"/>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2023</w:t>
      </w:r>
      <w:r>
        <w:rPr>
          <w:rFonts w:hint="eastAsia" w:ascii="Times New Roman" w:hAnsi="Times New Roman" w:eastAsia="仿宋_GB2312" w:cs="Times New Roman"/>
          <w:sz w:val="32"/>
          <w:szCs w:val="32"/>
        </w:rPr>
        <w:t>年，政府性基金预算支出</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万元，其中：基本支出</w:t>
      </w:r>
      <w:r>
        <w:rPr>
          <w:rFonts w:hint="default" w:ascii="Times New Roman" w:hAnsi="Times New Roman" w:eastAsia="仿宋_GB2312" w:cs="Times New Roman"/>
          <w:sz w:val="32"/>
          <w:szCs w:val="32"/>
        </w:rPr>
        <w:t>0</w:t>
      </w:r>
      <w:r>
        <w:rPr>
          <w:rFonts w:hint="eastAsia" w:ascii="Times New Roman" w:hAnsi="Times New Roman" w:eastAsia="仿宋_GB2312" w:cs="Times New Roman"/>
          <w:sz w:val="32"/>
          <w:szCs w:val="32"/>
        </w:rPr>
        <w:t>万元，项目支出</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万元，比</w:t>
      </w:r>
      <w:r>
        <w:rPr>
          <w:rFonts w:hint="default" w:ascii="Times New Roman" w:hAnsi="Times New Roman" w:eastAsia="仿宋_GB2312" w:cs="Times New Roman"/>
          <w:sz w:val="32"/>
          <w:szCs w:val="32"/>
        </w:rPr>
        <w:t>2022</w:t>
      </w:r>
      <w:r>
        <w:rPr>
          <w:rFonts w:hint="eastAsia" w:ascii="Times New Roman" w:hAnsi="Times New Roman" w:eastAsia="仿宋_GB2312" w:cs="Times New Roman"/>
          <w:sz w:val="32"/>
          <w:szCs w:val="32"/>
        </w:rPr>
        <w:t>年预算数持平。</w:t>
      </w:r>
    </w:p>
    <w:p>
      <w:pPr>
        <w:spacing w:line="353" w:lineRule="auto"/>
        <w:ind w:firstLine="640" w:firstLineChars="200"/>
        <w:outlineLvl w:val="1"/>
        <w:rPr>
          <w:rFonts w:hint="eastAsia" w:ascii="Times New Roman" w:hAnsi="Times New Roman" w:eastAsia="黑体" w:cs="Times New Roman"/>
          <w:color w:val="000000"/>
          <w:sz w:val="32"/>
          <w:szCs w:val="32"/>
        </w:rPr>
      </w:pPr>
      <w:bookmarkStart w:id="23" w:name="_Toc5785"/>
      <w:bookmarkStart w:id="24" w:name="_Toc63"/>
      <w:r>
        <w:rPr>
          <w:rFonts w:hint="eastAsia" w:ascii="Times New Roman" w:hAnsi="Times New Roman" w:eastAsia="黑体" w:cs="Times New Roman"/>
          <w:color w:val="000000"/>
          <w:sz w:val="32"/>
          <w:szCs w:val="32"/>
        </w:rPr>
        <w:t>八、国有资本经营预算情况说明</w:t>
      </w:r>
      <w:bookmarkEnd w:id="23"/>
      <w:bookmarkEnd w:id="24"/>
    </w:p>
    <w:p>
      <w:pPr>
        <w:snapToGrid w:val="0"/>
        <w:spacing w:line="353" w:lineRule="auto"/>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2023</w:t>
      </w:r>
      <w:r>
        <w:rPr>
          <w:rFonts w:hint="eastAsia" w:ascii="Times New Roman" w:hAnsi="Times New Roman" w:eastAsia="仿宋_GB2312" w:cs="Times New Roman"/>
          <w:sz w:val="32"/>
          <w:szCs w:val="32"/>
        </w:rPr>
        <w:t>年没有使用国有资本经营预算拨款安排的支出。</w:t>
      </w:r>
    </w:p>
    <w:p>
      <w:pPr>
        <w:spacing w:line="353" w:lineRule="auto"/>
        <w:ind w:firstLine="640" w:firstLineChars="200"/>
        <w:outlineLvl w:val="1"/>
        <w:rPr>
          <w:rFonts w:hint="eastAsia" w:ascii="Times New Roman" w:hAnsi="Times New Roman" w:eastAsia="黑体" w:cs="Times New Roman"/>
          <w:color w:val="000000"/>
          <w:sz w:val="32"/>
          <w:szCs w:val="32"/>
        </w:rPr>
      </w:pPr>
      <w:bookmarkStart w:id="25" w:name="_Toc23339"/>
      <w:bookmarkStart w:id="26" w:name="_Toc24919"/>
      <w:r>
        <w:rPr>
          <w:rFonts w:hint="eastAsia" w:ascii="Times New Roman" w:hAnsi="Times New Roman" w:eastAsia="黑体" w:cs="Times New Roman"/>
          <w:color w:val="000000"/>
          <w:sz w:val="32"/>
          <w:szCs w:val="32"/>
        </w:rPr>
        <w:t>九、其他重要事项的情况说明</w:t>
      </w:r>
      <w:bookmarkEnd w:id="25"/>
      <w:bookmarkEnd w:id="26"/>
    </w:p>
    <w:p>
      <w:pPr>
        <w:spacing w:line="353" w:lineRule="auto"/>
        <w:ind w:firstLine="640" w:firstLineChars="200"/>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（一）机关运行经费</w:t>
      </w:r>
    </w:p>
    <w:p>
      <w:pPr>
        <w:snapToGrid w:val="0"/>
        <w:spacing w:line="353" w:lineRule="auto"/>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2023</w:t>
      </w:r>
      <w:r>
        <w:rPr>
          <w:rFonts w:hint="eastAsia" w:ascii="Times New Roman" w:hAnsi="Times New Roman" w:eastAsia="仿宋_GB2312" w:cs="Times New Roman"/>
          <w:sz w:val="32"/>
          <w:szCs w:val="32"/>
        </w:rPr>
        <w:t>年，机关运行经费财政拨款预算为</w:t>
      </w:r>
      <w:r>
        <w:rPr>
          <w:rFonts w:hint="default" w:ascii="Times New Roman" w:hAnsi="Times New Roman" w:eastAsia="仿宋_GB2312" w:cs="Times New Roman"/>
          <w:sz w:val="32"/>
          <w:szCs w:val="32"/>
        </w:rPr>
        <w:t>11.59</w:t>
      </w:r>
      <w:r>
        <w:rPr>
          <w:rFonts w:hint="eastAsia" w:ascii="Times New Roman" w:hAnsi="Times New Roman" w:eastAsia="仿宋_GB2312" w:cs="Times New Roman"/>
          <w:sz w:val="32"/>
          <w:szCs w:val="32"/>
        </w:rPr>
        <w:t>万元，比20</w:t>
      </w:r>
      <w:r>
        <w:rPr>
          <w:rFonts w:hint="default" w:ascii="Times New Roman" w:hAnsi="Times New Roman" w:eastAsia="仿宋_GB2312" w:cs="Times New Roman"/>
          <w:sz w:val="32"/>
          <w:szCs w:val="32"/>
        </w:rPr>
        <w:t>22</w:t>
      </w:r>
      <w:r>
        <w:rPr>
          <w:rFonts w:hint="eastAsia" w:ascii="Times New Roman" w:hAnsi="Times New Roman" w:eastAsia="仿宋_GB2312" w:cs="Times New Roman"/>
          <w:sz w:val="32"/>
          <w:szCs w:val="32"/>
        </w:rPr>
        <w:t>年预算减少</w:t>
      </w:r>
      <w:r>
        <w:rPr>
          <w:rFonts w:hint="default" w:ascii="Times New Roman" w:hAnsi="Times New Roman" w:eastAsia="仿宋_GB2312" w:cs="Times New Roman"/>
          <w:sz w:val="32"/>
          <w:szCs w:val="32"/>
        </w:rPr>
        <w:t>0.71</w:t>
      </w:r>
      <w:r>
        <w:rPr>
          <w:rFonts w:hint="eastAsia" w:ascii="Times New Roman" w:hAnsi="Times New Roman" w:eastAsia="仿宋_GB2312" w:cs="Times New Roman"/>
          <w:sz w:val="32"/>
          <w:szCs w:val="32"/>
        </w:rPr>
        <w:t>万元，降</w:t>
      </w:r>
      <w:r>
        <w:rPr>
          <w:rFonts w:hint="default" w:ascii="Times New Roman" w:hAnsi="Times New Roman" w:eastAsia="仿宋_GB2312" w:cs="Times New Roman"/>
          <w:sz w:val="32"/>
          <w:szCs w:val="32"/>
        </w:rPr>
        <w:t>5.77%</w:t>
      </w:r>
      <w:r>
        <w:rPr>
          <w:rFonts w:hint="eastAsia" w:ascii="Times New Roman" w:hAnsi="Times New Roman" w:eastAsia="仿宋_GB2312" w:cs="Times New Roman"/>
          <w:sz w:val="32"/>
          <w:szCs w:val="32"/>
        </w:rPr>
        <w:t>。包括：办公经费</w:t>
      </w:r>
      <w:r>
        <w:rPr>
          <w:rFonts w:hint="default" w:ascii="Times New Roman" w:hAnsi="Times New Roman" w:eastAsia="仿宋_GB2312" w:cs="Times New Roman"/>
          <w:sz w:val="32"/>
          <w:szCs w:val="32"/>
        </w:rPr>
        <w:t>2.4</w:t>
      </w:r>
      <w:r>
        <w:rPr>
          <w:rFonts w:hint="eastAsia" w:ascii="Times New Roman" w:hAnsi="Times New Roman" w:eastAsia="仿宋_GB2312" w:cs="Times New Roman"/>
          <w:sz w:val="32"/>
          <w:szCs w:val="32"/>
        </w:rPr>
        <w:t>万元，差旅费</w:t>
      </w:r>
      <w:r>
        <w:rPr>
          <w:rFonts w:hint="default" w:ascii="Times New Roman" w:hAnsi="Times New Roman" w:eastAsia="仿宋_GB2312" w:cs="Times New Roman"/>
          <w:sz w:val="32"/>
          <w:szCs w:val="32"/>
        </w:rPr>
        <w:t>1.8</w:t>
      </w:r>
      <w:r>
        <w:rPr>
          <w:rFonts w:hint="eastAsia" w:ascii="Times New Roman" w:hAnsi="Times New Roman" w:eastAsia="仿宋_GB2312" w:cs="Times New Roman"/>
          <w:sz w:val="32"/>
          <w:szCs w:val="32"/>
        </w:rPr>
        <w:t>万元，公务接待费</w:t>
      </w:r>
      <w:r>
        <w:rPr>
          <w:rFonts w:hint="default" w:ascii="Times New Roman" w:hAnsi="Times New Roman" w:eastAsia="仿宋_GB2312" w:cs="Times New Roman"/>
          <w:sz w:val="32"/>
          <w:szCs w:val="32"/>
        </w:rPr>
        <w:t>0.3</w:t>
      </w:r>
      <w:r>
        <w:rPr>
          <w:rFonts w:hint="eastAsia" w:ascii="Times New Roman" w:hAnsi="Times New Roman" w:eastAsia="仿宋_GB2312" w:cs="Times New Roman"/>
          <w:sz w:val="32"/>
          <w:szCs w:val="32"/>
        </w:rPr>
        <w:t>万元，工会经费</w:t>
      </w:r>
      <w:r>
        <w:rPr>
          <w:rFonts w:hint="default" w:ascii="Times New Roman" w:hAnsi="Times New Roman" w:eastAsia="仿宋_GB2312" w:cs="Times New Roman"/>
          <w:sz w:val="32"/>
          <w:szCs w:val="32"/>
        </w:rPr>
        <w:t>1.15</w:t>
      </w:r>
      <w:r>
        <w:rPr>
          <w:rFonts w:hint="eastAsia" w:ascii="Times New Roman" w:hAnsi="Times New Roman" w:eastAsia="仿宋_GB2312" w:cs="Times New Roman"/>
          <w:sz w:val="32"/>
          <w:szCs w:val="32"/>
        </w:rPr>
        <w:t>万元，福利费</w:t>
      </w:r>
      <w:r>
        <w:rPr>
          <w:rFonts w:hint="default" w:ascii="Times New Roman" w:hAnsi="Times New Roman" w:eastAsia="仿宋_GB2312" w:cs="Times New Roman"/>
          <w:sz w:val="32"/>
          <w:szCs w:val="32"/>
        </w:rPr>
        <w:t>0.58</w:t>
      </w:r>
      <w:r>
        <w:rPr>
          <w:rFonts w:hint="eastAsia" w:ascii="Times New Roman" w:hAnsi="Times New Roman" w:eastAsia="仿宋_GB2312" w:cs="Times New Roman"/>
          <w:sz w:val="32"/>
          <w:szCs w:val="32"/>
        </w:rPr>
        <w:t>万元、其他交通费用</w:t>
      </w:r>
      <w:r>
        <w:rPr>
          <w:rFonts w:hint="default" w:ascii="Times New Roman" w:hAnsi="Times New Roman" w:eastAsia="仿宋_GB2312" w:cs="Times New Roman"/>
          <w:sz w:val="32"/>
          <w:szCs w:val="32"/>
        </w:rPr>
        <w:t>5.04</w:t>
      </w:r>
      <w:r>
        <w:rPr>
          <w:rFonts w:hint="eastAsia" w:ascii="Times New Roman" w:hAnsi="Times New Roman" w:eastAsia="仿宋_GB2312" w:cs="Times New Roman"/>
          <w:sz w:val="32"/>
          <w:szCs w:val="32"/>
        </w:rPr>
        <w:t>万元，其他商品和服务支出</w:t>
      </w:r>
      <w:r>
        <w:rPr>
          <w:rFonts w:hint="default" w:ascii="Times New Roman" w:hAnsi="Times New Roman" w:eastAsia="仿宋_GB2312" w:cs="Times New Roman"/>
          <w:sz w:val="32"/>
          <w:szCs w:val="32"/>
        </w:rPr>
        <w:t>0.31</w:t>
      </w:r>
      <w:r>
        <w:rPr>
          <w:rFonts w:hint="eastAsia" w:ascii="Times New Roman" w:hAnsi="Times New Roman" w:eastAsia="仿宋_GB2312" w:cs="Times New Roman"/>
          <w:sz w:val="32"/>
          <w:szCs w:val="32"/>
        </w:rPr>
        <w:t>万元。</w:t>
      </w:r>
      <w:r>
        <w:rPr>
          <w:rFonts w:hint="default" w:ascii="Times New Roman" w:hAnsi="Times New Roman" w:eastAsia="仿宋_GB2312" w:cs="Times New Roman"/>
          <w:sz w:val="32"/>
          <w:szCs w:val="32"/>
        </w:rPr>
        <w:t>2023</w:t>
      </w:r>
      <w:r>
        <w:rPr>
          <w:rFonts w:hint="eastAsia" w:ascii="Times New Roman" w:hAnsi="Times New Roman" w:eastAsia="仿宋_GB2312" w:cs="Times New Roman"/>
          <w:sz w:val="32"/>
          <w:szCs w:val="32"/>
        </w:rPr>
        <w:t>年，西区档案馆无下属单位。</w:t>
      </w:r>
    </w:p>
    <w:p>
      <w:pPr>
        <w:spacing w:line="353" w:lineRule="auto"/>
        <w:ind w:firstLine="640" w:firstLineChars="200"/>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（二）政府采购情况</w:t>
      </w:r>
    </w:p>
    <w:p>
      <w:pPr>
        <w:snapToGrid w:val="0"/>
        <w:spacing w:line="353" w:lineRule="auto"/>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2023</w:t>
      </w:r>
      <w:r>
        <w:rPr>
          <w:rFonts w:hint="eastAsia" w:ascii="Times New Roman" w:hAnsi="Times New Roman" w:eastAsia="仿宋_GB2312" w:cs="Times New Roman"/>
          <w:sz w:val="32"/>
          <w:szCs w:val="32"/>
        </w:rPr>
        <w:t>年无政府采购项目，未安排政府采购预算。</w:t>
      </w:r>
    </w:p>
    <w:p>
      <w:pPr>
        <w:spacing w:line="353" w:lineRule="auto"/>
        <w:ind w:firstLine="640" w:firstLineChars="200"/>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（三）国有资产占有使用情况</w:t>
      </w:r>
    </w:p>
    <w:p>
      <w:pPr>
        <w:snapToGrid w:val="0"/>
        <w:spacing w:line="353"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截至20</w:t>
      </w:r>
      <w:r>
        <w:rPr>
          <w:rFonts w:hint="default" w:ascii="Times New Roman" w:hAnsi="Times New Roman" w:eastAsia="仿宋_GB2312" w:cs="Times New Roman"/>
          <w:sz w:val="32"/>
          <w:szCs w:val="32"/>
        </w:rPr>
        <w:t>22</w:t>
      </w:r>
      <w:r>
        <w:rPr>
          <w:rFonts w:hint="eastAsia" w:ascii="Times New Roman" w:hAnsi="Times New Roman" w:eastAsia="仿宋_GB2312" w:cs="Times New Roman"/>
          <w:sz w:val="32"/>
          <w:szCs w:val="32"/>
        </w:rPr>
        <w:t>年底，共有车辆</w:t>
      </w:r>
      <w:r>
        <w:rPr>
          <w:rFonts w:hint="default" w:ascii="Times New Roman" w:hAnsi="Times New Roman" w:eastAsia="仿宋_GB2312" w:cs="Times New Roman"/>
          <w:sz w:val="32"/>
          <w:szCs w:val="32"/>
        </w:rPr>
        <w:t>0</w:t>
      </w:r>
      <w:r>
        <w:rPr>
          <w:rFonts w:hint="eastAsia" w:ascii="Times New Roman" w:hAnsi="Times New Roman" w:eastAsia="仿宋_GB2312" w:cs="Times New Roman"/>
          <w:sz w:val="32"/>
          <w:szCs w:val="32"/>
        </w:rPr>
        <w:t>辆，其中：一般公务用车</w:t>
      </w:r>
      <w:r>
        <w:rPr>
          <w:rFonts w:hint="default" w:ascii="Times New Roman" w:hAnsi="Times New Roman" w:eastAsia="仿宋_GB2312" w:cs="Times New Roman"/>
          <w:sz w:val="32"/>
          <w:szCs w:val="32"/>
        </w:rPr>
        <w:t>0</w:t>
      </w:r>
      <w:r>
        <w:rPr>
          <w:rFonts w:hint="eastAsia" w:ascii="Times New Roman" w:hAnsi="Times New Roman" w:eastAsia="仿宋_GB2312" w:cs="Times New Roman"/>
          <w:sz w:val="32"/>
          <w:szCs w:val="32"/>
        </w:rPr>
        <w:t>辆、一般执法执勤用车</w:t>
      </w:r>
      <w:r>
        <w:rPr>
          <w:rFonts w:hint="default" w:ascii="Times New Roman" w:hAnsi="Times New Roman" w:eastAsia="仿宋_GB2312" w:cs="Times New Roman"/>
          <w:sz w:val="32"/>
          <w:szCs w:val="32"/>
        </w:rPr>
        <w:t>0</w:t>
      </w:r>
      <w:r>
        <w:rPr>
          <w:rFonts w:hint="eastAsia" w:ascii="Times New Roman" w:hAnsi="Times New Roman" w:eastAsia="仿宋_GB2312" w:cs="Times New Roman"/>
          <w:sz w:val="32"/>
          <w:szCs w:val="32"/>
        </w:rPr>
        <w:t>辆、特种专业技术用车</w:t>
      </w:r>
      <w:r>
        <w:rPr>
          <w:rFonts w:hint="default" w:ascii="Times New Roman" w:hAnsi="Times New Roman" w:eastAsia="仿宋_GB2312" w:cs="Times New Roman"/>
          <w:sz w:val="32"/>
          <w:szCs w:val="32"/>
        </w:rPr>
        <w:t>0</w:t>
      </w:r>
      <w:r>
        <w:rPr>
          <w:rFonts w:hint="eastAsia" w:ascii="Times New Roman" w:hAnsi="Times New Roman" w:eastAsia="仿宋_GB2312" w:cs="Times New Roman"/>
          <w:sz w:val="32"/>
          <w:szCs w:val="32"/>
        </w:rPr>
        <w:t>辆、其他用车</w:t>
      </w:r>
      <w:r>
        <w:rPr>
          <w:rFonts w:hint="default" w:ascii="Times New Roman" w:hAnsi="Times New Roman" w:eastAsia="仿宋_GB2312" w:cs="Times New Roman"/>
          <w:sz w:val="32"/>
          <w:szCs w:val="32"/>
        </w:rPr>
        <w:t>0</w:t>
      </w:r>
      <w:r>
        <w:rPr>
          <w:rFonts w:hint="eastAsia" w:ascii="Times New Roman" w:hAnsi="Times New Roman" w:eastAsia="仿宋_GB2312" w:cs="Times New Roman"/>
          <w:sz w:val="32"/>
          <w:szCs w:val="32"/>
        </w:rPr>
        <w:t>辆；单价</w:t>
      </w:r>
      <w:r>
        <w:rPr>
          <w:rFonts w:hint="default" w:ascii="Times New Roman" w:hAnsi="Times New Roman" w:eastAsia="仿宋_GB2312" w:cs="Times New Roman"/>
          <w:sz w:val="32"/>
          <w:szCs w:val="32"/>
        </w:rPr>
        <w:t>50</w:t>
      </w:r>
      <w:r>
        <w:rPr>
          <w:rFonts w:hint="eastAsia" w:ascii="Times New Roman" w:hAnsi="Times New Roman" w:eastAsia="仿宋_GB2312" w:cs="Times New Roman"/>
          <w:sz w:val="32"/>
          <w:szCs w:val="32"/>
        </w:rPr>
        <w:t>万元以上通用设备</w:t>
      </w:r>
      <w:r>
        <w:rPr>
          <w:rFonts w:hint="default" w:ascii="Times New Roman" w:hAnsi="Times New Roman" w:eastAsia="仿宋_GB2312" w:cs="Times New Roman"/>
          <w:sz w:val="32"/>
          <w:szCs w:val="32"/>
        </w:rPr>
        <w:t>0</w:t>
      </w:r>
      <w:r>
        <w:rPr>
          <w:rFonts w:hint="eastAsia" w:ascii="Times New Roman" w:hAnsi="Times New Roman" w:eastAsia="仿宋_GB2312" w:cs="Times New Roman"/>
          <w:sz w:val="32"/>
          <w:szCs w:val="32"/>
        </w:rPr>
        <w:t>台（套），单价</w:t>
      </w:r>
      <w:r>
        <w:rPr>
          <w:rFonts w:hint="default" w:ascii="Times New Roman" w:hAnsi="Times New Roman" w:eastAsia="仿宋_GB2312" w:cs="Times New Roman"/>
          <w:sz w:val="32"/>
          <w:szCs w:val="32"/>
        </w:rPr>
        <w:t>100</w:t>
      </w:r>
      <w:r>
        <w:rPr>
          <w:rFonts w:hint="eastAsia" w:ascii="Times New Roman" w:hAnsi="Times New Roman" w:eastAsia="仿宋_GB2312" w:cs="Times New Roman"/>
          <w:sz w:val="32"/>
          <w:szCs w:val="32"/>
        </w:rPr>
        <w:t>万元以上专用设备</w:t>
      </w:r>
      <w:r>
        <w:rPr>
          <w:rFonts w:hint="default" w:ascii="Times New Roman" w:hAnsi="Times New Roman" w:eastAsia="仿宋_GB2312" w:cs="Times New Roman"/>
          <w:sz w:val="32"/>
          <w:szCs w:val="32"/>
        </w:rPr>
        <w:t>0</w:t>
      </w:r>
      <w:r>
        <w:rPr>
          <w:rFonts w:hint="eastAsia" w:ascii="Times New Roman" w:hAnsi="Times New Roman" w:eastAsia="仿宋_GB2312" w:cs="Times New Roman"/>
          <w:sz w:val="32"/>
          <w:szCs w:val="32"/>
        </w:rPr>
        <w:t>台（套）。</w:t>
      </w:r>
    </w:p>
    <w:p>
      <w:pPr>
        <w:spacing w:line="353" w:lineRule="auto"/>
        <w:ind w:firstLine="640" w:firstLineChars="200"/>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（四）绩效目标设置情况</w:t>
      </w:r>
    </w:p>
    <w:p>
      <w:pPr>
        <w:snapToGrid w:val="0"/>
        <w:spacing w:line="353" w:lineRule="auto"/>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2023</w:t>
      </w:r>
      <w:r>
        <w:rPr>
          <w:rFonts w:hint="eastAsia" w:ascii="Times New Roman" w:hAnsi="Times New Roman" w:eastAsia="仿宋_GB2312" w:cs="Times New Roman"/>
          <w:sz w:val="32"/>
          <w:szCs w:val="32"/>
        </w:rPr>
        <w:t>年，开展绩效目标管理的项目</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个，涉及预算</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万元。其中：人员类项目</w:t>
      </w:r>
      <w:r>
        <w:rPr>
          <w:rFonts w:hint="default" w:ascii="Times New Roman" w:hAnsi="Times New Roman" w:eastAsia="仿宋_GB2312" w:cs="Times New Roman"/>
          <w:sz w:val="32"/>
          <w:szCs w:val="32"/>
        </w:rPr>
        <w:t>0</w:t>
      </w:r>
      <w:r>
        <w:rPr>
          <w:rFonts w:hint="eastAsia" w:ascii="Times New Roman" w:hAnsi="Times New Roman" w:eastAsia="仿宋_GB2312" w:cs="Times New Roman"/>
          <w:sz w:val="32"/>
          <w:szCs w:val="32"/>
        </w:rPr>
        <w:t>个，涉及预</w:t>
      </w:r>
      <w:r>
        <w:rPr>
          <w:rFonts w:hint="default" w:ascii="Times New Roman" w:hAnsi="Times New Roman" w:eastAsia="仿宋_GB2312" w:cs="Times New Roman"/>
          <w:sz w:val="32"/>
          <w:szCs w:val="32"/>
        </w:rPr>
        <w:t>0</w:t>
      </w:r>
      <w:r>
        <w:rPr>
          <w:rFonts w:hint="eastAsia" w:ascii="Times New Roman" w:hAnsi="Times New Roman" w:eastAsia="仿宋_GB2312" w:cs="Times New Roman"/>
          <w:sz w:val="32"/>
          <w:szCs w:val="32"/>
        </w:rPr>
        <w:t>万元；运转类项目</w:t>
      </w:r>
      <w:r>
        <w:rPr>
          <w:rFonts w:hint="default" w:ascii="Times New Roman" w:hAnsi="Times New Roman" w:eastAsia="仿宋_GB2312" w:cs="Times New Roman"/>
          <w:sz w:val="32"/>
          <w:szCs w:val="32"/>
        </w:rPr>
        <w:t>0</w:t>
      </w:r>
      <w:r>
        <w:rPr>
          <w:rFonts w:hint="eastAsia" w:ascii="Times New Roman" w:hAnsi="Times New Roman" w:eastAsia="仿宋_GB2312" w:cs="Times New Roman"/>
          <w:sz w:val="32"/>
          <w:szCs w:val="32"/>
        </w:rPr>
        <w:t>个，涉及预算</w:t>
      </w:r>
      <w:r>
        <w:rPr>
          <w:rFonts w:hint="default" w:ascii="Times New Roman" w:hAnsi="Times New Roman" w:eastAsia="仿宋_GB2312" w:cs="Times New Roman"/>
          <w:sz w:val="32"/>
          <w:szCs w:val="32"/>
        </w:rPr>
        <w:t>0</w:t>
      </w:r>
      <w:r>
        <w:rPr>
          <w:rFonts w:hint="eastAsia" w:ascii="Times New Roman" w:hAnsi="Times New Roman" w:eastAsia="仿宋_GB2312" w:cs="Times New Roman"/>
          <w:sz w:val="32"/>
          <w:szCs w:val="32"/>
        </w:rPr>
        <w:t>万元；特定目标类项目</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个，涉及预算</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万元。</w:t>
      </w:r>
    </w:p>
    <w:p>
      <w:pPr>
        <w:spacing w:line="353" w:lineRule="auto"/>
        <w:ind w:firstLine="640" w:firstLineChars="200"/>
        <w:outlineLvl w:val="9"/>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 </w:t>
      </w:r>
    </w:p>
    <w:p>
      <w:pPr>
        <w:spacing w:line="353" w:lineRule="auto"/>
        <w:ind w:firstLine="640" w:firstLineChars="200"/>
        <w:outlineLvl w:val="9"/>
        <w:rPr>
          <w:rFonts w:hint="eastAsia" w:ascii="Times New Roman" w:hAnsi="Times New Roman" w:eastAsia="黑体" w:cs="Times New Roman"/>
          <w:color w:val="000000"/>
          <w:sz w:val="32"/>
          <w:szCs w:val="32"/>
        </w:rPr>
      </w:pPr>
    </w:p>
    <w:p>
      <w:pPr>
        <w:spacing w:line="353" w:lineRule="auto"/>
        <w:ind w:firstLine="640" w:firstLineChars="200"/>
        <w:outlineLvl w:val="9"/>
        <w:rPr>
          <w:rFonts w:hint="eastAsia" w:ascii="Times New Roman" w:hAnsi="Times New Roman" w:eastAsia="黑体" w:cs="Times New Roman"/>
          <w:color w:val="000000"/>
          <w:sz w:val="32"/>
          <w:szCs w:val="32"/>
        </w:rPr>
      </w:pPr>
    </w:p>
    <w:p>
      <w:pPr>
        <w:spacing w:line="353" w:lineRule="auto"/>
        <w:ind w:firstLine="640" w:firstLineChars="200"/>
        <w:outlineLvl w:val="9"/>
        <w:rPr>
          <w:rFonts w:hint="eastAsia" w:ascii="Times New Roman" w:hAnsi="Times New Roman" w:eastAsia="黑体" w:cs="Times New Roman"/>
          <w:color w:val="000000"/>
          <w:sz w:val="32"/>
          <w:szCs w:val="32"/>
        </w:rPr>
      </w:pPr>
    </w:p>
    <w:p>
      <w:pPr>
        <w:spacing w:line="353" w:lineRule="auto"/>
        <w:ind w:firstLine="640" w:firstLineChars="200"/>
        <w:outlineLvl w:val="9"/>
        <w:rPr>
          <w:rFonts w:hint="eastAsia" w:ascii="Times New Roman" w:hAnsi="Times New Roman" w:eastAsia="黑体" w:cs="Times New Roman"/>
          <w:color w:val="000000"/>
          <w:sz w:val="32"/>
          <w:szCs w:val="32"/>
        </w:rPr>
      </w:pPr>
    </w:p>
    <w:p>
      <w:pPr>
        <w:spacing w:line="353" w:lineRule="auto"/>
        <w:ind w:firstLine="640" w:firstLineChars="200"/>
        <w:outlineLvl w:val="9"/>
        <w:rPr>
          <w:rFonts w:hint="eastAsia" w:ascii="Times New Roman" w:hAnsi="Times New Roman" w:eastAsia="黑体" w:cs="Times New Roman"/>
          <w:color w:val="000000"/>
          <w:sz w:val="32"/>
          <w:szCs w:val="32"/>
        </w:rPr>
      </w:pPr>
    </w:p>
    <w:p>
      <w:pPr>
        <w:spacing w:line="353" w:lineRule="auto"/>
        <w:ind w:firstLine="640" w:firstLineChars="200"/>
        <w:outlineLvl w:val="9"/>
        <w:rPr>
          <w:rFonts w:hint="eastAsia" w:ascii="Times New Roman" w:hAnsi="Times New Roman" w:eastAsia="黑体" w:cs="Times New Roman"/>
          <w:color w:val="000000"/>
          <w:sz w:val="32"/>
          <w:szCs w:val="32"/>
        </w:rPr>
      </w:pPr>
    </w:p>
    <w:p>
      <w:pPr>
        <w:spacing w:line="353" w:lineRule="auto"/>
        <w:ind w:firstLine="640" w:firstLineChars="200"/>
        <w:outlineLvl w:val="9"/>
        <w:rPr>
          <w:rFonts w:hint="eastAsia" w:ascii="Times New Roman" w:hAnsi="Times New Roman" w:eastAsia="黑体" w:cs="Times New Roman"/>
          <w:color w:val="000000"/>
          <w:sz w:val="32"/>
          <w:szCs w:val="32"/>
        </w:rPr>
      </w:pPr>
    </w:p>
    <w:p>
      <w:pPr>
        <w:spacing w:line="353" w:lineRule="auto"/>
        <w:ind w:firstLine="640" w:firstLineChars="200"/>
        <w:outlineLvl w:val="9"/>
        <w:rPr>
          <w:rFonts w:hint="eastAsia" w:ascii="Times New Roman" w:hAnsi="Times New Roman" w:eastAsia="黑体" w:cs="Times New Roman"/>
          <w:color w:val="000000"/>
          <w:sz w:val="32"/>
          <w:szCs w:val="32"/>
        </w:rPr>
      </w:pPr>
    </w:p>
    <w:p>
      <w:pPr>
        <w:spacing w:line="353" w:lineRule="auto"/>
        <w:ind w:firstLine="640" w:firstLineChars="200"/>
        <w:outlineLvl w:val="9"/>
        <w:rPr>
          <w:rFonts w:hint="eastAsia" w:ascii="Times New Roman" w:hAnsi="Times New Roman" w:eastAsia="黑体" w:cs="Times New Roman"/>
          <w:color w:val="000000"/>
          <w:sz w:val="32"/>
          <w:szCs w:val="32"/>
        </w:rPr>
      </w:pPr>
    </w:p>
    <w:p>
      <w:pPr>
        <w:spacing w:line="353" w:lineRule="auto"/>
        <w:ind w:firstLine="640" w:firstLineChars="200"/>
        <w:outlineLvl w:val="9"/>
        <w:rPr>
          <w:rFonts w:hint="eastAsia" w:ascii="Times New Roman" w:hAnsi="Times New Roman" w:eastAsia="黑体" w:cs="Times New Roman"/>
          <w:color w:val="000000"/>
          <w:sz w:val="32"/>
          <w:szCs w:val="32"/>
        </w:rPr>
      </w:pPr>
    </w:p>
    <w:p>
      <w:pPr>
        <w:spacing w:line="0" w:lineRule="atLeast"/>
        <w:jc w:val="center"/>
        <w:outlineLvl w:val="0"/>
        <w:rPr>
          <w:rFonts w:hint="eastAsia" w:ascii="方正小标宋_GBK" w:hAnsi="方正小标宋_GBK" w:eastAsia="方正小标宋_GBK" w:cs="方正小标宋_GBK"/>
          <w:color w:val="000000"/>
          <w:sz w:val="44"/>
          <w:szCs w:val="44"/>
        </w:rPr>
      </w:pPr>
      <w:bookmarkStart w:id="27" w:name="_Toc18985"/>
      <w:bookmarkStart w:id="28" w:name="_Toc16528"/>
      <w:r>
        <w:rPr>
          <w:rFonts w:hint="eastAsia" w:ascii="方正小标宋_GBK" w:hAnsi="方正小标宋_GBK" w:eastAsia="方正小标宋_GBK" w:cs="方正小标宋_GBK"/>
          <w:color w:val="000000"/>
          <w:sz w:val="44"/>
          <w:szCs w:val="44"/>
        </w:rPr>
        <w:t>第三部分  名词解释</w:t>
      </w:r>
      <w:bookmarkEnd w:id="27"/>
      <w:bookmarkEnd w:id="28"/>
    </w:p>
    <w:p>
      <w:pPr>
        <w:snapToGrid w:val="0"/>
        <w:spacing w:line="353" w:lineRule="auto"/>
        <w:ind w:firstLine="640" w:firstLineChars="200"/>
        <w:rPr>
          <w:rFonts w:hint="eastAsia" w:ascii="Times New Roman" w:hAnsi="Times New Roman" w:eastAsia="仿宋_GB2312" w:cs="Times New Roman"/>
          <w:sz w:val="32"/>
          <w:szCs w:val="32"/>
        </w:rPr>
      </w:pPr>
      <w:bookmarkStart w:id="31" w:name="_GoBack"/>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财政拨款收入：指单位从同级财政部门取得的财政预算资金。</w:t>
      </w:r>
    </w:p>
    <w:p>
      <w:pPr>
        <w:snapToGrid w:val="0"/>
        <w:spacing w:line="353" w:lineRule="auto"/>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年初结转和结余：指以前年度尚未完成、结转到本年按有关规定继续使用的资金。</w:t>
      </w:r>
    </w:p>
    <w:p>
      <w:pPr>
        <w:snapToGrid w:val="0"/>
        <w:spacing w:line="353" w:lineRule="auto"/>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年末结转和结余：指本年度或以前年度预算安排、因客观条件发生变化无法按原计划实施，需延迟到以后年度按有关规定继续使用的资金。</w:t>
      </w:r>
    </w:p>
    <w:p>
      <w:pPr>
        <w:snapToGrid w:val="0"/>
        <w:spacing w:line="353" w:lineRule="auto"/>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rPr>
        <w:t>基本支出：指为保障机构正常运转、完成日常工作任务而发生的人员支出和公用支出。</w:t>
      </w:r>
    </w:p>
    <w:p>
      <w:pPr>
        <w:snapToGrid w:val="0"/>
        <w:spacing w:line="353" w:lineRule="auto"/>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项目支出：指在基本支出之外为完成特定行政任务和事业发展目标所发生的支出。</w:t>
      </w:r>
    </w:p>
    <w:p>
      <w:pPr>
        <w:snapToGrid w:val="0"/>
        <w:spacing w:line="353" w:lineRule="auto"/>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eastAsia" w:ascii="Times New Roman" w:hAnsi="Times New Roman" w:eastAsia="仿宋_GB2312" w:cs="Times New Roman"/>
          <w:sz w:val="32"/>
          <w:szCs w:val="32"/>
        </w:rPr>
        <w:t>“三公”经费：纳入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napToGrid w:val="0"/>
        <w:spacing w:line="353" w:lineRule="auto"/>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eastAsia" w:ascii="Times New Roman" w:hAnsi="Times New Roman" w:eastAsia="仿宋_GB2312"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napToGrid w:val="0"/>
        <w:spacing w:line="353" w:lineRule="auto"/>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8.</w:t>
      </w:r>
      <w:r>
        <w:rPr>
          <w:rFonts w:hint="eastAsia" w:ascii="Times New Roman" w:hAnsi="Times New Roman" w:eastAsia="仿宋_GB2312" w:cs="Times New Roman"/>
          <w:sz w:val="32"/>
          <w:szCs w:val="32"/>
        </w:rPr>
        <w:t> 一般公共服务支出（类）档案事务（款）行政运行: 指行政单位（包括实行公务员管理的事业单位）的基本支出。</w:t>
      </w:r>
    </w:p>
    <w:p>
      <w:pPr>
        <w:snapToGrid w:val="0"/>
        <w:spacing w:line="353" w:lineRule="auto"/>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9</w:t>
      </w:r>
      <w:r>
        <w:rPr>
          <w:rFonts w:hint="eastAsia" w:ascii="Times New Roman" w:hAnsi="Times New Roman" w:eastAsia="仿宋_GB2312" w:cs="Times New Roman"/>
          <w:sz w:val="32"/>
          <w:szCs w:val="32"/>
        </w:rPr>
        <w:t>、社会保障和就业支出（类）行政事业单位养老支出（款）  </w:t>
      </w:r>
    </w:p>
    <w:p>
      <w:pPr>
        <w:snapToGrid w:val="0"/>
        <w:spacing w:line="353"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①、行政单位离退休: 指行政单位（包括实行公务员管理的事业单位）开支的离退休支出。</w:t>
      </w:r>
    </w:p>
    <w:p>
      <w:pPr>
        <w:snapToGrid w:val="0"/>
        <w:spacing w:line="353"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②、机关事业单位基本养老保险缴费支出：指机关事业单位实施养老保险制度有单位缴纳的基本养老保险费支出。</w:t>
      </w:r>
    </w:p>
    <w:p>
      <w:pPr>
        <w:snapToGrid w:val="0"/>
        <w:spacing w:line="353" w:lineRule="auto"/>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10</w:t>
      </w:r>
      <w:r>
        <w:rPr>
          <w:rFonts w:hint="eastAsia" w:ascii="Times New Roman" w:hAnsi="Times New Roman" w:eastAsia="仿宋_GB2312" w:cs="Times New Roman"/>
          <w:sz w:val="32"/>
          <w:szCs w:val="32"/>
        </w:rPr>
        <w:t>、卫生健康支出（类） 行政事业单位医疗支出（款）</w:t>
      </w:r>
    </w:p>
    <w:p>
      <w:pPr>
        <w:snapToGrid w:val="0"/>
        <w:spacing w:line="353"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①、行政单位医疗：反映财政部门安排的行政单位（包括实行公务员管理的事业单位、下同）基本医疗保险缴费经费，未参加医疗保险的行政单位的公费医疗经费，按国家规定享受离休人员、红军老战士待遇人员的医疗经费。</w:t>
      </w:r>
    </w:p>
    <w:p>
      <w:pPr>
        <w:snapToGrid w:val="0"/>
        <w:spacing w:line="353"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②、事业单位医疗：反映财政部门安排的事业单位基本医疗保险缴费经费，未参加医疗保险的事业单位的公费医疗经费，按国家规定享受离休人员待遇的医疗经费。</w:t>
      </w:r>
    </w:p>
    <w:p>
      <w:pPr>
        <w:snapToGrid w:val="0"/>
        <w:spacing w:line="353"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③、公务员医疗补助：反映财政部门安排的公务员医疗补助经费。</w:t>
      </w:r>
    </w:p>
    <w:p>
      <w:pPr>
        <w:snapToGrid w:val="0"/>
        <w:spacing w:line="353"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④、其他行政事业单位医疗支出：反映除上述项目以外的其他用于行政事业单位医疗方面的支出。</w:t>
      </w:r>
    </w:p>
    <w:p>
      <w:pPr>
        <w:snapToGrid w:val="0"/>
        <w:spacing w:line="353" w:lineRule="auto"/>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11</w:t>
      </w:r>
      <w:r>
        <w:rPr>
          <w:rFonts w:hint="eastAsia" w:ascii="Times New Roman" w:hAnsi="Times New Roman" w:eastAsia="仿宋_GB2312" w:cs="Times New Roman"/>
          <w:sz w:val="32"/>
          <w:szCs w:val="32"/>
        </w:rPr>
        <w:t>、住房保障支出（类）住房改革支出（款）住房公积金（项）：指行政事业单位按人力资源和社会保障部、财政部规定的基本工资和津贴补贴以及规定比例为职工缴纳的住房公积金。</w:t>
      </w:r>
      <w:bookmarkEnd w:id="31"/>
    </w:p>
    <w:p>
      <w:pPr>
        <w:spacing w:line="353" w:lineRule="auto"/>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数字档案馆：各级各类档案馆为适应信息社会日益增长的对档案信息资源管理、利用需求，运用现代信息、技术对数字档案信息进行采集、加工、存储、管理，并通过各种网络平台提供公共档案信息服务和共享利用的档案信息集成管理系统。</w:t>
      </w:r>
    </w:p>
    <w:p>
      <w:pPr>
        <w:snapToGrid w:val="0"/>
        <w:spacing w:line="353" w:lineRule="auto"/>
        <w:ind w:firstLine="640" w:firstLineChars="200"/>
        <w:rPr>
          <w:rFonts w:hint="eastAsia" w:ascii="Times New Roman" w:hAnsi="Times New Roman" w:eastAsia="仿宋_GB2312" w:cs="Times New Roman"/>
          <w:sz w:val="32"/>
          <w:szCs w:val="32"/>
        </w:rPr>
      </w:pPr>
    </w:p>
    <w:p>
      <w:pPr>
        <w:snapToGrid w:val="0"/>
        <w:spacing w:line="353"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w:t>
      </w:r>
    </w:p>
    <w:p>
      <w:pPr>
        <w:rPr>
          <w:rFonts w:hint="eastAsia"/>
        </w:rPr>
      </w:pPr>
      <w:r>
        <w:rPr>
          <w:rFonts w:hint="eastAsia"/>
        </w:rPr>
        <w:t> </w:t>
      </w:r>
    </w:p>
    <w:p>
      <w:pPr>
        <w:spacing w:line="0" w:lineRule="atLeast"/>
        <w:jc w:val="center"/>
        <w:outlineLvl w:val="0"/>
        <w:rPr>
          <w:rFonts w:hint="eastAsia" w:ascii="方正小标宋_GBK" w:hAnsi="方正小标宋_GBK" w:eastAsia="方正小标宋_GBK" w:cs="方正小标宋_GBK"/>
          <w:color w:val="000000"/>
          <w:sz w:val="44"/>
          <w:szCs w:val="44"/>
        </w:rPr>
      </w:pPr>
      <w:bookmarkStart w:id="29" w:name="_Toc25731"/>
      <w:bookmarkStart w:id="30" w:name="_Toc32020"/>
      <w:r>
        <w:rPr>
          <w:rFonts w:hint="eastAsia" w:ascii="方正小标宋_GBK" w:hAnsi="方正小标宋_GBK" w:eastAsia="方正小标宋_GBK" w:cs="方正小标宋_GBK"/>
          <w:color w:val="000000"/>
          <w:sz w:val="44"/>
          <w:szCs w:val="44"/>
        </w:rPr>
        <w:t>第四部分  附表</w:t>
      </w:r>
      <w:bookmarkEnd w:id="29"/>
      <w:bookmarkEnd w:id="30"/>
    </w:p>
    <w:p>
      <w:pPr>
        <w:spacing w:line="0" w:lineRule="atLeast"/>
        <w:jc w:val="center"/>
        <w:outlineLvl w:val="0"/>
        <w:rPr>
          <w:rFonts w:hint="eastAsia" w:ascii="方正小标宋_GBK" w:hAnsi="方正小标宋_GBK" w:eastAsia="方正小标宋_GBK" w:cs="方正小标宋_GBK"/>
          <w:color w:val="000000"/>
          <w:sz w:val="44"/>
          <w:szCs w:val="44"/>
        </w:rPr>
      </w:pPr>
    </w:p>
    <w:p>
      <w:pPr>
        <w:spacing w:line="600" w:lineRule="exact"/>
        <w:ind w:firstLine="660" w:firstLineChars="200"/>
        <w:rPr>
          <w:rFonts w:eastAsia="方正仿宋_GBK"/>
          <w:sz w:val="33"/>
          <w:szCs w:val="33"/>
        </w:rPr>
      </w:pPr>
      <w:r>
        <w:rPr>
          <w:rFonts w:eastAsia="方正仿宋_GBK"/>
          <w:sz w:val="33"/>
          <w:szCs w:val="33"/>
        </w:rPr>
        <w:t>附件：表1.部门收支总表</w:t>
      </w:r>
    </w:p>
    <w:p>
      <w:pPr>
        <w:spacing w:line="600" w:lineRule="exact"/>
        <w:rPr>
          <w:rFonts w:eastAsia="方正仿宋_GBK"/>
          <w:sz w:val="33"/>
          <w:szCs w:val="33"/>
        </w:rPr>
      </w:pPr>
      <w:r>
        <w:rPr>
          <w:rFonts w:eastAsia="方正仿宋_GBK"/>
          <w:sz w:val="33"/>
          <w:szCs w:val="33"/>
        </w:rPr>
        <w:t xml:space="preserve">          表1-1.部门收入总表</w:t>
      </w:r>
    </w:p>
    <w:p>
      <w:pPr>
        <w:spacing w:line="600" w:lineRule="exact"/>
        <w:rPr>
          <w:rFonts w:eastAsia="方正仿宋_GBK"/>
          <w:sz w:val="33"/>
          <w:szCs w:val="33"/>
        </w:rPr>
      </w:pPr>
      <w:r>
        <w:rPr>
          <w:rFonts w:eastAsia="方正仿宋_GBK"/>
          <w:sz w:val="33"/>
          <w:szCs w:val="33"/>
        </w:rPr>
        <w:t xml:space="preserve">          表1-2.部门支出总表</w:t>
      </w:r>
    </w:p>
    <w:p>
      <w:pPr>
        <w:spacing w:line="600" w:lineRule="exact"/>
        <w:ind w:firstLine="1650" w:firstLineChars="500"/>
        <w:rPr>
          <w:rFonts w:eastAsia="方正仿宋_GBK"/>
          <w:sz w:val="33"/>
          <w:szCs w:val="33"/>
        </w:rPr>
      </w:pPr>
      <w:r>
        <w:rPr>
          <w:rFonts w:eastAsia="方正仿宋_GBK"/>
          <w:sz w:val="33"/>
          <w:szCs w:val="33"/>
        </w:rPr>
        <w:t>表2.财政拨款收支预算总表</w:t>
      </w:r>
    </w:p>
    <w:p>
      <w:pPr>
        <w:spacing w:line="600" w:lineRule="exact"/>
        <w:ind w:firstLine="1650" w:firstLineChars="500"/>
        <w:rPr>
          <w:rFonts w:eastAsia="方正仿宋_GBK"/>
          <w:sz w:val="33"/>
          <w:szCs w:val="33"/>
        </w:rPr>
      </w:pPr>
      <w:r>
        <w:rPr>
          <w:rFonts w:eastAsia="方正仿宋_GBK"/>
          <w:sz w:val="33"/>
          <w:szCs w:val="33"/>
        </w:rPr>
        <w:t>表2-1.财政拨款支出预算表</w:t>
      </w:r>
    </w:p>
    <w:p>
      <w:pPr>
        <w:spacing w:line="600" w:lineRule="exact"/>
        <w:ind w:firstLine="1650" w:firstLineChars="500"/>
        <w:rPr>
          <w:rFonts w:eastAsia="方正仿宋_GBK"/>
          <w:sz w:val="33"/>
          <w:szCs w:val="33"/>
        </w:rPr>
      </w:pPr>
      <w:r>
        <w:rPr>
          <w:rFonts w:eastAsia="方正仿宋_GBK"/>
          <w:sz w:val="33"/>
          <w:szCs w:val="33"/>
        </w:rPr>
        <w:t>表3.一般公共预算支出预算表</w:t>
      </w:r>
    </w:p>
    <w:p>
      <w:pPr>
        <w:spacing w:line="600" w:lineRule="exact"/>
        <w:ind w:firstLine="1650" w:firstLineChars="500"/>
        <w:rPr>
          <w:rFonts w:eastAsia="方正仿宋_GBK"/>
          <w:sz w:val="33"/>
          <w:szCs w:val="33"/>
        </w:rPr>
      </w:pPr>
      <w:r>
        <w:rPr>
          <w:rFonts w:eastAsia="方正仿宋_GBK"/>
          <w:sz w:val="33"/>
          <w:szCs w:val="33"/>
        </w:rPr>
        <w:t>表3-1.一般公共预算基本支出预算表</w:t>
      </w:r>
    </w:p>
    <w:p>
      <w:pPr>
        <w:spacing w:line="600" w:lineRule="exact"/>
        <w:ind w:firstLine="1650" w:firstLineChars="500"/>
        <w:rPr>
          <w:rFonts w:eastAsia="方正仿宋_GBK"/>
          <w:sz w:val="33"/>
          <w:szCs w:val="33"/>
        </w:rPr>
      </w:pPr>
      <w:r>
        <w:rPr>
          <w:rFonts w:eastAsia="方正仿宋_GBK"/>
          <w:sz w:val="33"/>
          <w:szCs w:val="33"/>
        </w:rPr>
        <w:t>表3-2.一般公共预算项目支出预算表</w:t>
      </w:r>
    </w:p>
    <w:p>
      <w:pPr>
        <w:spacing w:line="600" w:lineRule="exact"/>
        <w:ind w:firstLine="1650" w:firstLineChars="500"/>
        <w:rPr>
          <w:rFonts w:eastAsia="方正仿宋_GBK"/>
          <w:sz w:val="33"/>
          <w:szCs w:val="33"/>
        </w:rPr>
      </w:pPr>
      <w:r>
        <w:rPr>
          <w:rFonts w:eastAsia="方正仿宋_GBK"/>
          <w:sz w:val="33"/>
          <w:szCs w:val="33"/>
        </w:rPr>
        <w:t>表3-3.一般公共预算“三公”经费支出预算表</w:t>
      </w:r>
    </w:p>
    <w:p>
      <w:pPr>
        <w:spacing w:line="600" w:lineRule="exact"/>
        <w:ind w:firstLine="1650" w:firstLineChars="500"/>
        <w:rPr>
          <w:rFonts w:eastAsia="方正仿宋_GBK"/>
          <w:sz w:val="33"/>
          <w:szCs w:val="33"/>
        </w:rPr>
      </w:pPr>
      <w:r>
        <w:rPr>
          <w:rFonts w:eastAsia="方正仿宋_GBK"/>
          <w:sz w:val="33"/>
          <w:szCs w:val="33"/>
        </w:rPr>
        <w:t>表4.政府性基金支出预算表</w:t>
      </w:r>
    </w:p>
    <w:p>
      <w:pPr>
        <w:spacing w:line="600" w:lineRule="exact"/>
        <w:ind w:firstLine="1650" w:firstLineChars="500"/>
        <w:rPr>
          <w:rFonts w:eastAsia="方正仿宋_GBK"/>
          <w:sz w:val="33"/>
          <w:szCs w:val="33"/>
        </w:rPr>
      </w:pPr>
      <w:r>
        <w:rPr>
          <w:rFonts w:eastAsia="方正仿宋_GBK"/>
          <w:sz w:val="33"/>
          <w:szCs w:val="33"/>
        </w:rPr>
        <w:t>表4-1.政府性基金预算“三公”经费支出预算表</w:t>
      </w:r>
    </w:p>
    <w:p>
      <w:pPr>
        <w:spacing w:line="600" w:lineRule="exact"/>
        <w:ind w:firstLine="1650" w:firstLineChars="500"/>
        <w:rPr>
          <w:rFonts w:eastAsia="方正仿宋_GBK"/>
          <w:sz w:val="33"/>
          <w:szCs w:val="33"/>
        </w:rPr>
      </w:pPr>
      <w:r>
        <w:rPr>
          <w:rFonts w:eastAsia="方正仿宋_GBK"/>
          <w:sz w:val="33"/>
          <w:szCs w:val="33"/>
        </w:rPr>
        <w:t>表5.国有资本经营预算支出预算表</w:t>
      </w:r>
    </w:p>
    <w:p>
      <w:pPr>
        <w:spacing w:line="600" w:lineRule="exact"/>
        <w:ind w:firstLine="1650" w:firstLineChars="500"/>
        <w:rPr>
          <w:rFonts w:eastAsia="方正仿宋_GBK"/>
          <w:sz w:val="33"/>
          <w:szCs w:val="33"/>
        </w:rPr>
      </w:pPr>
      <w:r>
        <w:rPr>
          <w:rFonts w:eastAsia="方正仿宋_GBK"/>
          <w:sz w:val="33"/>
          <w:szCs w:val="33"/>
        </w:rPr>
        <w:t>表6.部门预算项目绩效目标表</w:t>
      </w:r>
    </w:p>
    <w:p>
      <w:pPr>
        <w:spacing w:line="600" w:lineRule="exact"/>
        <w:ind w:firstLine="1650" w:firstLineChars="500"/>
        <w:rPr>
          <w:rFonts w:eastAsia="方正仿宋_GBK"/>
          <w:sz w:val="33"/>
          <w:szCs w:val="33"/>
        </w:rPr>
      </w:pPr>
      <w:r>
        <w:rPr>
          <w:rFonts w:eastAsia="方正仿宋_GBK"/>
          <w:sz w:val="33"/>
          <w:szCs w:val="33"/>
        </w:rPr>
        <w:t>表7.部门整体支出绩效目标表</w:t>
      </w: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B244E3"/>
    <w:rsid w:val="104D0060"/>
    <w:rsid w:val="2F911E64"/>
    <w:rsid w:val="6CD047BE"/>
    <w:rsid w:val="7A4B2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6">
    <w:name w:val="WPSOffice手动目录 1"/>
    <w:uiPriority w:val="0"/>
    <w:pPr>
      <w:ind w:leftChars="0"/>
    </w:pPr>
    <w:rPr>
      <w:rFonts w:ascii="Times New Roman" w:hAnsi="Times New Roman" w:eastAsia="宋体" w:cs="Times New Roman"/>
      <w:sz w:val="20"/>
      <w:szCs w:val="20"/>
    </w:rPr>
  </w:style>
  <w:style w:type="paragraph" w:customStyle="1" w:styleId="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2024-03-18T09:53:00Z</dcterms:created>
  <dc:creator>DA2</dc:creator>
  <cp:lastModifiedBy>虞浩</cp:lastModifiedBy>
  <dcterms:modified xsi:type="dcterms:W3CDTF">2024-07-30T01:03:35Z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1F9B710866EF466DBBB8C3C7783ABF91</vt:lpwstr>
  </property>
</Properties>
</file>