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21"/>
        </w:tabs>
        <w:spacing w:line="600" w:lineRule="exact"/>
        <w:jc w:val="left"/>
        <w:outlineLvl w:val="0"/>
        <w:rPr>
          <w:rFonts w:eastAsia="方正小标宋简体"/>
          <w:szCs w:val="21"/>
        </w:rPr>
      </w:pPr>
      <w:bookmarkStart w:id="67" w:name="_GoBack"/>
      <w:bookmarkEnd w:id="67"/>
      <w:bookmarkStart w:id="0" w:name="_Toc15306267"/>
      <w:r>
        <w:rPr>
          <w:rFonts w:eastAsia="方正小标宋简体"/>
          <w:szCs w:val="21"/>
        </w:rPr>
        <w:tab/>
      </w: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bookmarkStart w:id="1" w:name="_Toc15378441"/>
      <w:bookmarkStart w:id="2" w:name="_Toc15396597"/>
      <w:bookmarkStart w:id="3" w:name="_Toc15396475"/>
      <w:bookmarkStart w:id="4" w:name="_Toc15377193"/>
      <w:bookmarkStart w:id="5" w:name="_Toc15377425"/>
      <w:r>
        <w:rPr>
          <w:rFonts w:eastAsia="方正小标宋简体"/>
          <w:sz w:val="72"/>
          <w:szCs w:val="72"/>
        </w:rPr>
        <w:t>2022年度</w:t>
      </w:r>
      <w:bookmarkEnd w:id="1"/>
      <w:bookmarkEnd w:id="2"/>
      <w:bookmarkEnd w:id="3"/>
      <w:bookmarkEnd w:id="4"/>
      <w:bookmarkEnd w:id="5"/>
      <w:bookmarkStart w:id="6" w:name="_Toc15377194"/>
      <w:bookmarkStart w:id="7" w:name="_Toc15378442"/>
      <w:bookmarkStart w:id="8" w:name="_Toc15396476"/>
      <w:bookmarkStart w:id="9" w:name="_Toc15396598"/>
      <w:bookmarkStart w:id="10" w:name="_Toc15377426"/>
    </w:p>
    <w:p>
      <w:pPr>
        <w:adjustRightInd w:val="0"/>
        <w:snapToGrid w:val="0"/>
        <w:spacing w:line="360" w:lineRule="auto"/>
        <w:jc w:val="center"/>
        <w:outlineLvl w:val="0"/>
        <w:rPr>
          <w:rFonts w:eastAsia="方正小标宋简体"/>
          <w:sz w:val="72"/>
          <w:szCs w:val="72"/>
        </w:rPr>
      </w:pPr>
      <w:r>
        <w:rPr>
          <w:rFonts w:eastAsia="方正小标宋简体"/>
          <w:sz w:val="72"/>
          <w:szCs w:val="72"/>
        </w:rPr>
        <w:t>攀枝花市西区</w:t>
      </w:r>
      <w:bookmarkEnd w:id="0"/>
      <w:bookmarkStart w:id="11" w:name="_Toc15306268"/>
      <w:r>
        <w:rPr>
          <w:rFonts w:eastAsia="方正小标宋简体"/>
          <w:sz w:val="72"/>
          <w:szCs w:val="72"/>
        </w:rPr>
        <w:t>妇幼保健</w:t>
      </w:r>
    </w:p>
    <w:p>
      <w:pPr>
        <w:adjustRightInd w:val="0"/>
        <w:snapToGrid w:val="0"/>
        <w:spacing w:line="360" w:lineRule="auto"/>
        <w:jc w:val="center"/>
        <w:outlineLvl w:val="0"/>
        <w:rPr>
          <w:rFonts w:eastAsia="黑体"/>
          <w:sz w:val="28"/>
          <w:szCs w:val="28"/>
        </w:rPr>
      </w:pPr>
      <w:r>
        <w:rPr>
          <w:rFonts w:eastAsia="方正小标宋简体"/>
          <w:sz w:val="72"/>
          <w:szCs w:val="72"/>
        </w:rPr>
        <w:t>服务中心单位决算</w:t>
      </w:r>
      <w:bookmarkEnd w:id="6"/>
      <w:bookmarkEnd w:id="7"/>
      <w:bookmarkEnd w:id="8"/>
      <w:bookmarkEnd w:id="9"/>
      <w:bookmarkEnd w:id="10"/>
      <w:bookmarkEnd w:id="11"/>
      <w:r>
        <w:rPr>
          <w:rFonts w:eastAsia="方正小标宋简体"/>
          <w:sz w:val="72"/>
          <w:szCs w:val="72"/>
        </w:rPr>
        <w:br w:type="page"/>
      </w:r>
      <w:r>
        <w:rPr>
          <w:rFonts w:eastAsia="黑体"/>
          <w:sz w:val="48"/>
          <w:szCs w:val="48"/>
        </w:rPr>
        <w:t>目录</w:t>
      </w:r>
    </w:p>
    <w:p>
      <w:pPr>
        <w:pStyle w:val="7"/>
        <w:rPr>
          <w:rFonts w:ascii="Times New Roman" w:hAnsi="Times New Roman"/>
        </w:rPr>
      </w:pPr>
      <w:r>
        <w:rPr>
          <w:rFonts w:ascii="Times New Roman" w:hAnsi="Times New Roman"/>
        </w:rPr>
        <w:t>公开时间：2023年10月31日</w:t>
      </w:r>
    </w:p>
    <w:p/>
    <w:p>
      <w:pPr>
        <w:pStyle w:val="7"/>
        <w:adjustRightInd w:val="0"/>
        <w:snapToGrid w:val="0"/>
        <w:spacing w:before="0" w:line="440" w:lineRule="exact"/>
        <w:jc w:val="left"/>
        <w:rPr>
          <w:rFonts w:ascii="Times New Roman" w:hAnsi="Times New Roman"/>
          <w:sz w:val="24"/>
          <w:szCs w:val="24"/>
        </w:rPr>
      </w:pPr>
      <w:r>
        <w:rPr>
          <w:rFonts w:ascii="Times New Roman" w:hAnsi="Times New Roman"/>
          <w:sz w:val="24"/>
        </w:rPr>
        <w:t>第一部分 单位概况</w:t>
      </w:r>
      <w:r>
        <w:rPr>
          <w:rFonts w:hint="eastAsia" w:ascii="Times New Roman" w:hAnsi="Times New Roman"/>
          <w:sz w:val="24"/>
        </w:rPr>
        <w:t>…………………………………………………………………</w:t>
      </w:r>
      <w:r>
        <w:rPr>
          <w:rFonts w:ascii="Times New Roman" w:hAnsi="Times New Roman"/>
          <w:sz w:val="24"/>
          <w:szCs w:val="24"/>
        </w:rPr>
        <w:t>4</w:t>
      </w:r>
    </w:p>
    <w:p>
      <w:pPr>
        <w:pStyle w:val="8"/>
        <w:adjustRightInd w:val="0"/>
        <w:snapToGrid w:val="0"/>
        <w:spacing w:line="440" w:lineRule="exact"/>
        <w:jc w:val="left"/>
        <w:rPr>
          <w:sz w:val="24"/>
        </w:rPr>
      </w:pPr>
      <w:r>
        <w:rPr>
          <w:sz w:val="24"/>
        </w:rPr>
        <w:t>一、主要职责</w:t>
      </w:r>
      <w:r>
        <w:rPr>
          <w:rFonts w:hint="eastAsia"/>
          <w:sz w:val="24"/>
        </w:rPr>
        <w:t>……………………………………………………………………</w:t>
      </w:r>
      <w:r>
        <w:rPr>
          <w:sz w:val="24"/>
        </w:rPr>
        <w:t>4</w:t>
      </w:r>
    </w:p>
    <w:p>
      <w:pPr>
        <w:pStyle w:val="8"/>
        <w:adjustRightInd w:val="0"/>
        <w:snapToGrid w:val="0"/>
        <w:spacing w:line="440" w:lineRule="exact"/>
        <w:jc w:val="left"/>
      </w:pPr>
      <w:r>
        <w:rPr>
          <w:sz w:val="24"/>
        </w:rPr>
        <w:t>二、机构设置</w:t>
      </w:r>
      <w:r>
        <w:rPr>
          <w:rFonts w:hint="eastAsia"/>
          <w:sz w:val="24"/>
        </w:rPr>
        <w:t>……………………………………………………………………</w:t>
      </w:r>
      <w:r>
        <w:rPr>
          <w:sz w:val="24"/>
        </w:rPr>
        <w:t>5</w:t>
      </w:r>
    </w:p>
    <w:p>
      <w:pPr>
        <w:pStyle w:val="7"/>
        <w:adjustRightInd w:val="0"/>
        <w:snapToGrid w:val="0"/>
        <w:spacing w:before="0" w:line="440" w:lineRule="exact"/>
        <w:jc w:val="left"/>
        <w:rPr>
          <w:rFonts w:ascii="Times New Roman" w:hAnsi="Times New Roman"/>
          <w:sz w:val="24"/>
          <w:szCs w:val="24"/>
        </w:rPr>
      </w:pPr>
      <w:r>
        <w:rPr>
          <w:rFonts w:ascii="Times New Roman" w:hAnsi="Times New Roman"/>
          <w:sz w:val="24"/>
        </w:rPr>
        <w:t>第二部分 2022年度单位决算情况说明</w:t>
      </w:r>
      <w:r>
        <w:rPr>
          <w:rFonts w:hint="eastAsia" w:ascii="Times New Roman" w:hAnsi="Times New Roman"/>
          <w:sz w:val="24"/>
        </w:rPr>
        <w:t>……………………………………………</w:t>
      </w:r>
      <w:r>
        <w:rPr>
          <w:rFonts w:ascii="Times New Roman" w:hAnsi="Times New Roman"/>
          <w:sz w:val="24"/>
        </w:rPr>
        <w:t>.6</w:t>
      </w:r>
    </w:p>
    <w:p>
      <w:pPr>
        <w:pStyle w:val="8"/>
        <w:adjustRightInd w:val="0"/>
        <w:snapToGrid w:val="0"/>
        <w:spacing w:line="440" w:lineRule="exact"/>
        <w:jc w:val="left"/>
        <w:rPr>
          <w:sz w:val="24"/>
        </w:rPr>
      </w:pPr>
      <w:r>
        <w:rPr>
          <w:sz w:val="24"/>
        </w:rPr>
        <w:t>一、收入支出决算总体情况说明</w:t>
      </w:r>
      <w:r>
        <w:rPr>
          <w:rFonts w:hint="eastAsia"/>
          <w:sz w:val="24"/>
        </w:rPr>
        <w:t>………………………………………………</w:t>
      </w:r>
      <w:r>
        <w:rPr>
          <w:sz w:val="24"/>
        </w:rPr>
        <w:t>6</w:t>
      </w:r>
    </w:p>
    <w:p>
      <w:pPr>
        <w:pStyle w:val="8"/>
        <w:adjustRightInd w:val="0"/>
        <w:snapToGrid w:val="0"/>
        <w:spacing w:line="440" w:lineRule="exact"/>
        <w:jc w:val="left"/>
        <w:rPr>
          <w:sz w:val="24"/>
        </w:rPr>
      </w:pPr>
      <w:r>
        <w:rPr>
          <w:sz w:val="24"/>
        </w:rPr>
        <w:t>二、收入决算情况说明</w:t>
      </w:r>
      <w:r>
        <w:rPr>
          <w:rFonts w:hint="eastAsia"/>
          <w:sz w:val="24"/>
        </w:rPr>
        <w:t>…………………………………………………………</w:t>
      </w:r>
      <w:r>
        <w:rPr>
          <w:sz w:val="24"/>
        </w:rPr>
        <w:t>.6</w:t>
      </w:r>
    </w:p>
    <w:p>
      <w:pPr>
        <w:pStyle w:val="8"/>
        <w:adjustRightInd w:val="0"/>
        <w:snapToGrid w:val="0"/>
        <w:spacing w:line="440" w:lineRule="exact"/>
        <w:jc w:val="left"/>
        <w:rPr>
          <w:sz w:val="24"/>
        </w:rPr>
      </w:pPr>
      <w:r>
        <w:rPr>
          <w:sz w:val="24"/>
        </w:rPr>
        <w:t>三、支出决算情况说明</w:t>
      </w:r>
      <w:r>
        <w:rPr>
          <w:rFonts w:hint="eastAsia"/>
          <w:sz w:val="24"/>
        </w:rPr>
        <w:t>…………………………………………………………</w:t>
      </w:r>
      <w:r>
        <w:rPr>
          <w:sz w:val="24"/>
        </w:rPr>
        <w:t>7</w:t>
      </w:r>
    </w:p>
    <w:p>
      <w:pPr>
        <w:pStyle w:val="8"/>
        <w:adjustRightInd w:val="0"/>
        <w:snapToGrid w:val="0"/>
        <w:spacing w:line="440" w:lineRule="exact"/>
        <w:jc w:val="left"/>
        <w:rPr>
          <w:sz w:val="24"/>
        </w:rPr>
      </w:pPr>
      <w:r>
        <w:rPr>
          <w:sz w:val="24"/>
        </w:rPr>
        <w:t>四、财政拨款收入支出决算总体情况说明</w:t>
      </w:r>
      <w:r>
        <w:rPr>
          <w:rFonts w:hint="eastAsia"/>
          <w:sz w:val="24"/>
        </w:rPr>
        <w:t>……………………………………</w:t>
      </w:r>
      <w:r>
        <w:rPr>
          <w:sz w:val="24"/>
        </w:rPr>
        <w:t>8</w:t>
      </w:r>
    </w:p>
    <w:p>
      <w:pPr>
        <w:pStyle w:val="8"/>
        <w:adjustRightInd w:val="0"/>
        <w:snapToGrid w:val="0"/>
        <w:spacing w:line="440" w:lineRule="exact"/>
        <w:jc w:val="left"/>
        <w:rPr>
          <w:sz w:val="24"/>
        </w:rPr>
      </w:pPr>
      <w:r>
        <w:rPr>
          <w:sz w:val="24"/>
        </w:rPr>
        <w:t>五、一般公共预算财政拨款支出决算情况说明</w:t>
      </w:r>
      <w:r>
        <w:rPr>
          <w:rFonts w:hint="eastAsia"/>
          <w:sz w:val="24"/>
        </w:rPr>
        <w:t>………………………………</w:t>
      </w:r>
      <w:r>
        <w:rPr>
          <w:sz w:val="24"/>
        </w:rPr>
        <w:t>8</w:t>
      </w:r>
    </w:p>
    <w:p>
      <w:pPr>
        <w:pStyle w:val="8"/>
        <w:adjustRightInd w:val="0"/>
        <w:snapToGrid w:val="0"/>
        <w:spacing w:line="440" w:lineRule="exact"/>
        <w:jc w:val="left"/>
        <w:rPr>
          <w:sz w:val="24"/>
        </w:rPr>
      </w:pPr>
      <w:r>
        <w:rPr>
          <w:sz w:val="24"/>
        </w:rPr>
        <w:t>六、一般公共预算财政拨款基本支出决算情况说明</w:t>
      </w:r>
      <w:r>
        <w:rPr>
          <w:rFonts w:hint="eastAsia"/>
          <w:sz w:val="24"/>
        </w:rPr>
        <w:t>…………………………</w:t>
      </w:r>
      <w:r>
        <w:rPr>
          <w:sz w:val="24"/>
        </w:rPr>
        <w:t>11</w:t>
      </w:r>
    </w:p>
    <w:p>
      <w:pPr>
        <w:pStyle w:val="8"/>
        <w:adjustRightInd w:val="0"/>
        <w:snapToGrid w:val="0"/>
        <w:spacing w:line="440" w:lineRule="exact"/>
        <w:jc w:val="left"/>
        <w:rPr>
          <w:sz w:val="24"/>
        </w:rPr>
      </w:pPr>
      <w:r>
        <w:rPr>
          <w:sz w:val="24"/>
        </w:rPr>
        <w:t>七、财政拨款“三公”经费支出决算情况说明</w:t>
      </w:r>
      <w:r>
        <w:rPr>
          <w:rFonts w:hint="eastAsia"/>
          <w:sz w:val="24"/>
        </w:rPr>
        <w:t>…………………………………</w:t>
      </w:r>
      <w:r>
        <w:rPr>
          <w:sz w:val="24"/>
        </w:rPr>
        <w:t>12</w:t>
      </w:r>
    </w:p>
    <w:p>
      <w:pPr>
        <w:pStyle w:val="8"/>
        <w:adjustRightInd w:val="0"/>
        <w:snapToGrid w:val="0"/>
        <w:spacing w:line="440" w:lineRule="exact"/>
        <w:jc w:val="left"/>
        <w:rPr>
          <w:sz w:val="24"/>
        </w:rPr>
      </w:pPr>
      <w:r>
        <w:rPr>
          <w:sz w:val="24"/>
        </w:rPr>
        <w:t>八、政府性基金预算支出决算情况说明</w:t>
      </w:r>
      <w:r>
        <w:rPr>
          <w:rFonts w:hint="eastAsia"/>
          <w:sz w:val="24"/>
        </w:rPr>
        <w:t>………………………………………</w:t>
      </w:r>
      <w:r>
        <w:rPr>
          <w:sz w:val="24"/>
        </w:rPr>
        <w:t>14</w:t>
      </w:r>
    </w:p>
    <w:p>
      <w:pPr>
        <w:pStyle w:val="8"/>
        <w:adjustRightInd w:val="0"/>
        <w:snapToGrid w:val="0"/>
        <w:spacing w:line="440" w:lineRule="exact"/>
        <w:jc w:val="left"/>
        <w:rPr>
          <w:sz w:val="24"/>
        </w:rPr>
      </w:pPr>
      <w:r>
        <w:rPr>
          <w:sz w:val="24"/>
        </w:rPr>
        <w:t>九、国有资本经营预算支出决算情况说明</w:t>
      </w:r>
      <w:r>
        <w:rPr>
          <w:rFonts w:hint="eastAsia"/>
          <w:sz w:val="24"/>
        </w:rPr>
        <w:t>……………………………………</w:t>
      </w:r>
      <w:r>
        <w:rPr>
          <w:sz w:val="24"/>
        </w:rPr>
        <w:t>14</w:t>
      </w:r>
    </w:p>
    <w:p>
      <w:pPr>
        <w:pStyle w:val="8"/>
        <w:adjustRightInd w:val="0"/>
        <w:snapToGrid w:val="0"/>
        <w:spacing w:line="440" w:lineRule="exact"/>
        <w:jc w:val="left"/>
        <w:rPr>
          <w:sz w:val="24"/>
        </w:rPr>
      </w:pPr>
      <w:r>
        <w:rPr>
          <w:sz w:val="24"/>
        </w:rPr>
        <w:t>十、其他重要事项的情况说明</w:t>
      </w:r>
      <w:r>
        <w:rPr>
          <w:rFonts w:hint="eastAsia"/>
          <w:sz w:val="24"/>
        </w:rPr>
        <w:t>…………………………………………………</w:t>
      </w:r>
      <w:r>
        <w:rPr>
          <w:sz w:val="24"/>
        </w:rPr>
        <w:t>14</w:t>
      </w:r>
    </w:p>
    <w:p>
      <w:pPr>
        <w:pStyle w:val="7"/>
        <w:adjustRightInd w:val="0"/>
        <w:snapToGrid w:val="0"/>
        <w:spacing w:before="0" w:line="440" w:lineRule="exact"/>
        <w:jc w:val="left"/>
        <w:rPr>
          <w:rFonts w:ascii="Times New Roman" w:hAnsi="Times New Roman"/>
          <w:sz w:val="24"/>
          <w:szCs w:val="24"/>
        </w:rPr>
      </w:pPr>
      <w:r>
        <w:rPr>
          <w:rFonts w:ascii="Times New Roman" w:hAnsi="Times New Roman"/>
          <w:sz w:val="24"/>
        </w:rPr>
        <w:t>第三部分 名词解释</w:t>
      </w:r>
      <w:r>
        <w:rPr>
          <w:rFonts w:hint="eastAsia" w:ascii="Times New Roman" w:hAnsi="Times New Roman"/>
          <w:sz w:val="24"/>
        </w:rPr>
        <w:t>…………………………………………………………………</w:t>
      </w:r>
      <w:r>
        <w:rPr>
          <w:rFonts w:ascii="Times New Roman" w:hAnsi="Times New Roman"/>
          <w:sz w:val="24"/>
        </w:rPr>
        <w:t>16</w:t>
      </w:r>
    </w:p>
    <w:p>
      <w:pPr>
        <w:pStyle w:val="7"/>
        <w:adjustRightInd w:val="0"/>
        <w:snapToGrid w:val="0"/>
        <w:spacing w:before="0" w:line="440" w:lineRule="exact"/>
        <w:jc w:val="left"/>
        <w:rPr>
          <w:rFonts w:ascii="Times New Roman" w:hAnsi="Times New Roman"/>
          <w:sz w:val="24"/>
          <w:szCs w:val="24"/>
        </w:rPr>
      </w:pPr>
      <w:r>
        <w:rPr>
          <w:rFonts w:ascii="Times New Roman" w:hAnsi="Times New Roman"/>
          <w:sz w:val="24"/>
        </w:rPr>
        <w:t>第四部分 附件</w:t>
      </w:r>
      <w:r>
        <w:rPr>
          <w:rFonts w:hint="eastAsia" w:ascii="Times New Roman" w:hAnsi="Times New Roman"/>
          <w:sz w:val="24"/>
        </w:rPr>
        <w:t>………………………………………………………………………</w:t>
      </w:r>
      <w:r>
        <w:rPr>
          <w:rFonts w:ascii="Times New Roman" w:hAnsi="Times New Roman"/>
          <w:sz w:val="24"/>
        </w:rPr>
        <w:t>18</w:t>
      </w:r>
    </w:p>
    <w:p>
      <w:pPr>
        <w:pStyle w:val="7"/>
        <w:adjustRightInd w:val="0"/>
        <w:snapToGrid w:val="0"/>
        <w:spacing w:before="0" w:line="440" w:lineRule="exact"/>
        <w:jc w:val="left"/>
        <w:rPr>
          <w:rFonts w:ascii="Times New Roman" w:hAnsi="Times New Roman"/>
          <w:sz w:val="24"/>
          <w:szCs w:val="24"/>
        </w:rPr>
      </w:pPr>
      <w:r>
        <w:rPr>
          <w:rFonts w:ascii="Times New Roman" w:hAnsi="Times New Roman"/>
          <w:sz w:val="24"/>
        </w:rPr>
        <w:t>第五部分 附表</w:t>
      </w:r>
      <w:r>
        <w:rPr>
          <w:rFonts w:hint="eastAsia" w:ascii="Times New Roman" w:hAnsi="Times New Roman"/>
          <w:sz w:val="24"/>
        </w:rPr>
        <w:t>………………………………………………………………………</w:t>
      </w:r>
      <w:r>
        <w:rPr>
          <w:rFonts w:ascii="Times New Roman" w:hAnsi="Times New Roman"/>
          <w:sz w:val="24"/>
        </w:rPr>
        <w:t>19</w:t>
      </w:r>
    </w:p>
    <w:p>
      <w:pPr>
        <w:pStyle w:val="8"/>
        <w:adjustRightInd w:val="0"/>
        <w:snapToGrid w:val="0"/>
        <w:spacing w:line="440" w:lineRule="exact"/>
        <w:jc w:val="left"/>
        <w:rPr>
          <w:sz w:val="24"/>
        </w:rPr>
      </w:pPr>
      <w:r>
        <w:rPr>
          <w:sz w:val="24"/>
        </w:rPr>
        <w:t>一、收入支出决算总表</w:t>
      </w:r>
      <w:r>
        <w:rPr>
          <w:rFonts w:hint="eastAsia"/>
          <w:sz w:val="24"/>
        </w:rPr>
        <w:t>…………………………………………………………</w:t>
      </w:r>
      <w:r>
        <w:rPr>
          <w:sz w:val="24"/>
        </w:rPr>
        <w:t>19</w:t>
      </w:r>
    </w:p>
    <w:p>
      <w:pPr>
        <w:pStyle w:val="8"/>
        <w:adjustRightInd w:val="0"/>
        <w:snapToGrid w:val="0"/>
        <w:spacing w:line="440" w:lineRule="exact"/>
        <w:jc w:val="left"/>
        <w:rPr>
          <w:sz w:val="24"/>
        </w:rPr>
      </w:pPr>
      <w:r>
        <w:rPr>
          <w:sz w:val="24"/>
        </w:rPr>
        <w:t>二、收入决算表</w:t>
      </w:r>
      <w:r>
        <w:rPr>
          <w:rFonts w:hint="eastAsia"/>
          <w:sz w:val="24"/>
        </w:rPr>
        <w:t>…………………………………………………………………</w:t>
      </w:r>
      <w:r>
        <w:rPr>
          <w:sz w:val="24"/>
        </w:rPr>
        <w:t>19</w:t>
      </w:r>
    </w:p>
    <w:p>
      <w:pPr>
        <w:pStyle w:val="8"/>
        <w:adjustRightInd w:val="0"/>
        <w:snapToGrid w:val="0"/>
        <w:spacing w:line="440" w:lineRule="exact"/>
        <w:jc w:val="left"/>
        <w:rPr>
          <w:sz w:val="24"/>
        </w:rPr>
      </w:pPr>
      <w:r>
        <w:rPr>
          <w:sz w:val="24"/>
        </w:rPr>
        <w:t>三、支出决算表</w:t>
      </w:r>
      <w:r>
        <w:rPr>
          <w:rFonts w:hint="eastAsia"/>
          <w:sz w:val="24"/>
        </w:rPr>
        <w:t>…………………………………………………………………</w:t>
      </w:r>
      <w:r>
        <w:rPr>
          <w:sz w:val="24"/>
        </w:rPr>
        <w:t>19</w:t>
      </w:r>
    </w:p>
    <w:p>
      <w:pPr>
        <w:pStyle w:val="8"/>
        <w:adjustRightInd w:val="0"/>
        <w:snapToGrid w:val="0"/>
        <w:spacing w:line="440" w:lineRule="exact"/>
        <w:jc w:val="left"/>
        <w:rPr>
          <w:sz w:val="24"/>
        </w:rPr>
      </w:pPr>
      <w:r>
        <w:rPr>
          <w:sz w:val="24"/>
        </w:rPr>
        <w:t>四、财政拨款收入支出决算总表</w:t>
      </w:r>
      <w:r>
        <w:rPr>
          <w:rFonts w:hint="eastAsia"/>
          <w:sz w:val="24"/>
        </w:rPr>
        <w:t>………………………………………………</w:t>
      </w:r>
      <w:r>
        <w:rPr>
          <w:sz w:val="24"/>
        </w:rPr>
        <w:t>19</w:t>
      </w:r>
    </w:p>
    <w:p>
      <w:pPr>
        <w:pStyle w:val="8"/>
        <w:adjustRightInd w:val="0"/>
        <w:snapToGrid w:val="0"/>
        <w:spacing w:line="440" w:lineRule="exact"/>
        <w:jc w:val="left"/>
        <w:rPr>
          <w:sz w:val="24"/>
        </w:rPr>
      </w:pPr>
      <w:r>
        <w:rPr>
          <w:sz w:val="24"/>
        </w:rPr>
        <w:t>五、财政拨款支出决算明细表</w:t>
      </w:r>
      <w:r>
        <w:rPr>
          <w:rFonts w:hint="eastAsia"/>
          <w:sz w:val="24"/>
        </w:rPr>
        <w:t>…………………………………………………</w:t>
      </w:r>
      <w:r>
        <w:rPr>
          <w:sz w:val="24"/>
        </w:rPr>
        <w:t>19</w:t>
      </w:r>
    </w:p>
    <w:p>
      <w:pPr>
        <w:pStyle w:val="8"/>
        <w:adjustRightInd w:val="0"/>
        <w:snapToGrid w:val="0"/>
        <w:spacing w:line="440" w:lineRule="exact"/>
        <w:jc w:val="left"/>
        <w:rPr>
          <w:sz w:val="24"/>
        </w:rPr>
      </w:pPr>
      <w:r>
        <w:rPr>
          <w:sz w:val="24"/>
        </w:rPr>
        <w:t>六、一般公共预算财政拨款支出决算表</w:t>
      </w:r>
      <w:r>
        <w:rPr>
          <w:rFonts w:hint="eastAsia"/>
          <w:sz w:val="24"/>
        </w:rPr>
        <w:t>………………………………………</w:t>
      </w:r>
      <w:r>
        <w:rPr>
          <w:sz w:val="24"/>
        </w:rPr>
        <w:t>19</w:t>
      </w:r>
    </w:p>
    <w:p>
      <w:pPr>
        <w:pStyle w:val="8"/>
        <w:adjustRightInd w:val="0"/>
        <w:snapToGrid w:val="0"/>
        <w:spacing w:line="440" w:lineRule="exact"/>
        <w:jc w:val="left"/>
        <w:rPr>
          <w:sz w:val="24"/>
        </w:rPr>
      </w:pPr>
      <w:r>
        <w:rPr>
          <w:sz w:val="24"/>
        </w:rPr>
        <w:t>七、一般公共预算财政拨款支出决算明细表</w:t>
      </w:r>
      <w:r>
        <w:rPr>
          <w:rFonts w:hint="eastAsia"/>
          <w:sz w:val="24"/>
        </w:rPr>
        <w:t>…………………………………</w:t>
      </w:r>
      <w:r>
        <w:rPr>
          <w:sz w:val="24"/>
        </w:rPr>
        <w:t>19</w:t>
      </w:r>
    </w:p>
    <w:p>
      <w:pPr>
        <w:pStyle w:val="8"/>
        <w:adjustRightInd w:val="0"/>
        <w:snapToGrid w:val="0"/>
        <w:spacing w:line="440" w:lineRule="exact"/>
        <w:jc w:val="left"/>
        <w:rPr>
          <w:sz w:val="24"/>
        </w:rPr>
      </w:pPr>
      <w:r>
        <w:rPr>
          <w:sz w:val="24"/>
        </w:rPr>
        <w:t>八、一般公共预算财政拨款基本支出决算明细表</w:t>
      </w:r>
      <w:r>
        <w:rPr>
          <w:rFonts w:hint="eastAsia"/>
          <w:sz w:val="24"/>
        </w:rPr>
        <w:t>……………………………</w:t>
      </w:r>
      <w:r>
        <w:rPr>
          <w:sz w:val="24"/>
        </w:rPr>
        <w:t>19</w:t>
      </w:r>
    </w:p>
    <w:p>
      <w:pPr>
        <w:pStyle w:val="8"/>
        <w:adjustRightInd w:val="0"/>
        <w:snapToGrid w:val="0"/>
        <w:spacing w:line="440" w:lineRule="exact"/>
        <w:jc w:val="left"/>
        <w:rPr>
          <w:sz w:val="24"/>
        </w:rPr>
      </w:pPr>
      <w:r>
        <w:rPr>
          <w:sz w:val="24"/>
        </w:rPr>
        <w:t>九、一般公共预算财政拨款项目支出决算表</w:t>
      </w:r>
      <w:r>
        <w:rPr>
          <w:rFonts w:hint="eastAsia"/>
          <w:sz w:val="24"/>
        </w:rPr>
        <w:t>…………………………………</w:t>
      </w:r>
      <w:r>
        <w:rPr>
          <w:sz w:val="24"/>
        </w:rPr>
        <w:t>19</w:t>
      </w:r>
    </w:p>
    <w:p>
      <w:pPr>
        <w:pStyle w:val="8"/>
        <w:adjustRightInd w:val="0"/>
        <w:snapToGrid w:val="0"/>
        <w:spacing w:line="440" w:lineRule="exact"/>
        <w:jc w:val="left"/>
        <w:rPr>
          <w:sz w:val="24"/>
        </w:rPr>
      </w:pPr>
      <w:r>
        <w:rPr>
          <w:sz w:val="24"/>
        </w:rPr>
        <w:t>十、政府性基金预算财政拨款收入支出决算表</w:t>
      </w:r>
      <w:r>
        <w:rPr>
          <w:rFonts w:hint="eastAsia"/>
          <w:sz w:val="24"/>
        </w:rPr>
        <w:t>………………………………</w:t>
      </w:r>
      <w:r>
        <w:rPr>
          <w:sz w:val="24"/>
        </w:rPr>
        <w:t>19</w:t>
      </w:r>
    </w:p>
    <w:p>
      <w:pPr>
        <w:pStyle w:val="8"/>
        <w:adjustRightInd w:val="0"/>
        <w:snapToGrid w:val="0"/>
        <w:spacing w:line="440" w:lineRule="exact"/>
        <w:jc w:val="left"/>
        <w:rPr>
          <w:sz w:val="24"/>
        </w:rPr>
      </w:pPr>
      <w:r>
        <w:rPr>
          <w:sz w:val="24"/>
        </w:rPr>
        <w:t>十一、国有资本经营预算财政拨款收入支出决算表</w:t>
      </w:r>
      <w:r>
        <w:rPr>
          <w:rFonts w:hint="eastAsia"/>
          <w:sz w:val="24"/>
        </w:rPr>
        <w:t>…………………………</w:t>
      </w:r>
      <w:r>
        <w:rPr>
          <w:sz w:val="24"/>
        </w:rPr>
        <w:t>19</w:t>
      </w:r>
    </w:p>
    <w:p>
      <w:pPr>
        <w:pStyle w:val="8"/>
        <w:adjustRightInd w:val="0"/>
        <w:snapToGrid w:val="0"/>
        <w:spacing w:line="440" w:lineRule="exact"/>
        <w:jc w:val="left"/>
        <w:rPr>
          <w:sz w:val="24"/>
        </w:rPr>
      </w:pPr>
      <w:r>
        <w:rPr>
          <w:sz w:val="24"/>
        </w:rPr>
        <w:t>十二、国有资本经营预算财政拨款支出决算表</w:t>
      </w:r>
      <w:r>
        <w:rPr>
          <w:rFonts w:hint="eastAsia"/>
          <w:sz w:val="24"/>
        </w:rPr>
        <w:t>………………………………</w:t>
      </w:r>
      <w:r>
        <w:rPr>
          <w:sz w:val="24"/>
        </w:rPr>
        <w:t>19</w:t>
      </w:r>
    </w:p>
    <w:p>
      <w:pPr>
        <w:pStyle w:val="8"/>
        <w:adjustRightInd w:val="0"/>
        <w:snapToGrid w:val="0"/>
        <w:spacing w:line="440" w:lineRule="exact"/>
        <w:jc w:val="left"/>
        <w:rPr>
          <w:sz w:val="24"/>
        </w:rPr>
      </w:pPr>
      <w:r>
        <w:rPr>
          <w:sz w:val="24"/>
        </w:rPr>
        <w:t>十三、财政拨款“三公”经费支出决算表</w:t>
      </w:r>
      <w:r>
        <w:rPr>
          <w:rFonts w:hint="eastAsia"/>
          <w:sz w:val="24"/>
        </w:rPr>
        <w:t>………………………………………</w:t>
      </w:r>
      <w:r>
        <w:rPr>
          <w:sz w:val="24"/>
        </w:rPr>
        <w:t>19</w:t>
      </w:r>
    </w:p>
    <w:p>
      <w:pPr>
        <w:widowControl/>
        <w:spacing w:line="440" w:lineRule="exact"/>
        <w:jc w:val="left"/>
        <w:rPr>
          <w:rFonts w:eastAsia="仿宋"/>
          <w:bCs/>
          <w:kern w:val="44"/>
          <w:sz w:val="24"/>
        </w:rPr>
      </w:pPr>
      <w:bookmarkStart w:id="12" w:name="_Toc15377196"/>
      <w:bookmarkStart w:id="13" w:name="_Toc15396599"/>
      <w:r>
        <w:rPr>
          <w:rFonts w:eastAsia="仿宋"/>
          <w:b/>
          <w:sz w:val="24"/>
        </w:rPr>
        <w:br w:type="page"/>
      </w:r>
    </w:p>
    <w:p>
      <w:pPr>
        <w:pStyle w:val="3"/>
        <w:numPr>
          <w:ilvl w:val="0"/>
          <w:numId w:val="1"/>
        </w:numPr>
        <w:jc w:val="center"/>
      </w:pPr>
      <w:r>
        <w:rPr>
          <w:rFonts w:eastAsia="黑体"/>
          <w:b w:val="0"/>
        </w:rPr>
        <w:t>单位</w:t>
      </w:r>
      <w:r>
        <w:rPr>
          <w:rStyle w:val="12"/>
          <w:rFonts w:eastAsia="黑体"/>
          <w:b w:val="0"/>
          <w:bCs w:val="0"/>
        </w:rPr>
        <w:t>概况</w:t>
      </w:r>
      <w:bookmarkEnd w:id="12"/>
      <w:bookmarkEnd w:id="13"/>
    </w:p>
    <w:p/>
    <w:p>
      <w:pPr>
        <w:pStyle w:val="4"/>
        <w:numPr>
          <w:ilvl w:val="0"/>
          <w:numId w:val="2"/>
        </w:numPr>
        <w:spacing w:line="415" w:lineRule="auto"/>
        <w:ind w:firstLine="640" w:firstLineChars="200"/>
        <w:rPr>
          <w:rStyle w:val="13"/>
          <w:rFonts w:ascii="Times New Roman" w:hAnsi="Times New Roman" w:eastAsia="黑体" w:cs="Times New Roman"/>
          <w:b w:val="0"/>
          <w:bCs w:val="0"/>
        </w:rPr>
      </w:pPr>
      <w:bookmarkStart w:id="14" w:name="_Toc15396600"/>
      <w:bookmarkStart w:id="15" w:name="_Toc15377197"/>
      <w:r>
        <w:rPr>
          <w:rStyle w:val="13"/>
          <w:rFonts w:ascii="Times New Roman" w:hAnsi="Times New Roman" w:eastAsia="黑体" w:cs="Times New Roman"/>
          <w:b w:val="0"/>
          <w:bCs w:val="0"/>
        </w:rPr>
        <w:t>主要职责</w:t>
      </w:r>
    </w:p>
    <w:p>
      <w:pPr>
        <w:pStyle w:val="4"/>
        <w:keepNext w:val="0"/>
        <w:keepLines w:val="0"/>
        <w:kinsoku w:val="0"/>
        <w:overflowPunct w:val="0"/>
        <w:autoSpaceDE w:val="0"/>
        <w:autoSpaceDN w:val="0"/>
        <w:adjustRightInd w:val="0"/>
        <w:snapToGrid w:val="0"/>
        <w:spacing w:before="0" w:after="0" w:line="353" w:lineRule="auto"/>
        <w:ind w:firstLine="640" w:firstLineChars="200"/>
        <w:rPr>
          <w:rFonts w:ascii="Times New Roman" w:hAnsi="Times New Roman" w:eastAsia="仿宋_GB2312" w:cs="Times New Roman"/>
          <w:b w:val="0"/>
          <w:bCs w:val="0"/>
          <w:color w:val="000000"/>
          <w:kern w:val="0"/>
        </w:rPr>
      </w:pPr>
      <w:r>
        <w:rPr>
          <w:rFonts w:ascii="Times New Roman" w:hAnsi="Times New Roman" w:eastAsia="仿宋_GB2312" w:cs="Times New Roman"/>
          <w:b w:val="0"/>
          <w:bCs w:val="0"/>
          <w:color w:val="000000"/>
          <w:kern w:val="0"/>
        </w:rPr>
        <w:t>1.针对国家妇女儿童健康目标和支持性目标的要求，协助卫生行政部门制定具体规划并牵头实施。</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2.负责全区孕、产妇健康系统保障及其管理工作，提高孕、产妇及新生儿健康水平，降低孕、产妇死亡率和新生儿出生缺陷的发生。</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3.负责全区七岁以下儿童健康系统保健及其管理工作，提高儿童身心健康水平，降低儿童死亡率。</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4.负责妇女经、孕、产、哺乳、更年期的卫生保健，做好妇女病的普查普治工作。</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5.负责全区计划生育技术服务，掌握全区计划生育技术服务的质量、存在的问题。</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6.负责开展婚前医学检查、优生咨询工作，提高人口素质；负责全区妇女、儿童保健和计划生育知识等健康教育工作，提高妇女、儿童的自我保健意识和能力。</w:t>
      </w:r>
    </w:p>
    <w:p>
      <w:pPr>
        <w:kinsoku w:val="0"/>
        <w:overflowPunct w:val="0"/>
        <w:autoSpaceDE w:val="0"/>
        <w:autoSpaceDN w:val="0"/>
        <w:adjustRightInd w:val="0"/>
        <w:snapToGrid w:val="0"/>
        <w:spacing w:line="353" w:lineRule="auto"/>
        <w:ind w:firstLine="640" w:firstLineChars="200"/>
        <w:rPr>
          <w:rFonts w:eastAsia="仿宋_GB2312"/>
          <w:bCs/>
          <w:color w:val="000000"/>
          <w:kern w:val="0"/>
          <w:sz w:val="32"/>
          <w:szCs w:val="32"/>
        </w:rPr>
      </w:pPr>
      <w:r>
        <w:rPr>
          <w:rFonts w:eastAsia="仿宋_GB2312"/>
          <w:bCs/>
          <w:color w:val="000000"/>
          <w:kern w:val="0"/>
          <w:sz w:val="32"/>
          <w:szCs w:val="32"/>
        </w:rPr>
        <w:t>7.负责全区妇幼保健信息收集、统计、整理、分析评价及上报工作，为卫生行政部门提供妇幼保健服务决策依据。</w:t>
      </w:r>
    </w:p>
    <w:p>
      <w:pPr>
        <w:pStyle w:val="2"/>
        <w:kinsoku w:val="0"/>
        <w:overflowPunct w:val="0"/>
        <w:autoSpaceDE w:val="0"/>
        <w:autoSpaceDN w:val="0"/>
        <w:adjustRightInd w:val="0"/>
        <w:snapToGrid w:val="0"/>
        <w:spacing w:beforeLines="0" w:line="353" w:lineRule="auto"/>
        <w:ind w:firstLine="640" w:firstLineChars="200"/>
        <w:outlineLvl w:val="2"/>
        <w:rPr>
          <w:rFonts w:ascii="Times New Roman" w:eastAsia="楷体_GB2312"/>
          <w:bCs/>
          <w:color w:val="000000"/>
          <w:sz w:val="32"/>
          <w:szCs w:val="32"/>
        </w:rPr>
      </w:pPr>
      <w:r>
        <w:rPr>
          <w:rFonts w:ascii="Times New Roman"/>
          <w:bCs/>
          <w:color w:val="000000"/>
          <w:sz w:val="32"/>
          <w:szCs w:val="32"/>
        </w:rPr>
        <w:t>8.负责对全区承担妇幼保健工作任务的医院及基层医疗卫生机构的保健工作业务培训、工作质量检查、指导及评估等工作。</w:t>
      </w:r>
    </w:p>
    <w:p>
      <w:pPr>
        <w:spacing w:line="353" w:lineRule="auto"/>
        <w:ind w:firstLine="640" w:firstLineChars="200"/>
        <w:rPr>
          <w:rFonts w:eastAsia="黑体"/>
          <w:sz w:val="32"/>
          <w:szCs w:val="32"/>
        </w:rPr>
      </w:pPr>
      <w:r>
        <w:rPr>
          <w:rFonts w:eastAsia="黑体"/>
          <w:sz w:val="32"/>
          <w:szCs w:val="32"/>
        </w:rPr>
        <w:t>二、机构设置</w:t>
      </w:r>
    </w:p>
    <w:bookmarkEnd w:id="14"/>
    <w:bookmarkEnd w:id="15"/>
    <w:p>
      <w:pPr>
        <w:spacing w:line="353" w:lineRule="auto"/>
        <w:ind w:firstLine="640" w:firstLineChars="200"/>
        <w:rPr>
          <w:rFonts w:eastAsia="仿宋_GB2312"/>
          <w:sz w:val="32"/>
          <w:szCs w:val="32"/>
        </w:rPr>
      </w:pPr>
      <w:r>
        <w:rPr>
          <w:rFonts w:eastAsia="仿宋_GB2312"/>
          <w:sz w:val="32"/>
          <w:szCs w:val="32"/>
        </w:rPr>
        <w:t>攀枝花市西区妇幼保健服务中心属于攀枝花市西区卫生健康局二级预算单位，下设独立编制机构0个，其中行政机构0个，参照公务员法管理事业机构0个，其他事业机构0个。纳入2022年度单位决算编制范围的独立编制机构包括：攀枝花市西区妇幼保健服务中心。</w:t>
      </w:r>
      <w:bookmarkStart w:id="16" w:name="_Toc15396602"/>
      <w:bookmarkStart w:id="17" w:name="_Toc15377204"/>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3"/>
        <w:numPr>
          <w:ilvl w:val="0"/>
          <w:numId w:val="3"/>
        </w:numPr>
        <w:ind w:right="440"/>
        <w:jc w:val="center"/>
        <w:rPr>
          <w:rFonts w:eastAsia="黑体"/>
          <w:b w:val="0"/>
        </w:rPr>
      </w:pPr>
      <w:r>
        <w:rPr>
          <w:rFonts w:eastAsia="黑体"/>
          <w:b w:val="0"/>
        </w:rPr>
        <w:t>2022年度单位决算情况说明</w:t>
      </w:r>
      <w:bookmarkEnd w:id="16"/>
      <w:bookmarkEnd w:id="17"/>
      <w:bookmarkStart w:id="18" w:name="_Toc15396603"/>
      <w:bookmarkStart w:id="19" w:name="_Toc15377205"/>
    </w:p>
    <w:p>
      <w:pPr>
        <w:pStyle w:val="2"/>
        <w:spacing w:before="93"/>
        <w:rPr>
          <w:rFonts w:ascii="Times New Roman"/>
        </w:rPr>
      </w:pPr>
    </w:p>
    <w:p>
      <w:pPr>
        <w:pStyle w:val="18"/>
        <w:spacing w:line="600" w:lineRule="exact"/>
        <w:ind w:firstLine="640"/>
        <w:outlineLvl w:val="1"/>
        <w:rPr>
          <w:rStyle w:val="13"/>
          <w:rFonts w:eastAsia="黑体"/>
          <w:b w:val="0"/>
        </w:rPr>
      </w:pPr>
      <w:r>
        <w:rPr>
          <w:rFonts w:eastAsia="黑体"/>
          <w:sz w:val="32"/>
          <w:szCs w:val="32"/>
        </w:rPr>
        <w:t>一、收</w:t>
      </w:r>
      <w:r>
        <w:rPr>
          <w:rStyle w:val="13"/>
          <w:rFonts w:eastAsia="黑体"/>
        </w:rPr>
        <w:t>入支出决算总体情况说明</w:t>
      </w:r>
      <w:bookmarkEnd w:id="18"/>
      <w:bookmarkEnd w:id="19"/>
    </w:p>
    <w:p>
      <w:pPr>
        <w:spacing w:line="600" w:lineRule="exact"/>
        <w:ind w:firstLine="640" w:firstLineChars="200"/>
        <w:rPr>
          <w:rFonts w:eastAsia="仿宋_GB2312"/>
          <w:sz w:val="32"/>
          <w:szCs w:val="32"/>
        </w:rPr>
      </w:pPr>
      <w:r>
        <w:rPr>
          <w:rFonts w:eastAsia="仿宋"/>
          <w:sz w:val="32"/>
          <w:szCs w:val="32"/>
        </w:rPr>
        <w:t>2022年度收、支总计306.30万元。与2021年相比，收、支总计各增加71.76万元，增长30.60%。主要变动原因是人员增加。</w:t>
      </w:r>
    </w:p>
    <w:p>
      <w:pPr>
        <w:pStyle w:val="18"/>
        <w:spacing w:line="600" w:lineRule="exact"/>
        <w:ind w:left="640" w:firstLine="0" w:firstLineChars="0"/>
        <w:outlineLvl w:val="1"/>
        <w:rPr>
          <w:rStyle w:val="13"/>
          <w:rFonts w:eastAsia="黑体"/>
          <w:b w:val="0"/>
        </w:rPr>
      </w:pPr>
      <w:bookmarkStart w:id="20" w:name="_Toc15377206"/>
      <w:bookmarkStart w:id="21" w:name="_Toc15396604"/>
      <w:r>
        <w:drawing>
          <wp:anchor distT="0" distB="0" distL="114300" distR="114300" simplePos="0" relativeHeight="251659264" behindDoc="0" locked="0" layoutInCell="1" allowOverlap="1">
            <wp:simplePos x="0" y="0"/>
            <wp:positionH relativeFrom="column">
              <wp:posOffset>940435</wp:posOffset>
            </wp:positionH>
            <wp:positionV relativeFrom="paragraph">
              <wp:posOffset>180975</wp:posOffset>
            </wp:positionV>
            <wp:extent cx="3189605" cy="2907030"/>
            <wp:effectExtent l="4445" t="4445" r="6350" b="22225"/>
            <wp:wrapTopAndBottom/>
            <wp:docPr id="4" name="图表 4" descr="7b0a202020202263686172745265734964223a202232303437323139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eastAsia="黑体"/>
          <w:sz w:val="32"/>
          <w:szCs w:val="32"/>
        </w:rPr>
        <w:t>二、收</w:t>
      </w:r>
      <w:r>
        <w:rPr>
          <w:rStyle w:val="13"/>
          <w:rFonts w:eastAsia="黑体"/>
        </w:rPr>
        <w:t>入决算情况说明</w:t>
      </w:r>
      <w:bookmarkEnd w:id="20"/>
      <w:bookmarkEnd w:id="21"/>
    </w:p>
    <w:p>
      <w:pPr>
        <w:spacing w:line="600" w:lineRule="exact"/>
        <w:ind w:firstLine="640" w:firstLineChars="200"/>
        <w:outlineLvl w:val="1"/>
        <w:rPr>
          <w:rFonts w:eastAsia="仿宋"/>
          <w:sz w:val="32"/>
          <w:szCs w:val="32"/>
        </w:rPr>
      </w:pPr>
      <w:r>
        <w:rPr>
          <w:rStyle w:val="13"/>
          <w:rFonts w:eastAsia="黑体"/>
          <w:b w:val="0"/>
        </w:rPr>
        <w:drawing>
          <wp:anchor distT="0" distB="0" distL="114300" distR="114300" simplePos="0" relativeHeight="251664384" behindDoc="0" locked="0" layoutInCell="1" allowOverlap="1">
            <wp:simplePos x="0" y="0"/>
            <wp:positionH relativeFrom="column">
              <wp:posOffset>255905</wp:posOffset>
            </wp:positionH>
            <wp:positionV relativeFrom="paragraph">
              <wp:posOffset>1575435</wp:posOffset>
            </wp:positionV>
            <wp:extent cx="4988560" cy="2269490"/>
            <wp:effectExtent l="4445" t="4445" r="17145" b="1206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eastAsia="仿宋"/>
          <w:sz w:val="32"/>
          <w:szCs w:val="32"/>
        </w:rPr>
        <w:t>2022年本年收入合计</w:t>
      </w:r>
      <w:r>
        <w:rPr>
          <w:rFonts w:eastAsia="仿宋"/>
          <w:color w:val="000000" w:themeColor="text1"/>
          <w:sz w:val="32"/>
          <w:szCs w:val="32"/>
          <w14:textFill>
            <w14:solidFill>
              <w14:schemeClr w14:val="tx1"/>
            </w14:solidFill>
          </w14:textFill>
        </w:rPr>
        <w:t>295.46万元</w:t>
      </w:r>
      <w:r>
        <w:rPr>
          <w:rFonts w:eastAsia="仿宋"/>
          <w:sz w:val="32"/>
          <w:szCs w:val="32"/>
        </w:rPr>
        <w:t>，其中：一般公共预算财政拨款收入295.46万元，占100%；政府性基金预算财政拨款收入0万元，占0%；国有资本经营预算财政拨款收入0万元，占0%；上级补助收入0万元，占0%；事业收入0万元，占0%；经营收入0万元，占0%；附属单位上缴收入0万元，占0%；其他收入0万元，占0%。</w:t>
      </w:r>
    </w:p>
    <w:p>
      <w:pPr>
        <w:spacing w:line="600" w:lineRule="exact"/>
        <w:ind w:firstLine="643" w:firstLineChars="200"/>
        <w:rPr>
          <w:rStyle w:val="13"/>
          <w:rFonts w:eastAsia="黑体"/>
          <w:b w:val="0"/>
        </w:rPr>
      </w:pPr>
      <w:bookmarkStart w:id="22" w:name="_Toc15377207"/>
      <w:bookmarkStart w:id="23" w:name="_Toc15396605"/>
      <w:r>
        <w:rPr>
          <w:rStyle w:val="13"/>
          <w:rFonts w:eastAsia="黑体"/>
        </w:rPr>
        <w:t>三、</w:t>
      </w:r>
      <w:r>
        <w:rPr>
          <w:rFonts w:eastAsia="黑体"/>
          <w:sz w:val="32"/>
          <w:szCs w:val="32"/>
        </w:rPr>
        <w:t>支</w:t>
      </w:r>
      <w:r>
        <w:rPr>
          <w:rStyle w:val="13"/>
          <w:rFonts w:eastAsia="黑体"/>
        </w:rPr>
        <w:t>出决算情况说明</w:t>
      </w:r>
      <w:bookmarkEnd w:id="22"/>
      <w:bookmarkEnd w:id="23"/>
    </w:p>
    <w:p>
      <w:pPr>
        <w:spacing w:line="600" w:lineRule="exact"/>
        <w:ind w:firstLine="640" w:firstLineChars="200"/>
        <w:outlineLvl w:val="1"/>
        <w:rPr>
          <w:rFonts w:eastAsia="仿宋"/>
          <w:sz w:val="32"/>
          <w:szCs w:val="32"/>
        </w:rPr>
      </w:pPr>
      <w:r>
        <w:rPr>
          <w:rFonts w:eastAsia="仿宋"/>
          <w:sz w:val="32"/>
          <w:szCs w:val="32"/>
        </w:rPr>
        <w:t>2022年本年支出合计306.30万元，其中：基本支出207.75万元，占67.83%；项目支出98.55万元，占32.17%；上缴上级支出0万元，占0%；经营支出0万元，占0%；对附属单位补助支出0万元，占0%。</w:t>
      </w:r>
    </w:p>
    <w:p>
      <w:pPr>
        <w:spacing w:line="600" w:lineRule="exact"/>
        <w:ind w:firstLine="640" w:firstLineChars="200"/>
        <w:outlineLvl w:val="1"/>
      </w:pPr>
      <w:r>
        <w:rPr>
          <w:rFonts w:eastAsia="仿宋_GB2312"/>
          <w:sz w:val="32"/>
          <w:szCs w:val="32"/>
        </w:rPr>
        <w:drawing>
          <wp:anchor distT="0" distB="0" distL="114300" distR="114300" simplePos="0" relativeHeight="251660288" behindDoc="0" locked="0" layoutInCell="1" allowOverlap="1">
            <wp:simplePos x="0" y="0"/>
            <wp:positionH relativeFrom="column">
              <wp:posOffset>923290</wp:posOffset>
            </wp:positionH>
            <wp:positionV relativeFrom="paragraph">
              <wp:posOffset>113665</wp:posOffset>
            </wp:positionV>
            <wp:extent cx="3213735" cy="2218690"/>
            <wp:effectExtent l="5080" t="4445" r="19685" b="5715"/>
            <wp:wrapSquare wrapText="bothSides"/>
            <wp:docPr id="8" name="图表 8"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eastAsia="黑体"/>
          <w:sz w:val="32"/>
          <w:szCs w:val="32"/>
        </w:rPr>
      </w:pPr>
      <w:bookmarkStart w:id="24" w:name="_Toc15396606"/>
      <w:bookmarkStart w:id="25" w:name="_Toc15377208"/>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p>
    <w:p>
      <w:pPr>
        <w:spacing w:line="600" w:lineRule="exact"/>
        <w:ind w:firstLine="640" w:firstLineChars="200"/>
        <w:rPr>
          <w:rStyle w:val="13"/>
          <w:rFonts w:eastAsia="黑体"/>
          <w:b w:val="0"/>
        </w:rPr>
      </w:pPr>
      <w:r>
        <w:rPr>
          <w:rFonts w:eastAsia="黑体"/>
          <w:sz w:val="32"/>
          <w:szCs w:val="32"/>
        </w:rPr>
        <w:t>四、财</w:t>
      </w:r>
      <w:r>
        <w:rPr>
          <w:rStyle w:val="13"/>
          <w:rFonts w:eastAsia="黑体"/>
        </w:rPr>
        <w:t>政拨款收入支出决算总体情况说明</w:t>
      </w:r>
      <w:bookmarkEnd w:id="24"/>
      <w:bookmarkEnd w:id="25"/>
    </w:p>
    <w:p>
      <w:pPr>
        <w:spacing w:line="600" w:lineRule="exact"/>
        <w:ind w:firstLine="640" w:firstLineChars="200"/>
        <w:rPr>
          <w:rFonts w:eastAsia="仿宋"/>
          <w:sz w:val="32"/>
          <w:szCs w:val="32"/>
        </w:rPr>
      </w:pPr>
      <w:r>
        <w:rPr>
          <w:rFonts w:eastAsia="仿宋"/>
          <w:sz w:val="32"/>
          <w:szCs w:val="32"/>
        </w:rPr>
        <w:t>2022年财政拨款收、支总计306.3万元。与2021年相比，财政拨款收、支总计各增加71.83万元，增长30.64%。主要变动原因是人员增加。</w:t>
      </w:r>
    </w:p>
    <w:p>
      <w:pPr>
        <w:spacing w:line="600" w:lineRule="exact"/>
        <w:ind w:firstLine="643" w:firstLineChars="200"/>
        <w:rPr>
          <w:rStyle w:val="13"/>
          <w:rFonts w:eastAsia="黑体"/>
          <w:b w:val="0"/>
        </w:rPr>
      </w:pPr>
      <w:r>
        <w:rPr>
          <w:rFonts w:eastAsia="仿宋"/>
          <w:b/>
          <w:sz w:val="32"/>
          <w:szCs w:val="32"/>
        </w:rPr>
        <w:drawing>
          <wp:anchor distT="0" distB="0" distL="114300" distR="114300" simplePos="0" relativeHeight="251661312" behindDoc="0" locked="0" layoutInCell="1" allowOverlap="1">
            <wp:simplePos x="0" y="0"/>
            <wp:positionH relativeFrom="column">
              <wp:posOffset>411480</wp:posOffset>
            </wp:positionH>
            <wp:positionV relativeFrom="paragraph">
              <wp:posOffset>38100</wp:posOffset>
            </wp:positionV>
            <wp:extent cx="4065905" cy="2360930"/>
            <wp:effectExtent l="4445" t="4445" r="6350" b="15875"/>
            <wp:wrapTopAndBottom/>
            <wp:docPr id="9" name="图表 9" descr="7b0a202020202263686172745265734964223a202232303437323139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26" w:name="_Toc15377209"/>
      <w:bookmarkStart w:id="27" w:name="_Toc15396607"/>
      <w:r>
        <w:rPr>
          <w:rFonts w:eastAsia="黑体"/>
          <w:sz w:val="32"/>
          <w:szCs w:val="32"/>
        </w:rPr>
        <w:t>五、</w:t>
      </w:r>
      <w:r>
        <w:rPr>
          <w:rFonts w:eastAsia="黑体"/>
          <w:b/>
          <w:sz w:val="32"/>
          <w:szCs w:val="32"/>
        </w:rPr>
        <w:t>一</w:t>
      </w:r>
      <w:r>
        <w:rPr>
          <w:rStyle w:val="13"/>
          <w:rFonts w:eastAsia="黑体"/>
        </w:rPr>
        <w:t>般公共预算财政拨款支出决算情况说明</w:t>
      </w:r>
      <w:bookmarkEnd w:id="26"/>
      <w:bookmarkEnd w:id="27"/>
    </w:p>
    <w:p>
      <w:pPr>
        <w:spacing w:line="600" w:lineRule="exact"/>
        <w:ind w:firstLine="643" w:firstLineChars="200"/>
        <w:outlineLvl w:val="2"/>
        <w:rPr>
          <w:rFonts w:eastAsia="仿宋_GB2312"/>
          <w:b/>
          <w:sz w:val="32"/>
          <w:szCs w:val="32"/>
        </w:rPr>
      </w:pPr>
      <w:bookmarkStart w:id="28" w:name="_Toc15377210"/>
      <w:r>
        <w:rPr>
          <w:rFonts w:eastAsia="仿宋_GB2312"/>
          <w:b/>
          <w:sz w:val="32"/>
          <w:szCs w:val="32"/>
        </w:rPr>
        <w:t>（一）一般公共预算财政拨款支出决算总体情况</w:t>
      </w:r>
      <w:bookmarkEnd w:id="28"/>
    </w:p>
    <w:p>
      <w:pPr>
        <w:spacing w:line="600" w:lineRule="exact"/>
        <w:ind w:firstLine="640" w:firstLineChars="200"/>
        <w:rPr>
          <w:rFonts w:eastAsia="仿宋"/>
          <w:sz w:val="32"/>
          <w:szCs w:val="32"/>
        </w:rPr>
      </w:pPr>
      <w:r>
        <w:rPr>
          <w:rFonts w:eastAsia="仿宋"/>
          <w:sz w:val="32"/>
          <w:szCs w:val="32"/>
        </w:rPr>
        <w:t>2022年一般公共预算财政拨款支出306.30万元，占本年支出合计的100%。与2021年相比，一般公共预算财政拨款支出增加72.82万元，增长31.19%。主要变动原因是人员增加。</w:t>
      </w:r>
    </w:p>
    <w:p>
      <w:pPr>
        <w:pStyle w:val="2"/>
        <w:spacing w:before="93"/>
        <w:rPr>
          <w:rFonts w:ascii="Times New Roman" w:eastAsia="仿宋"/>
          <w:sz w:val="32"/>
          <w:szCs w:val="32"/>
        </w:rPr>
      </w:pPr>
      <w:r>
        <w:rPr>
          <w:rFonts w:ascii="Times New Roman"/>
        </w:rPr>
        <w:drawing>
          <wp:inline distT="0" distB="0" distL="0" distR="0">
            <wp:extent cx="5486400" cy="2309495"/>
            <wp:effectExtent l="4445" t="4445" r="14605" b="101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eastAsia="仿宋_GB2312"/>
          <w:b/>
          <w:sz w:val="32"/>
          <w:szCs w:val="32"/>
        </w:rPr>
      </w:pPr>
      <w:bookmarkStart w:id="29" w:name="_Toc15377211"/>
      <w:r>
        <w:rPr>
          <w:rFonts w:eastAsia="仿宋_GB2312"/>
          <w:b/>
          <w:sz w:val="32"/>
          <w:szCs w:val="32"/>
        </w:rPr>
        <w:t>（二）一般公共预算财政拨款支出决算结构情况</w:t>
      </w:r>
      <w:bookmarkEnd w:id="29"/>
    </w:p>
    <w:p>
      <w:pPr>
        <w:spacing w:line="600" w:lineRule="exact"/>
        <w:ind w:firstLine="640"/>
      </w:pPr>
      <w:r>
        <w:rPr>
          <w:rFonts w:eastAsia="仿宋"/>
          <w:sz w:val="32"/>
          <w:szCs w:val="32"/>
        </w:rPr>
        <w:t>2022年一般公共预算财政拨款支出306.30万元，主要用于以下方面</w:t>
      </w:r>
      <w:r>
        <w:rPr>
          <w:rFonts w:hint="eastAsia" w:eastAsia="仿宋"/>
          <w:sz w:val="32"/>
          <w:szCs w:val="32"/>
          <w:lang w:eastAsia="zh-CN"/>
        </w:rPr>
        <w:t>：</w:t>
      </w:r>
      <w:r>
        <w:rPr>
          <w:rFonts w:eastAsia="仿宋"/>
          <w:b/>
          <w:sz w:val="32"/>
          <w:szCs w:val="32"/>
        </w:rPr>
        <w:t>一般公共服务</w:t>
      </w:r>
      <w:r>
        <w:rPr>
          <w:rFonts w:eastAsia="仿宋"/>
          <w:b/>
          <w:bCs/>
          <w:sz w:val="32"/>
          <w:szCs w:val="32"/>
        </w:rPr>
        <w:t>支出</w:t>
      </w:r>
      <w:r>
        <w:rPr>
          <w:rFonts w:eastAsia="仿宋"/>
          <w:sz w:val="32"/>
          <w:szCs w:val="32"/>
        </w:rPr>
        <w:t>0万元，占0%；</w:t>
      </w:r>
      <w:r>
        <w:rPr>
          <w:rFonts w:eastAsia="仿宋"/>
          <w:b/>
          <w:sz w:val="32"/>
          <w:szCs w:val="32"/>
        </w:rPr>
        <w:t>教育支出</w:t>
      </w:r>
      <w:r>
        <w:rPr>
          <w:rFonts w:eastAsia="仿宋"/>
          <w:sz w:val="32"/>
          <w:szCs w:val="32"/>
        </w:rPr>
        <w:t>0万元，占0%；</w:t>
      </w:r>
      <w:r>
        <w:rPr>
          <w:rFonts w:eastAsia="仿宋"/>
          <w:b/>
          <w:sz w:val="32"/>
          <w:szCs w:val="32"/>
        </w:rPr>
        <w:t>科学技术</w:t>
      </w:r>
      <w:r>
        <w:rPr>
          <w:rFonts w:eastAsia="仿宋"/>
          <w:b/>
          <w:bCs/>
          <w:sz w:val="32"/>
          <w:szCs w:val="32"/>
        </w:rPr>
        <w:t>支出</w:t>
      </w:r>
      <w:r>
        <w:rPr>
          <w:rFonts w:eastAsia="仿宋"/>
          <w:sz w:val="32"/>
          <w:szCs w:val="32"/>
        </w:rPr>
        <w:t>0万元，占0%；</w:t>
      </w:r>
      <w:r>
        <w:rPr>
          <w:rFonts w:eastAsia="仿宋"/>
          <w:b/>
          <w:bCs/>
          <w:sz w:val="32"/>
          <w:szCs w:val="32"/>
        </w:rPr>
        <w:t>文化旅游体育与传媒支出0万元，占0%</w:t>
      </w:r>
      <w:r>
        <w:rPr>
          <w:rFonts w:eastAsia="仿宋"/>
          <w:sz w:val="32"/>
          <w:szCs w:val="32"/>
        </w:rPr>
        <w:t>；</w:t>
      </w:r>
      <w:r>
        <w:rPr>
          <w:rFonts w:eastAsia="仿宋"/>
          <w:b/>
          <w:sz w:val="32"/>
          <w:szCs w:val="32"/>
        </w:rPr>
        <w:t>社会保障和就业</w:t>
      </w:r>
      <w:r>
        <w:rPr>
          <w:rFonts w:eastAsia="仿宋"/>
          <w:b/>
          <w:bCs/>
          <w:sz w:val="32"/>
          <w:szCs w:val="32"/>
        </w:rPr>
        <w:t>支出</w:t>
      </w:r>
      <w:r>
        <w:rPr>
          <w:rFonts w:eastAsia="仿宋"/>
          <w:sz w:val="32"/>
          <w:szCs w:val="32"/>
        </w:rPr>
        <w:t>16.03万元，占5.23%；</w:t>
      </w:r>
      <w:r>
        <w:rPr>
          <w:rFonts w:eastAsia="仿宋"/>
          <w:b/>
          <w:bCs/>
          <w:sz w:val="32"/>
          <w:szCs w:val="32"/>
        </w:rPr>
        <w:t>卫生健康支出</w:t>
      </w:r>
      <w:r>
        <w:rPr>
          <w:rFonts w:eastAsia="仿宋"/>
          <w:sz w:val="32"/>
          <w:szCs w:val="32"/>
        </w:rPr>
        <w:t>273.75万元，占89.37%；</w:t>
      </w:r>
      <w:r>
        <w:rPr>
          <w:rFonts w:eastAsia="仿宋"/>
          <w:b/>
          <w:bCs/>
          <w:sz w:val="32"/>
          <w:szCs w:val="32"/>
        </w:rPr>
        <w:t>住房保障支出</w:t>
      </w:r>
      <w:r>
        <w:rPr>
          <w:rFonts w:eastAsia="仿宋"/>
          <w:sz w:val="32"/>
          <w:szCs w:val="32"/>
        </w:rPr>
        <w:t>16.52万元，占5.40%。</w:t>
      </w:r>
    </w:p>
    <w:p>
      <w:pPr>
        <w:spacing w:line="600" w:lineRule="exact"/>
        <w:ind w:firstLine="640" w:firstLineChars="200"/>
        <w:rPr>
          <w:rFonts w:eastAsia="仿宋"/>
          <w:sz w:val="32"/>
          <w:szCs w:val="32"/>
        </w:rPr>
      </w:pPr>
      <w:r>
        <w:rPr>
          <w:rFonts w:eastAsia="仿宋"/>
          <w:sz w:val="32"/>
          <w:szCs w:val="32"/>
        </w:rPr>
        <w:drawing>
          <wp:anchor distT="0" distB="0" distL="114300" distR="114300" simplePos="0" relativeHeight="251662336" behindDoc="0" locked="0" layoutInCell="1" allowOverlap="1">
            <wp:simplePos x="0" y="0"/>
            <wp:positionH relativeFrom="column">
              <wp:posOffset>437515</wp:posOffset>
            </wp:positionH>
            <wp:positionV relativeFrom="paragraph">
              <wp:posOffset>99060</wp:posOffset>
            </wp:positionV>
            <wp:extent cx="4762500" cy="2996565"/>
            <wp:effectExtent l="4445" t="4445" r="14605" b="8890"/>
            <wp:wrapTopAndBottom/>
            <wp:docPr id="2" name="图表 2"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eastAsia="仿宋_GB2312"/>
          <w:b/>
          <w:sz w:val="32"/>
          <w:szCs w:val="32"/>
        </w:rPr>
      </w:pPr>
      <w:bookmarkStart w:id="30" w:name="_Toc15377212"/>
      <w:r>
        <w:rPr>
          <w:rFonts w:eastAsia="仿宋_GB2312"/>
          <w:b/>
          <w:sz w:val="32"/>
          <w:szCs w:val="32"/>
        </w:rPr>
        <w:t>（三）一般公共预算财政拨款支出决算具体情况</w:t>
      </w:r>
      <w:bookmarkEnd w:id="30"/>
    </w:p>
    <w:p>
      <w:pPr>
        <w:spacing w:line="600" w:lineRule="exact"/>
        <w:ind w:firstLine="643" w:firstLineChars="200"/>
        <w:outlineLvl w:val="2"/>
        <w:rPr>
          <w:rFonts w:eastAsia="仿宋"/>
          <w:sz w:val="32"/>
          <w:szCs w:val="32"/>
        </w:rPr>
      </w:pPr>
      <w:bookmarkStart w:id="31" w:name="_Toc15377213"/>
      <w:bookmarkStart w:id="32" w:name="_Toc15378460"/>
      <w:bookmarkStart w:id="33" w:name="_Toc15377444"/>
      <w:r>
        <w:rPr>
          <w:rFonts w:eastAsia="仿宋"/>
          <w:b/>
          <w:sz w:val="32"/>
          <w:szCs w:val="32"/>
        </w:rPr>
        <w:t>2022年一般公共预算支出决算数为306.30万元</w:t>
      </w:r>
      <w:r>
        <w:rPr>
          <w:rFonts w:eastAsia="仿宋"/>
          <w:sz w:val="32"/>
          <w:szCs w:val="32"/>
        </w:rPr>
        <w:t>，</w:t>
      </w:r>
      <w:r>
        <w:rPr>
          <w:rStyle w:val="10"/>
          <w:rFonts w:eastAsia="仿宋"/>
          <w:bCs/>
          <w:sz w:val="32"/>
          <w:szCs w:val="32"/>
        </w:rPr>
        <w:t>完成预算100%。其中：</w:t>
      </w:r>
      <w:bookmarkEnd w:id="31"/>
      <w:bookmarkEnd w:id="32"/>
      <w:bookmarkEnd w:id="33"/>
    </w:p>
    <w:p>
      <w:pPr>
        <w:spacing w:line="600" w:lineRule="exact"/>
        <w:ind w:firstLine="643" w:firstLineChars="200"/>
        <w:outlineLvl w:val="2"/>
        <w:rPr>
          <w:rFonts w:eastAsia="仿宋_GB2312"/>
          <w:color w:val="000000"/>
          <w:sz w:val="32"/>
          <w:szCs w:val="32"/>
        </w:rPr>
      </w:pPr>
      <w:r>
        <w:rPr>
          <w:rStyle w:val="10"/>
          <w:rFonts w:eastAsia="仿宋"/>
          <w:bCs/>
          <w:sz w:val="32"/>
          <w:szCs w:val="32"/>
        </w:rPr>
        <w:t>1.社会保障和就业（类）行政事业单位养老支出（款）机关事业单位基本养老保险缴费支出（项）：</w:t>
      </w:r>
      <w:r>
        <w:rPr>
          <w:rFonts w:eastAsia="仿宋_GB2312"/>
          <w:color w:val="000000"/>
          <w:sz w:val="32"/>
          <w:szCs w:val="32"/>
        </w:rPr>
        <w:t>支出决算为16.03万元，完成预算100%，</w:t>
      </w:r>
      <w:r>
        <w:rPr>
          <w:rStyle w:val="10"/>
          <w:rFonts w:eastAsia="仿宋"/>
          <w:bCs/>
          <w:sz w:val="32"/>
          <w:szCs w:val="32"/>
        </w:rPr>
        <w:t>决算数等于预算数。</w:t>
      </w:r>
    </w:p>
    <w:p>
      <w:pPr>
        <w:spacing w:line="600" w:lineRule="exact"/>
        <w:ind w:firstLine="643" w:firstLineChars="200"/>
        <w:outlineLvl w:val="2"/>
        <w:rPr>
          <w:rFonts w:eastAsia="仿宋_GB2312"/>
          <w:color w:val="000000"/>
          <w:sz w:val="32"/>
          <w:szCs w:val="32"/>
        </w:rPr>
      </w:pPr>
      <w:r>
        <w:rPr>
          <w:rFonts w:eastAsia="仿宋_GB2312"/>
          <w:b/>
          <w:bCs/>
          <w:color w:val="000000"/>
          <w:sz w:val="32"/>
          <w:szCs w:val="32"/>
        </w:rPr>
        <w:t>2.</w:t>
      </w:r>
      <w:r>
        <w:rPr>
          <w:rFonts w:eastAsia="仿宋"/>
          <w:b/>
          <w:bCs/>
          <w:sz w:val="32"/>
          <w:szCs w:val="32"/>
        </w:rPr>
        <w:t>卫生健康支出</w:t>
      </w:r>
      <w:r>
        <w:rPr>
          <w:rStyle w:val="10"/>
          <w:rFonts w:eastAsia="仿宋"/>
          <w:bCs/>
          <w:sz w:val="32"/>
          <w:szCs w:val="32"/>
        </w:rPr>
        <w:t>（类）公共卫生（款）妇幼保健机构（项）</w:t>
      </w:r>
      <w:r>
        <w:rPr>
          <w:rFonts w:eastAsia="仿宋_GB2312"/>
          <w:color w:val="000000"/>
          <w:sz w:val="32"/>
          <w:szCs w:val="32"/>
        </w:rPr>
        <w:t>：支出决算为191.02万元，完成预算100%，</w:t>
      </w:r>
      <w:r>
        <w:rPr>
          <w:rStyle w:val="10"/>
          <w:rFonts w:eastAsia="仿宋"/>
          <w:bCs/>
          <w:sz w:val="32"/>
          <w:szCs w:val="32"/>
        </w:rPr>
        <w:t>决算数等于预算数。</w:t>
      </w:r>
    </w:p>
    <w:p>
      <w:pPr>
        <w:spacing w:line="600" w:lineRule="exact"/>
        <w:ind w:firstLine="643" w:firstLineChars="200"/>
        <w:outlineLvl w:val="2"/>
        <w:rPr>
          <w:rFonts w:eastAsia="仿宋_GB2312"/>
          <w:color w:val="000000"/>
          <w:sz w:val="32"/>
          <w:szCs w:val="32"/>
        </w:rPr>
      </w:pPr>
      <w:r>
        <w:rPr>
          <w:rFonts w:eastAsia="仿宋_GB2312"/>
          <w:b/>
          <w:bCs/>
          <w:color w:val="000000"/>
          <w:sz w:val="32"/>
          <w:szCs w:val="32"/>
        </w:rPr>
        <w:t>3.</w:t>
      </w:r>
      <w:r>
        <w:rPr>
          <w:rFonts w:eastAsia="仿宋"/>
          <w:b/>
          <w:bCs/>
          <w:sz w:val="32"/>
          <w:szCs w:val="32"/>
        </w:rPr>
        <w:t>卫生健康支出</w:t>
      </w:r>
      <w:r>
        <w:rPr>
          <w:rStyle w:val="10"/>
          <w:rFonts w:eastAsia="仿宋"/>
          <w:bCs/>
          <w:sz w:val="32"/>
          <w:szCs w:val="32"/>
        </w:rPr>
        <w:t>（类）公共卫生（款）基本公共卫生服务</w:t>
      </w:r>
      <w:r>
        <w:rPr>
          <w:rStyle w:val="10"/>
          <w:rFonts w:hint="eastAsia" w:eastAsia="仿宋"/>
          <w:bCs/>
          <w:sz w:val="32"/>
          <w:szCs w:val="32"/>
          <w:lang w:eastAsia="zh-CN"/>
        </w:rPr>
        <w:t>（</w:t>
      </w:r>
      <w:r>
        <w:rPr>
          <w:rStyle w:val="10"/>
          <w:rFonts w:eastAsia="仿宋"/>
          <w:bCs/>
          <w:sz w:val="32"/>
          <w:szCs w:val="32"/>
        </w:rPr>
        <w:t>项</w:t>
      </w:r>
      <w:r>
        <w:rPr>
          <w:rStyle w:val="10"/>
          <w:rFonts w:hint="eastAsia" w:eastAsia="仿宋"/>
          <w:bCs/>
          <w:sz w:val="32"/>
          <w:szCs w:val="32"/>
          <w:lang w:eastAsia="zh-CN"/>
        </w:rPr>
        <w:t>）</w:t>
      </w:r>
      <w:r>
        <w:rPr>
          <w:rStyle w:val="10"/>
          <w:rFonts w:eastAsia="仿宋"/>
          <w:bCs/>
          <w:sz w:val="32"/>
          <w:szCs w:val="32"/>
        </w:rPr>
        <w:t>：</w:t>
      </w:r>
      <w:r>
        <w:rPr>
          <w:rFonts w:eastAsia="仿宋_GB2312"/>
          <w:color w:val="000000"/>
          <w:sz w:val="32"/>
          <w:szCs w:val="32"/>
        </w:rPr>
        <w:t>支出决算为10.49万元，完成预算100%，</w:t>
      </w:r>
      <w:r>
        <w:rPr>
          <w:rStyle w:val="10"/>
          <w:rFonts w:eastAsia="仿宋"/>
          <w:bCs/>
          <w:sz w:val="32"/>
          <w:szCs w:val="32"/>
        </w:rPr>
        <w:t>决算数等于预算数。</w:t>
      </w:r>
    </w:p>
    <w:p>
      <w:pPr>
        <w:spacing w:line="600" w:lineRule="exact"/>
        <w:ind w:firstLine="643" w:firstLineChars="200"/>
        <w:outlineLvl w:val="2"/>
        <w:rPr>
          <w:rFonts w:eastAsia="仿宋_GB2312"/>
          <w:color w:val="000000"/>
          <w:sz w:val="32"/>
          <w:szCs w:val="32"/>
        </w:rPr>
      </w:pPr>
      <w:r>
        <w:rPr>
          <w:rFonts w:eastAsia="仿宋_GB2312"/>
          <w:b/>
          <w:bCs/>
          <w:color w:val="000000"/>
          <w:sz w:val="32"/>
          <w:szCs w:val="32"/>
        </w:rPr>
        <w:t>4.</w:t>
      </w:r>
      <w:r>
        <w:rPr>
          <w:rFonts w:eastAsia="仿宋"/>
          <w:b/>
          <w:bCs/>
          <w:sz w:val="32"/>
          <w:szCs w:val="32"/>
        </w:rPr>
        <w:t>卫生健康支出</w:t>
      </w:r>
      <w:r>
        <w:rPr>
          <w:rStyle w:val="10"/>
          <w:rFonts w:eastAsia="仿宋"/>
          <w:bCs/>
          <w:sz w:val="32"/>
          <w:szCs w:val="32"/>
        </w:rPr>
        <w:t>（类）公共卫生（款）重大公共卫生服务</w:t>
      </w:r>
      <w:r>
        <w:rPr>
          <w:rStyle w:val="10"/>
          <w:rFonts w:hint="eastAsia" w:eastAsia="仿宋"/>
          <w:bCs/>
          <w:sz w:val="32"/>
          <w:szCs w:val="32"/>
          <w:lang w:eastAsia="zh-CN"/>
        </w:rPr>
        <w:t>（</w:t>
      </w:r>
      <w:r>
        <w:rPr>
          <w:rStyle w:val="10"/>
          <w:rFonts w:eastAsia="仿宋"/>
          <w:bCs/>
          <w:sz w:val="32"/>
          <w:szCs w:val="32"/>
        </w:rPr>
        <w:t>项</w:t>
      </w:r>
      <w:r>
        <w:rPr>
          <w:rStyle w:val="10"/>
          <w:rFonts w:hint="eastAsia" w:eastAsia="仿宋"/>
          <w:bCs/>
          <w:sz w:val="32"/>
          <w:szCs w:val="32"/>
          <w:lang w:eastAsia="zh-CN"/>
        </w:rPr>
        <w:t>）</w:t>
      </w:r>
      <w:r>
        <w:rPr>
          <w:rStyle w:val="10"/>
          <w:rFonts w:eastAsia="仿宋"/>
          <w:bCs/>
          <w:sz w:val="32"/>
          <w:szCs w:val="32"/>
        </w:rPr>
        <w:t>：</w:t>
      </w:r>
      <w:r>
        <w:rPr>
          <w:rFonts w:eastAsia="仿宋_GB2312"/>
          <w:color w:val="000000"/>
          <w:sz w:val="32"/>
          <w:szCs w:val="32"/>
        </w:rPr>
        <w:t>支出决算为35.06万元，完成预算100%，</w:t>
      </w:r>
      <w:r>
        <w:rPr>
          <w:rStyle w:val="10"/>
          <w:rFonts w:eastAsia="仿宋"/>
          <w:bCs/>
          <w:sz w:val="32"/>
          <w:szCs w:val="32"/>
        </w:rPr>
        <w:t>决算数等于预算数。</w:t>
      </w:r>
    </w:p>
    <w:p>
      <w:pPr>
        <w:spacing w:line="600" w:lineRule="exact"/>
        <w:ind w:firstLine="643" w:firstLineChars="200"/>
        <w:outlineLvl w:val="2"/>
        <w:rPr>
          <w:rFonts w:eastAsia="仿宋_GB2312"/>
          <w:color w:val="000000"/>
          <w:sz w:val="32"/>
          <w:szCs w:val="32"/>
        </w:rPr>
      </w:pPr>
      <w:r>
        <w:rPr>
          <w:rFonts w:eastAsia="仿宋_GB2312"/>
          <w:b/>
          <w:bCs/>
          <w:color w:val="000000"/>
          <w:sz w:val="32"/>
          <w:szCs w:val="32"/>
        </w:rPr>
        <w:t>5.</w:t>
      </w:r>
      <w:r>
        <w:rPr>
          <w:rFonts w:eastAsia="仿宋"/>
          <w:b/>
          <w:bCs/>
          <w:sz w:val="32"/>
          <w:szCs w:val="32"/>
        </w:rPr>
        <w:t>卫生健康支出</w:t>
      </w:r>
      <w:r>
        <w:rPr>
          <w:rStyle w:val="10"/>
          <w:rFonts w:eastAsia="仿宋"/>
          <w:bCs/>
          <w:sz w:val="32"/>
          <w:szCs w:val="32"/>
        </w:rPr>
        <w:t>（类）公共卫生（款）其他公共卫生支出</w:t>
      </w:r>
      <w:r>
        <w:rPr>
          <w:rStyle w:val="10"/>
          <w:rFonts w:hint="eastAsia" w:eastAsia="仿宋"/>
          <w:bCs/>
          <w:sz w:val="32"/>
          <w:szCs w:val="32"/>
          <w:lang w:eastAsia="zh-CN"/>
        </w:rPr>
        <w:t>（</w:t>
      </w:r>
      <w:r>
        <w:rPr>
          <w:rStyle w:val="10"/>
          <w:rFonts w:eastAsia="仿宋"/>
          <w:bCs/>
          <w:sz w:val="32"/>
          <w:szCs w:val="32"/>
        </w:rPr>
        <w:t>项</w:t>
      </w:r>
      <w:r>
        <w:rPr>
          <w:rStyle w:val="10"/>
          <w:rFonts w:hint="eastAsia" w:eastAsia="仿宋"/>
          <w:bCs/>
          <w:sz w:val="32"/>
          <w:szCs w:val="32"/>
          <w:lang w:eastAsia="zh-CN"/>
        </w:rPr>
        <w:t>）</w:t>
      </w:r>
      <w:r>
        <w:rPr>
          <w:rStyle w:val="10"/>
          <w:rFonts w:eastAsia="仿宋"/>
          <w:bCs/>
          <w:sz w:val="32"/>
          <w:szCs w:val="32"/>
        </w:rPr>
        <w:t>：</w:t>
      </w:r>
      <w:r>
        <w:rPr>
          <w:rFonts w:eastAsia="仿宋_GB2312"/>
          <w:color w:val="000000"/>
          <w:sz w:val="32"/>
          <w:szCs w:val="32"/>
        </w:rPr>
        <w:t>支出决算为25.68万元，完成预算100%，</w:t>
      </w:r>
      <w:r>
        <w:rPr>
          <w:rStyle w:val="10"/>
          <w:rFonts w:eastAsia="仿宋"/>
          <w:bCs/>
          <w:sz w:val="32"/>
          <w:szCs w:val="32"/>
        </w:rPr>
        <w:t>决算数等于预算数。</w:t>
      </w:r>
    </w:p>
    <w:p>
      <w:pPr>
        <w:spacing w:line="600" w:lineRule="exact"/>
        <w:ind w:firstLine="643" w:firstLineChars="200"/>
        <w:outlineLvl w:val="2"/>
        <w:rPr>
          <w:rFonts w:eastAsia="仿宋_GB2312"/>
          <w:color w:val="000000"/>
          <w:sz w:val="32"/>
          <w:szCs w:val="32"/>
        </w:rPr>
      </w:pPr>
      <w:r>
        <w:rPr>
          <w:rFonts w:eastAsia="仿宋_GB2312"/>
          <w:b/>
          <w:bCs/>
          <w:color w:val="000000"/>
          <w:sz w:val="32"/>
          <w:szCs w:val="32"/>
        </w:rPr>
        <w:t>6.</w:t>
      </w:r>
      <w:r>
        <w:rPr>
          <w:rFonts w:eastAsia="仿宋"/>
          <w:b/>
          <w:bCs/>
          <w:sz w:val="32"/>
          <w:szCs w:val="32"/>
        </w:rPr>
        <w:t>卫生健康支出</w:t>
      </w:r>
      <w:r>
        <w:rPr>
          <w:rStyle w:val="10"/>
          <w:rFonts w:eastAsia="仿宋"/>
          <w:bCs/>
          <w:sz w:val="32"/>
          <w:szCs w:val="32"/>
        </w:rPr>
        <w:t>（类）计划生育事务（款）计划生育服务</w:t>
      </w:r>
      <w:r>
        <w:rPr>
          <w:rStyle w:val="10"/>
          <w:rFonts w:hint="eastAsia" w:eastAsia="仿宋"/>
          <w:bCs/>
          <w:sz w:val="32"/>
          <w:szCs w:val="32"/>
          <w:lang w:eastAsia="zh-CN"/>
        </w:rPr>
        <w:t>（</w:t>
      </w:r>
      <w:r>
        <w:rPr>
          <w:rStyle w:val="10"/>
          <w:rFonts w:eastAsia="仿宋"/>
          <w:bCs/>
          <w:sz w:val="32"/>
          <w:szCs w:val="32"/>
        </w:rPr>
        <w:t>项</w:t>
      </w:r>
      <w:r>
        <w:rPr>
          <w:rStyle w:val="10"/>
          <w:rFonts w:hint="eastAsia" w:eastAsia="仿宋"/>
          <w:bCs/>
          <w:sz w:val="32"/>
          <w:szCs w:val="32"/>
          <w:lang w:eastAsia="zh-CN"/>
        </w:rPr>
        <w:t>）</w:t>
      </w:r>
      <w:r>
        <w:rPr>
          <w:rStyle w:val="10"/>
          <w:rFonts w:eastAsia="仿宋"/>
          <w:bCs/>
          <w:sz w:val="32"/>
          <w:szCs w:val="32"/>
        </w:rPr>
        <w:t>：</w:t>
      </w:r>
      <w:r>
        <w:rPr>
          <w:rFonts w:eastAsia="仿宋_GB2312"/>
          <w:color w:val="000000"/>
          <w:sz w:val="32"/>
          <w:szCs w:val="32"/>
        </w:rPr>
        <w:t>支出决算为0.01万元，完成预算100%，</w:t>
      </w:r>
      <w:r>
        <w:rPr>
          <w:rStyle w:val="10"/>
          <w:rFonts w:eastAsia="仿宋"/>
          <w:bCs/>
          <w:sz w:val="32"/>
          <w:szCs w:val="32"/>
        </w:rPr>
        <w:t>决算数等于预算数。</w:t>
      </w:r>
    </w:p>
    <w:p>
      <w:pPr>
        <w:spacing w:line="600" w:lineRule="exact"/>
        <w:ind w:firstLine="643" w:firstLineChars="200"/>
        <w:outlineLvl w:val="2"/>
        <w:rPr>
          <w:rFonts w:eastAsia="仿宋_GB2312"/>
          <w:color w:val="000000"/>
          <w:sz w:val="32"/>
          <w:szCs w:val="32"/>
        </w:rPr>
      </w:pPr>
      <w:r>
        <w:rPr>
          <w:rFonts w:eastAsia="仿宋_GB2312"/>
          <w:b/>
          <w:bCs/>
          <w:color w:val="000000"/>
          <w:sz w:val="32"/>
          <w:szCs w:val="32"/>
        </w:rPr>
        <w:t>7.</w:t>
      </w:r>
      <w:r>
        <w:rPr>
          <w:rFonts w:eastAsia="仿宋"/>
          <w:b/>
          <w:bCs/>
          <w:sz w:val="32"/>
          <w:szCs w:val="32"/>
        </w:rPr>
        <w:t>卫生健康支出</w:t>
      </w:r>
      <w:r>
        <w:rPr>
          <w:rStyle w:val="10"/>
          <w:rFonts w:eastAsia="仿宋"/>
          <w:bCs/>
          <w:sz w:val="32"/>
          <w:szCs w:val="32"/>
        </w:rPr>
        <w:t>（类）行政事业单位医疗（款）事业单位医疗</w:t>
      </w:r>
      <w:r>
        <w:rPr>
          <w:rStyle w:val="10"/>
          <w:rFonts w:hint="eastAsia" w:eastAsia="仿宋"/>
          <w:bCs/>
          <w:sz w:val="32"/>
          <w:szCs w:val="32"/>
          <w:lang w:eastAsia="zh-CN"/>
        </w:rPr>
        <w:t>（</w:t>
      </w:r>
      <w:r>
        <w:rPr>
          <w:rStyle w:val="10"/>
          <w:rFonts w:eastAsia="仿宋"/>
          <w:bCs/>
          <w:sz w:val="32"/>
          <w:szCs w:val="32"/>
        </w:rPr>
        <w:t>项</w:t>
      </w:r>
      <w:r>
        <w:rPr>
          <w:rStyle w:val="10"/>
          <w:rFonts w:hint="eastAsia" w:eastAsia="仿宋"/>
          <w:bCs/>
          <w:sz w:val="32"/>
          <w:szCs w:val="32"/>
          <w:lang w:eastAsia="zh-CN"/>
        </w:rPr>
        <w:t>）</w:t>
      </w:r>
      <w:r>
        <w:rPr>
          <w:rStyle w:val="10"/>
          <w:rFonts w:eastAsia="仿宋"/>
          <w:bCs/>
          <w:sz w:val="32"/>
          <w:szCs w:val="32"/>
        </w:rPr>
        <w:t>：</w:t>
      </w:r>
      <w:r>
        <w:rPr>
          <w:rFonts w:eastAsia="仿宋_GB2312"/>
          <w:color w:val="000000"/>
          <w:sz w:val="32"/>
          <w:szCs w:val="32"/>
        </w:rPr>
        <w:t>支出决算为10.54万元，完成预算100%，</w:t>
      </w:r>
      <w:r>
        <w:rPr>
          <w:rStyle w:val="10"/>
          <w:rFonts w:eastAsia="仿宋"/>
          <w:bCs/>
          <w:sz w:val="32"/>
          <w:szCs w:val="32"/>
        </w:rPr>
        <w:t>决算数等于预算数。</w:t>
      </w:r>
    </w:p>
    <w:p>
      <w:pPr>
        <w:spacing w:line="600" w:lineRule="exact"/>
        <w:ind w:firstLine="643" w:firstLineChars="200"/>
        <w:outlineLvl w:val="2"/>
        <w:rPr>
          <w:rFonts w:eastAsia="仿宋_GB2312"/>
          <w:color w:val="000000"/>
          <w:sz w:val="32"/>
          <w:szCs w:val="32"/>
        </w:rPr>
      </w:pPr>
      <w:r>
        <w:rPr>
          <w:rFonts w:eastAsia="仿宋_GB2312"/>
          <w:b/>
          <w:bCs/>
          <w:color w:val="000000"/>
          <w:sz w:val="32"/>
          <w:szCs w:val="32"/>
        </w:rPr>
        <w:t>8.</w:t>
      </w:r>
      <w:r>
        <w:rPr>
          <w:rFonts w:eastAsia="仿宋"/>
          <w:b/>
          <w:bCs/>
          <w:sz w:val="32"/>
          <w:szCs w:val="32"/>
        </w:rPr>
        <w:t>卫生健康支出</w:t>
      </w:r>
      <w:r>
        <w:rPr>
          <w:rStyle w:val="10"/>
          <w:rFonts w:eastAsia="仿宋"/>
          <w:bCs/>
          <w:sz w:val="32"/>
          <w:szCs w:val="32"/>
        </w:rPr>
        <w:t>（类）行政事业单位医疗（款）其他行政事业单位医疗支出</w:t>
      </w:r>
      <w:r>
        <w:rPr>
          <w:rStyle w:val="10"/>
          <w:rFonts w:hint="eastAsia" w:eastAsia="仿宋"/>
          <w:bCs/>
          <w:sz w:val="32"/>
          <w:szCs w:val="32"/>
          <w:lang w:eastAsia="zh-CN"/>
        </w:rPr>
        <w:t>（</w:t>
      </w:r>
      <w:r>
        <w:rPr>
          <w:rStyle w:val="10"/>
          <w:rFonts w:eastAsia="仿宋"/>
          <w:bCs/>
          <w:sz w:val="32"/>
          <w:szCs w:val="32"/>
        </w:rPr>
        <w:t>项</w:t>
      </w:r>
      <w:r>
        <w:rPr>
          <w:rStyle w:val="10"/>
          <w:rFonts w:hint="eastAsia" w:eastAsia="仿宋"/>
          <w:bCs/>
          <w:sz w:val="32"/>
          <w:szCs w:val="32"/>
          <w:lang w:eastAsia="zh-CN"/>
        </w:rPr>
        <w:t>）</w:t>
      </w:r>
      <w:r>
        <w:rPr>
          <w:rStyle w:val="10"/>
          <w:rFonts w:eastAsia="仿宋"/>
          <w:bCs/>
          <w:sz w:val="32"/>
          <w:szCs w:val="32"/>
        </w:rPr>
        <w:t>：</w:t>
      </w:r>
      <w:r>
        <w:rPr>
          <w:rFonts w:eastAsia="仿宋_GB2312"/>
          <w:color w:val="000000"/>
          <w:sz w:val="32"/>
          <w:szCs w:val="32"/>
        </w:rPr>
        <w:t>支出决算为0.95万元，完成预算100%，</w:t>
      </w:r>
      <w:r>
        <w:rPr>
          <w:rStyle w:val="10"/>
          <w:rFonts w:eastAsia="仿宋"/>
          <w:bCs/>
          <w:sz w:val="32"/>
          <w:szCs w:val="32"/>
        </w:rPr>
        <w:t>决算数等于预算数。</w:t>
      </w:r>
    </w:p>
    <w:p>
      <w:pPr>
        <w:spacing w:line="600" w:lineRule="exact"/>
        <w:ind w:firstLine="643" w:firstLineChars="200"/>
        <w:outlineLvl w:val="2"/>
        <w:rPr>
          <w:rFonts w:eastAsia="仿宋"/>
          <w:b/>
          <w:sz w:val="32"/>
          <w:szCs w:val="32"/>
        </w:rPr>
      </w:pPr>
      <w:r>
        <w:rPr>
          <w:rFonts w:eastAsia="仿宋_GB2312"/>
          <w:b/>
          <w:bCs/>
          <w:color w:val="000000"/>
          <w:sz w:val="32"/>
          <w:szCs w:val="32"/>
        </w:rPr>
        <w:t>9.住房保障支出（类）住房改革支出（款）住房公积金（项）</w:t>
      </w:r>
      <w:r>
        <w:rPr>
          <w:rFonts w:hint="eastAsia" w:eastAsia="仿宋_GB2312"/>
          <w:b/>
          <w:bCs/>
          <w:color w:val="000000"/>
          <w:sz w:val="32"/>
          <w:szCs w:val="32"/>
          <w:lang w:eastAsia="zh-CN"/>
        </w:rPr>
        <w:t>：</w:t>
      </w:r>
      <w:r>
        <w:rPr>
          <w:rFonts w:eastAsia="仿宋_GB2312"/>
          <w:color w:val="000000"/>
          <w:sz w:val="32"/>
          <w:szCs w:val="32"/>
        </w:rPr>
        <w:t>支出决算为16.52万元，完成预算100%，</w:t>
      </w:r>
      <w:r>
        <w:rPr>
          <w:rStyle w:val="10"/>
          <w:rFonts w:eastAsia="仿宋"/>
          <w:bCs/>
          <w:sz w:val="32"/>
          <w:szCs w:val="32"/>
        </w:rPr>
        <w:t>决算数等于预算数。</w:t>
      </w:r>
    </w:p>
    <w:p>
      <w:pPr>
        <w:tabs>
          <w:tab w:val="right" w:pos="8306"/>
        </w:tabs>
        <w:spacing w:line="600" w:lineRule="exact"/>
        <w:ind w:firstLine="640"/>
        <w:outlineLvl w:val="1"/>
        <w:rPr>
          <w:rStyle w:val="13"/>
        </w:rPr>
      </w:pPr>
      <w:bookmarkStart w:id="34" w:name="_Toc15396608"/>
      <w:bookmarkStart w:id="35" w:name="_Toc15377214"/>
      <w:r>
        <w:rPr>
          <w:rFonts w:eastAsia="黑体"/>
          <w:sz w:val="32"/>
          <w:szCs w:val="32"/>
        </w:rPr>
        <w:t>六</w:t>
      </w:r>
      <w:r>
        <w:rPr>
          <w:rFonts w:eastAsia="黑体"/>
          <w:b/>
          <w:sz w:val="32"/>
          <w:szCs w:val="32"/>
        </w:rPr>
        <w:t>、一</w:t>
      </w:r>
      <w:r>
        <w:rPr>
          <w:rStyle w:val="13"/>
          <w:rFonts w:eastAsia="黑体"/>
        </w:rPr>
        <w:t>般公共预算财政拨款基本支出决算情况说明</w:t>
      </w:r>
      <w:bookmarkEnd w:id="34"/>
      <w:bookmarkEnd w:id="35"/>
      <w:r>
        <w:rPr>
          <w:rStyle w:val="13"/>
          <w:rFonts w:eastAsia="黑体"/>
        </w:rPr>
        <w:tab/>
      </w:r>
    </w:p>
    <w:p>
      <w:pPr>
        <w:spacing w:line="600" w:lineRule="exact"/>
        <w:ind w:firstLine="640" w:firstLineChars="200"/>
        <w:outlineLvl w:val="2"/>
        <w:rPr>
          <w:rFonts w:eastAsia="仿宋_GB2312"/>
          <w:color w:val="000000"/>
          <w:sz w:val="32"/>
          <w:szCs w:val="32"/>
        </w:rPr>
      </w:pPr>
      <w:r>
        <w:rPr>
          <w:rFonts w:eastAsia="仿宋_GB2312"/>
          <w:color w:val="000000"/>
          <w:sz w:val="32"/>
          <w:szCs w:val="32"/>
        </w:rPr>
        <w:t>2022年一般公共预算财政拨款基本支出207.75万元，其中：</w:t>
      </w:r>
    </w:p>
    <w:p>
      <w:pPr>
        <w:spacing w:line="600" w:lineRule="exact"/>
        <w:ind w:firstLine="640" w:firstLineChars="200"/>
        <w:outlineLvl w:val="2"/>
        <w:rPr>
          <w:rFonts w:eastAsia="仿宋"/>
          <w:sz w:val="32"/>
          <w:szCs w:val="32"/>
        </w:rPr>
      </w:pPr>
      <w:r>
        <w:rPr>
          <w:rFonts w:eastAsia="仿宋_GB2312"/>
          <w:sz w:val="32"/>
          <w:szCs w:val="32"/>
        </w:rPr>
        <w:t>人员经费197.48万元</w:t>
      </w:r>
      <w:r>
        <w:rPr>
          <w:rFonts w:eastAsia="仿宋_GB2312"/>
          <w:color w:val="000000"/>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等。</w:t>
      </w:r>
      <w:r>
        <w:rPr>
          <w:rFonts w:eastAsia="仿宋_GB2312"/>
          <w:color w:val="000000"/>
          <w:sz w:val="32"/>
          <w:szCs w:val="32"/>
        </w:rPr>
        <w:br w:type="textWrapping"/>
      </w:r>
      <w:r>
        <w:rPr>
          <w:rFonts w:eastAsia="仿宋_GB2312"/>
          <w:color w:val="000000"/>
          <w:sz w:val="32"/>
          <w:szCs w:val="32"/>
        </w:rPr>
        <w:t xml:space="preserve">    </w:t>
      </w:r>
      <w:r>
        <w:rPr>
          <w:rFonts w:eastAsia="仿宋_GB2312"/>
          <w:sz w:val="32"/>
          <w:szCs w:val="32"/>
        </w:rPr>
        <w:t>公用经费10.27万元，</w:t>
      </w:r>
      <w:r>
        <w:rPr>
          <w:rFonts w:eastAsia="仿宋"/>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3"/>
          <w:rFonts w:eastAsia="黑体"/>
          <w:b w:val="0"/>
        </w:rPr>
      </w:pPr>
      <w:bookmarkStart w:id="36" w:name="_Toc15396609"/>
      <w:bookmarkStart w:id="37" w:name="_Toc15377215"/>
      <w:r>
        <w:rPr>
          <w:rFonts w:eastAsia="黑体"/>
          <w:sz w:val="32"/>
          <w:szCs w:val="32"/>
        </w:rPr>
        <w:t>七、</w:t>
      </w:r>
      <w:r>
        <w:rPr>
          <w:rStyle w:val="13"/>
          <w:rFonts w:eastAsia="黑体"/>
        </w:rPr>
        <w:t>财政拨款“三公”经费支出决算情况说明</w:t>
      </w:r>
      <w:bookmarkEnd w:id="36"/>
      <w:bookmarkEnd w:id="37"/>
    </w:p>
    <w:p>
      <w:pPr>
        <w:spacing w:line="600" w:lineRule="exact"/>
        <w:ind w:firstLine="640"/>
        <w:outlineLvl w:val="2"/>
        <w:rPr>
          <w:rFonts w:eastAsia="仿宋_GB2312"/>
          <w:b/>
          <w:sz w:val="32"/>
          <w:szCs w:val="32"/>
        </w:rPr>
      </w:pPr>
      <w:bookmarkStart w:id="38" w:name="_Toc15377216"/>
      <w:r>
        <w:rPr>
          <w:rFonts w:eastAsia="仿宋_GB2312"/>
          <w:b/>
          <w:sz w:val="32"/>
          <w:szCs w:val="32"/>
        </w:rPr>
        <w:t>（一）“三公”经费财政拨款支出决算总体情况说明</w:t>
      </w:r>
      <w:bookmarkEnd w:id="38"/>
    </w:p>
    <w:p>
      <w:pPr>
        <w:spacing w:line="600" w:lineRule="exact"/>
        <w:ind w:firstLine="640"/>
        <w:rPr>
          <w:rFonts w:eastAsia="仿宋"/>
          <w:sz w:val="32"/>
          <w:szCs w:val="32"/>
        </w:rPr>
      </w:pPr>
      <w:r>
        <w:rPr>
          <w:rFonts w:eastAsia="仿宋"/>
          <w:sz w:val="32"/>
          <w:szCs w:val="32"/>
        </w:rPr>
        <w:t>2022年“三公”经费财政拨款支出决算为2.40万元，完成预算100%，较上年减少0.09万元，下降3.61%。决算数与预算数持平。</w:t>
      </w:r>
    </w:p>
    <w:p>
      <w:pPr>
        <w:spacing w:line="600" w:lineRule="exact"/>
        <w:ind w:firstLine="640"/>
        <w:outlineLvl w:val="2"/>
        <w:rPr>
          <w:rFonts w:eastAsia="仿宋_GB2312"/>
          <w:b/>
          <w:sz w:val="32"/>
          <w:szCs w:val="32"/>
        </w:rPr>
      </w:pPr>
      <w:bookmarkStart w:id="39" w:name="_Toc15377217"/>
      <w:r>
        <w:rPr>
          <w:rFonts w:eastAsia="仿宋_GB2312"/>
          <w:b/>
          <w:sz w:val="32"/>
          <w:szCs w:val="32"/>
        </w:rPr>
        <w:t>（二）“三公”经费财政拨款支出决算具体情况说明</w:t>
      </w:r>
      <w:bookmarkEnd w:id="39"/>
    </w:p>
    <w:p>
      <w:pPr>
        <w:spacing w:line="600" w:lineRule="exact"/>
        <w:ind w:firstLine="640"/>
      </w:pPr>
      <w:r>
        <w:rPr>
          <w:rFonts w:eastAsia="仿宋"/>
          <w:sz w:val="32"/>
          <w:szCs w:val="32"/>
        </w:rPr>
        <w:drawing>
          <wp:anchor distT="0" distB="0" distL="114300" distR="114300" simplePos="0" relativeHeight="251663360" behindDoc="0" locked="0" layoutInCell="1" allowOverlap="1">
            <wp:simplePos x="0" y="0"/>
            <wp:positionH relativeFrom="column">
              <wp:posOffset>844550</wp:posOffset>
            </wp:positionH>
            <wp:positionV relativeFrom="paragraph">
              <wp:posOffset>814070</wp:posOffset>
            </wp:positionV>
            <wp:extent cx="3056255" cy="2875280"/>
            <wp:effectExtent l="4445" t="4445" r="6350" b="53975"/>
            <wp:wrapTopAndBottom/>
            <wp:docPr id="3" name="图表 3"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
          <w:sz w:val="32"/>
          <w:szCs w:val="32"/>
        </w:rPr>
        <w:t>2022年“三公”经费财政拨款支出决算中，因公出国（境）费支出决算0万元，占0%；公务用车购置及运行维护费支出决算2.40万元，占100%；公务接待费支出决算0万元，占0%。具体情况如下：</w:t>
      </w:r>
    </w:p>
    <w:p>
      <w:pPr>
        <w:spacing w:line="600" w:lineRule="exact"/>
        <w:ind w:firstLine="640"/>
        <w:rPr>
          <w:rFonts w:eastAsia="仿宋_GB2312"/>
          <w:b/>
          <w:sz w:val="32"/>
          <w:szCs w:val="32"/>
        </w:rPr>
      </w:pPr>
      <w:r>
        <w:rPr>
          <w:rFonts w:eastAsia="仿宋_GB2312"/>
          <w:b/>
          <w:sz w:val="32"/>
          <w:szCs w:val="32"/>
        </w:rPr>
        <w:t>1.因公出国（境）经费支出</w:t>
      </w:r>
      <w:r>
        <w:rPr>
          <w:rFonts w:eastAsia="仿宋_GB2312"/>
          <w:sz w:val="32"/>
          <w:szCs w:val="32"/>
        </w:rPr>
        <w:t>0万元，</w:t>
      </w:r>
      <w:r>
        <w:rPr>
          <w:rStyle w:val="10"/>
          <w:rFonts w:eastAsia="仿宋"/>
          <w:bCs/>
          <w:sz w:val="32"/>
          <w:szCs w:val="32"/>
        </w:rPr>
        <w:t>完成预算0%。</w:t>
      </w:r>
      <w:r>
        <w:rPr>
          <w:rFonts w:eastAsia="仿宋_GB2312"/>
          <w:sz w:val="32"/>
          <w:szCs w:val="32"/>
        </w:rPr>
        <w:t>全年安排因公出国（境）团组0次，出国（境）0人。</w:t>
      </w:r>
      <w:r>
        <w:rPr>
          <w:rFonts w:eastAsia="仿宋_GB2312"/>
          <w:color w:val="000000"/>
          <w:sz w:val="32"/>
          <w:szCs w:val="32"/>
        </w:rPr>
        <w:t>因公出国（境）支出决算与2021年持平</w:t>
      </w:r>
      <w:r>
        <w:rPr>
          <w:rFonts w:eastAsia="仿宋_GB2312"/>
          <w:sz w:val="32"/>
          <w:szCs w:val="32"/>
        </w:rPr>
        <w:t>。</w:t>
      </w:r>
    </w:p>
    <w:p>
      <w:pPr>
        <w:spacing w:line="600" w:lineRule="exact"/>
        <w:ind w:firstLine="640"/>
        <w:rPr>
          <w:rFonts w:eastAsia="仿宋_GB2312"/>
          <w:color w:val="000000"/>
          <w:sz w:val="32"/>
          <w:szCs w:val="32"/>
        </w:rPr>
      </w:pPr>
      <w:r>
        <w:rPr>
          <w:rFonts w:eastAsia="仿宋_GB2312"/>
          <w:b/>
          <w:sz w:val="32"/>
          <w:szCs w:val="32"/>
        </w:rPr>
        <w:t>2.公务用车购置及运行维护费支出</w:t>
      </w:r>
      <w:r>
        <w:rPr>
          <w:rFonts w:eastAsia="仿宋_GB2312"/>
          <w:color w:val="000000"/>
          <w:sz w:val="32"/>
          <w:szCs w:val="32"/>
        </w:rPr>
        <w:t>2.40万元</w:t>
      </w:r>
      <w:r>
        <w:rPr>
          <w:rFonts w:hint="eastAsia" w:eastAsia="仿宋_GB2312"/>
          <w:color w:val="000000"/>
          <w:sz w:val="32"/>
          <w:szCs w:val="32"/>
          <w:lang w:eastAsia="zh-CN"/>
        </w:rPr>
        <w:t>，</w:t>
      </w:r>
      <w:r>
        <w:rPr>
          <w:rFonts w:eastAsia="仿宋_GB2312"/>
          <w:color w:val="000000"/>
          <w:sz w:val="32"/>
          <w:szCs w:val="32"/>
        </w:rPr>
        <w:t>完成预算100%。公务用车购置及运行维护费支出决算比2021年减少0.09万元，下降3.16%。主要原因是使用、维修减少。</w:t>
      </w:r>
    </w:p>
    <w:p>
      <w:pPr>
        <w:spacing w:line="600" w:lineRule="exact"/>
        <w:ind w:firstLine="640" w:firstLineChars="200"/>
        <w:rPr>
          <w:rFonts w:eastAsia="仿宋_GB2312"/>
          <w:color w:val="000000"/>
          <w:sz w:val="32"/>
          <w:szCs w:val="32"/>
        </w:rPr>
      </w:pPr>
      <w:r>
        <w:rPr>
          <w:rFonts w:eastAsia="仿宋_GB2312"/>
          <w:sz w:val="32"/>
          <w:szCs w:val="32"/>
        </w:rPr>
        <w:t>其中：</w:t>
      </w:r>
      <w:r>
        <w:rPr>
          <w:rFonts w:eastAsia="仿宋_GB2312"/>
          <w:b/>
          <w:sz w:val="32"/>
          <w:szCs w:val="32"/>
        </w:rPr>
        <w:t>公务用车购置支出</w:t>
      </w:r>
      <w:r>
        <w:rPr>
          <w:rFonts w:eastAsia="仿宋_GB2312"/>
          <w:color w:val="000000"/>
          <w:sz w:val="32"/>
          <w:szCs w:val="32"/>
        </w:rPr>
        <w:t>0万元。全年按规定更新购置公务用车0辆，其中：轿车0辆、金额0万元，越野车0辆、金额0万元，载客汽车0辆、金额0万元。截至2022年12月底，单位共有公务用车1辆，其中：轿车0辆、越野车0辆、载客汽车0辆，特种专业技术用车1辆。</w:t>
      </w:r>
    </w:p>
    <w:p>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color w:val="000000"/>
          <w:sz w:val="32"/>
          <w:szCs w:val="32"/>
        </w:rPr>
        <w:t>2.40</w:t>
      </w:r>
      <w:r>
        <w:rPr>
          <w:rFonts w:eastAsia="仿宋_GB2312"/>
          <w:sz w:val="32"/>
          <w:szCs w:val="32"/>
        </w:rPr>
        <w:t>万元。主要用于</w:t>
      </w:r>
      <w:r>
        <w:rPr>
          <w:rFonts w:eastAsia="仿宋_GB2312"/>
          <w:color w:val="000000"/>
          <w:sz w:val="32"/>
          <w:szCs w:val="32"/>
        </w:rPr>
        <w:t>开展相关业务工作及公共卫生服务项目质控等所需的公务用车燃料费、维修费、过路过桥费、保险费等支出</w:t>
      </w:r>
      <w:r>
        <w:rPr>
          <w:rFonts w:eastAsia="仿宋_GB2312"/>
          <w:sz w:val="32"/>
          <w:szCs w:val="32"/>
        </w:rPr>
        <w:t>。</w:t>
      </w:r>
    </w:p>
    <w:p>
      <w:pPr>
        <w:spacing w:line="600" w:lineRule="exact"/>
        <w:ind w:firstLine="640"/>
        <w:rPr>
          <w:rFonts w:eastAsia="仿宋_GB2312"/>
          <w:color w:val="000000"/>
          <w:sz w:val="32"/>
          <w:szCs w:val="32"/>
        </w:rPr>
      </w:pPr>
      <w:r>
        <w:rPr>
          <w:rFonts w:eastAsia="仿宋_GB2312"/>
          <w:b/>
          <w:sz w:val="32"/>
          <w:szCs w:val="32"/>
        </w:rPr>
        <w:t>3.公务接待费支出</w:t>
      </w:r>
      <w:r>
        <w:rPr>
          <w:rFonts w:eastAsia="仿宋_GB2312"/>
          <w:color w:val="000000"/>
          <w:sz w:val="32"/>
          <w:szCs w:val="32"/>
        </w:rPr>
        <w:t>0万元，完成预算0%。公务接待费支出决算与2021年持平。</w:t>
      </w:r>
    </w:p>
    <w:p>
      <w:pPr>
        <w:spacing w:line="600" w:lineRule="exact"/>
        <w:ind w:firstLine="640"/>
        <w:rPr>
          <w:rFonts w:eastAsia="仿宋_GB2312"/>
          <w:sz w:val="32"/>
          <w:szCs w:val="32"/>
        </w:rPr>
      </w:pPr>
      <w:bookmarkStart w:id="40" w:name="_Toc15396610"/>
      <w:bookmarkStart w:id="41" w:name="_Toc15377218"/>
      <w:r>
        <w:rPr>
          <w:rFonts w:eastAsia="仿宋"/>
          <w:b/>
          <w:sz w:val="32"/>
          <w:szCs w:val="32"/>
        </w:rPr>
        <w:t>国内公务接待支出</w:t>
      </w:r>
      <w:r>
        <w:rPr>
          <w:rFonts w:eastAsia="仿宋"/>
          <w:sz w:val="32"/>
          <w:szCs w:val="32"/>
        </w:rPr>
        <w:t>0</w:t>
      </w:r>
      <w:r>
        <w:rPr>
          <w:rFonts w:eastAsia="仿宋_GB2312"/>
          <w:sz w:val="32"/>
          <w:szCs w:val="32"/>
        </w:rPr>
        <w:t>万元。国内公务接待0批次，0人次（不包括陪同人员），共计支出0万元。</w:t>
      </w:r>
    </w:p>
    <w:p>
      <w:pPr>
        <w:pStyle w:val="2"/>
        <w:spacing w:before="93"/>
        <w:rPr>
          <w:rFonts w:ascii="Times New Roman"/>
        </w:rPr>
      </w:pPr>
      <w:r>
        <w:rPr>
          <w:rFonts w:ascii="Times New Roman"/>
          <w:sz w:val="32"/>
          <w:szCs w:val="32"/>
        </w:rPr>
        <w:t xml:space="preserve">    </w:t>
      </w:r>
      <w:r>
        <w:rPr>
          <w:rFonts w:ascii="Times New Roman" w:eastAsia="仿宋"/>
          <w:b/>
          <w:sz w:val="32"/>
          <w:szCs w:val="32"/>
        </w:rPr>
        <w:t>外事接待支出</w:t>
      </w:r>
      <w:r>
        <w:rPr>
          <w:rFonts w:ascii="Times New Roman" w:eastAsia="仿宋"/>
          <w:sz w:val="32"/>
          <w:szCs w:val="32"/>
        </w:rPr>
        <w:t>0</w:t>
      </w:r>
      <w:r>
        <w:rPr>
          <w:rFonts w:ascii="Times New Roman"/>
          <w:sz w:val="32"/>
          <w:szCs w:val="32"/>
        </w:rPr>
        <w:t>万元。外事接待0批次，0人次（不包括陪同人员），共计支出0万元。</w:t>
      </w:r>
    </w:p>
    <w:p>
      <w:pPr>
        <w:spacing w:line="600" w:lineRule="exact"/>
        <w:ind w:firstLine="643" w:firstLineChars="200"/>
        <w:outlineLvl w:val="1"/>
        <w:rPr>
          <w:rStyle w:val="13"/>
          <w:rFonts w:eastAsia="黑体"/>
          <w:b w:val="0"/>
        </w:rPr>
      </w:pPr>
      <w:r>
        <w:rPr>
          <w:rStyle w:val="13"/>
          <w:rFonts w:eastAsia="黑体"/>
        </w:rPr>
        <w:t>八、政府性基金预算支出决算情况说明</w:t>
      </w:r>
      <w:bookmarkEnd w:id="40"/>
      <w:bookmarkEnd w:id="41"/>
    </w:p>
    <w:p>
      <w:pPr>
        <w:spacing w:line="600" w:lineRule="exact"/>
        <w:ind w:firstLine="640"/>
        <w:rPr>
          <w:rFonts w:eastAsia="仿宋_GB2312"/>
          <w:sz w:val="32"/>
          <w:szCs w:val="32"/>
        </w:rPr>
      </w:pPr>
      <w:bookmarkStart w:id="42" w:name="_Toc15396612"/>
      <w:bookmarkStart w:id="43" w:name="_Toc15377221"/>
      <w:r>
        <w:rPr>
          <w:rFonts w:eastAsia="仿宋_GB2312"/>
          <w:sz w:val="32"/>
          <w:szCs w:val="32"/>
        </w:rPr>
        <w:t>2022年政府性基金预算财政拨款支出0万元。</w:t>
      </w:r>
    </w:p>
    <w:p>
      <w:pPr>
        <w:numPr>
          <w:ilvl w:val="0"/>
          <w:numId w:val="4"/>
        </w:numPr>
        <w:spacing w:line="600" w:lineRule="exact"/>
        <w:ind w:firstLine="640"/>
        <w:outlineLvl w:val="1"/>
        <w:rPr>
          <w:rStyle w:val="13"/>
          <w:rFonts w:eastAsia="黑体"/>
          <w:b w:val="0"/>
        </w:rPr>
      </w:pPr>
      <w:bookmarkStart w:id="44" w:name="_Toc15377219"/>
      <w:bookmarkStart w:id="45" w:name="_Toc15396611"/>
      <w:r>
        <w:rPr>
          <w:rStyle w:val="13"/>
          <w:rFonts w:eastAsia="黑体"/>
        </w:rPr>
        <w:t>国有资本经营预算支出决算情况说明</w:t>
      </w:r>
      <w:bookmarkEnd w:id="44"/>
      <w:bookmarkEnd w:id="45"/>
    </w:p>
    <w:p>
      <w:pPr>
        <w:spacing w:line="600" w:lineRule="exact"/>
        <w:outlineLvl w:val="1"/>
        <w:rPr>
          <w:rStyle w:val="13"/>
          <w:rFonts w:eastAsia="黑体"/>
          <w:b w:val="0"/>
        </w:rPr>
      </w:pPr>
      <w:r>
        <w:rPr>
          <w:rStyle w:val="13"/>
          <w:rFonts w:eastAsia="黑体"/>
        </w:rPr>
        <w:t xml:space="preserve">    </w:t>
      </w:r>
      <w:r>
        <w:rPr>
          <w:rFonts w:eastAsia="仿宋_GB2312"/>
          <w:sz w:val="32"/>
          <w:szCs w:val="32"/>
        </w:rPr>
        <w:t>2022年国有资本经营预算财政拨款支出0万元。</w:t>
      </w:r>
    </w:p>
    <w:p>
      <w:pPr>
        <w:numPr>
          <w:ilvl w:val="0"/>
          <w:numId w:val="4"/>
        </w:numPr>
        <w:spacing w:line="600" w:lineRule="exact"/>
        <w:ind w:firstLine="640"/>
        <w:outlineLvl w:val="1"/>
        <w:rPr>
          <w:rStyle w:val="13"/>
          <w:rFonts w:eastAsia="黑体"/>
          <w:b w:val="0"/>
        </w:rPr>
      </w:pPr>
      <w:r>
        <w:rPr>
          <w:rStyle w:val="13"/>
          <w:rFonts w:eastAsia="黑体"/>
        </w:rPr>
        <w:t>其他重要事项的情况说明</w:t>
      </w:r>
      <w:bookmarkEnd w:id="42"/>
      <w:bookmarkEnd w:id="43"/>
    </w:p>
    <w:p>
      <w:pPr>
        <w:spacing w:line="600" w:lineRule="exact"/>
        <w:ind w:firstLine="643" w:firstLineChars="200"/>
        <w:outlineLvl w:val="2"/>
        <w:rPr>
          <w:rFonts w:eastAsia="仿宋_GB2312"/>
          <w:b/>
          <w:sz w:val="32"/>
          <w:szCs w:val="32"/>
        </w:rPr>
      </w:pPr>
      <w:bookmarkStart w:id="46" w:name="_Toc15377222"/>
      <w:r>
        <w:rPr>
          <w:rFonts w:eastAsia="仿宋_GB2312"/>
          <w:b/>
          <w:sz w:val="32"/>
          <w:szCs w:val="32"/>
        </w:rPr>
        <w:t>（一）机关运行经费支出情况</w:t>
      </w:r>
      <w:bookmarkEnd w:id="46"/>
    </w:p>
    <w:p>
      <w:pPr>
        <w:spacing w:line="600" w:lineRule="exact"/>
        <w:ind w:firstLine="640" w:firstLineChars="200"/>
        <w:rPr>
          <w:rFonts w:eastAsia="仿宋"/>
          <w:b/>
          <w:sz w:val="32"/>
          <w:szCs w:val="32"/>
        </w:rPr>
      </w:pPr>
      <w:r>
        <w:rPr>
          <w:rFonts w:eastAsia="仿宋_GB2312"/>
          <w:color w:val="000000"/>
          <w:sz w:val="32"/>
          <w:szCs w:val="32"/>
        </w:rPr>
        <w:t>2022年，西区妇幼保健服务中心机关运行经费支出0万元，与2021年决算数持平。</w:t>
      </w:r>
    </w:p>
    <w:p>
      <w:pPr>
        <w:autoSpaceDE w:val="0"/>
        <w:autoSpaceDN w:val="0"/>
        <w:adjustRightInd w:val="0"/>
        <w:spacing w:line="600" w:lineRule="exact"/>
        <w:ind w:firstLine="643" w:firstLineChars="200"/>
        <w:jc w:val="left"/>
        <w:outlineLvl w:val="2"/>
        <w:rPr>
          <w:rFonts w:eastAsia="仿宋_GB2312"/>
          <w:b/>
          <w:sz w:val="32"/>
          <w:szCs w:val="32"/>
        </w:rPr>
      </w:pPr>
      <w:bookmarkStart w:id="47" w:name="_Toc15377223"/>
      <w:r>
        <w:rPr>
          <w:rFonts w:eastAsia="仿宋_GB2312"/>
          <w:b/>
          <w:sz w:val="32"/>
          <w:szCs w:val="32"/>
        </w:rPr>
        <w:t>（二）政府采购支出情况</w:t>
      </w:r>
      <w:bookmarkEnd w:id="47"/>
    </w:p>
    <w:p>
      <w:pPr>
        <w:spacing w:line="600" w:lineRule="exact"/>
        <w:ind w:firstLine="640" w:firstLineChars="200"/>
        <w:rPr>
          <w:rFonts w:eastAsia="仿宋_GB2312"/>
          <w:color w:val="000000"/>
          <w:sz w:val="32"/>
          <w:szCs w:val="32"/>
        </w:rPr>
      </w:pPr>
      <w:r>
        <w:rPr>
          <w:rFonts w:eastAsia="仿宋_GB2312"/>
          <w:color w:val="000000"/>
          <w:sz w:val="32"/>
          <w:szCs w:val="32"/>
        </w:rPr>
        <w:t>2022年，西区妇幼保健服务中心政府采购支出总额0万元，其中：政府采购货物支出0万元、政府采购工程支出0万元、政府采购服务支出0万元。授予中小企业合同金额0万元，占政府采购支出总额的0%</w:t>
      </w:r>
      <w:r>
        <w:rPr>
          <w:rFonts w:eastAsia="仿宋_GB2312"/>
          <w:sz w:val="32"/>
          <w:szCs w:val="32"/>
        </w:rPr>
        <w:t>，其中：授予小微企业合同金额0万元，占政府采购支出总额的0%</w:t>
      </w:r>
      <w:r>
        <w:rPr>
          <w:rFonts w:eastAsia="仿宋_GB2312"/>
          <w:color w:val="000000"/>
          <w:sz w:val="32"/>
          <w:szCs w:val="32"/>
        </w:rPr>
        <w:t>。</w:t>
      </w:r>
    </w:p>
    <w:p>
      <w:pPr>
        <w:autoSpaceDE w:val="0"/>
        <w:autoSpaceDN w:val="0"/>
        <w:adjustRightInd w:val="0"/>
        <w:spacing w:line="600" w:lineRule="exact"/>
        <w:ind w:firstLine="643" w:firstLineChars="200"/>
        <w:jc w:val="left"/>
        <w:outlineLvl w:val="2"/>
        <w:rPr>
          <w:rFonts w:eastAsia="仿宋"/>
          <w:b/>
          <w:sz w:val="32"/>
          <w:szCs w:val="32"/>
        </w:rPr>
      </w:pPr>
      <w:bookmarkStart w:id="48" w:name="_Toc15377224"/>
      <w:r>
        <w:rPr>
          <w:rFonts w:eastAsia="仿宋"/>
          <w:b/>
          <w:sz w:val="32"/>
          <w:szCs w:val="32"/>
        </w:rPr>
        <w:t>（三）国有资产占有使用情况</w:t>
      </w:r>
      <w:bookmarkEnd w:id="48"/>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截至2022年12月31日，</w:t>
      </w:r>
      <w:r>
        <w:rPr>
          <w:rFonts w:eastAsia="仿宋_GB2312"/>
          <w:color w:val="000000"/>
          <w:sz w:val="32"/>
          <w:szCs w:val="32"/>
        </w:rPr>
        <w:t>西区妇幼保健服务中心</w:t>
      </w:r>
      <w:r>
        <w:rPr>
          <w:rFonts w:eastAsia="仿宋_GB2312"/>
          <w:sz w:val="32"/>
          <w:szCs w:val="32"/>
        </w:rPr>
        <w:t>共有车辆1辆，其中：主要领导干部用车0辆、机要通信用车0辆、应急保障用车0辆、其他用车1辆，为</w:t>
      </w:r>
      <w:r>
        <w:rPr>
          <w:rFonts w:eastAsia="仿宋_GB2312"/>
          <w:color w:val="000000"/>
          <w:sz w:val="32"/>
          <w:szCs w:val="32"/>
        </w:rPr>
        <w:t>特种专业技术用车，</w:t>
      </w:r>
      <w:r>
        <w:rPr>
          <w:rFonts w:eastAsia="仿宋_GB2312"/>
          <w:sz w:val="32"/>
          <w:szCs w:val="32"/>
        </w:rPr>
        <w:t>其他用车主要是用于</w:t>
      </w:r>
      <w:r>
        <w:rPr>
          <w:rFonts w:eastAsia="仿宋_GB2312"/>
          <w:color w:val="000000"/>
          <w:sz w:val="32"/>
          <w:szCs w:val="32"/>
        </w:rPr>
        <w:t>开展相关业务工作及公共卫生服务项目质控等</w:t>
      </w:r>
      <w:r>
        <w:rPr>
          <w:rFonts w:eastAsia="仿宋_GB2312"/>
          <w:sz w:val="32"/>
          <w:szCs w:val="32"/>
        </w:rPr>
        <w:t>。单价100万元以上专用设备0台（套）。</w:t>
      </w:r>
    </w:p>
    <w:p>
      <w:pPr>
        <w:numPr>
          <w:ilvl w:val="0"/>
          <w:numId w:val="5"/>
        </w:numPr>
        <w:autoSpaceDE w:val="0"/>
        <w:autoSpaceDN w:val="0"/>
        <w:adjustRightInd w:val="0"/>
        <w:spacing w:line="600" w:lineRule="exact"/>
        <w:ind w:firstLine="643" w:firstLineChars="200"/>
        <w:jc w:val="left"/>
        <w:outlineLvl w:val="2"/>
        <w:rPr>
          <w:rFonts w:eastAsia="仿宋"/>
          <w:b/>
          <w:sz w:val="32"/>
          <w:szCs w:val="32"/>
        </w:rPr>
      </w:pPr>
      <w:r>
        <w:rPr>
          <w:rFonts w:eastAsia="仿宋"/>
          <w:b/>
          <w:sz w:val="32"/>
          <w:szCs w:val="32"/>
        </w:rPr>
        <w:t>预算绩效管理情况</w:t>
      </w:r>
    </w:p>
    <w:p>
      <w:pPr>
        <w:spacing w:line="600" w:lineRule="exact"/>
        <w:ind w:firstLine="640" w:firstLineChars="200"/>
        <w:rPr>
          <w:rFonts w:eastAsia="仿宋_GB2312"/>
          <w:color w:val="000000"/>
          <w:sz w:val="32"/>
          <w:szCs w:val="32"/>
        </w:rPr>
      </w:pPr>
      <w:r>
        <w:rPr>
          <w:rFonts w:eastAsia="仿宋_GB2312"/>
          <w:color w:val="000000"/>
          <w:sz w:val="32"/>
          <w:szCs w:val="32"/>
        </w:rPr>
        <w:t>根据预算绩效管理要求，本单位在2022年度预算编制阶段，组织对“妇女两癌筛查项目”“免费婚前医学检查项目”“免费孕前优生健康检查项目”“免费补服叶酸</w:t>
      </w:r>
      <w:r>
        <w:rPr>
          <w:rFonts w:hint="eastAsia" w:eastAsia="仿宋_GB2312"/>
          <w:color w:val="000000"/>
          <w:sz w:val="32"/>
          <w:szCs w:val="32"/>
          <w:lang w:eastAsia="zh-CN"/>
        </w:rPr>
        <w:t>项目</w:t>
      </w:r>
      <w:r>
        <w:rPr>
          <w:rFonts w:eastAsia="仿宋_GB2312"/>
          <w:color w:val="000000"/>
          <w:sz w:val="32"/>
          <w:szCs w:val="32"/>
        </w:rPr>
        <w:t>”“阻断艾滋病、梅毒和乙肝母婴传播项目”“母婴安全保障项目”“取消药品加成医疗服务价格补偿项目”共7个项目开展了预算事前绩效评估，对7个项目编制了绩效目标，预算执行过程中，选取7个项目开展绩效监控，组织对7个项目开展绩效自评，年终执行完毕后，对7个项目开展了绩效目标完成情况自评。同时，本部门对2022年部门整体开展绩效自评，绩效自评表详见第四部分附件。</w:t>
      </w:r>
    </w:p>
    <w:p>
      <w:pPr>
        <w:pStyle w:val="2"/>
        <w:spacing w:before="93"/>
        <w:ind w:firstLine="600" w:firstLineChars="200"/>
        <w:rPr>
          <w:rFonts w:ascii="Times New Roman"/>
          <w:highlight w:val="yellow"/>
        </w:rPr>
      </w:pPr>
    </w:p>
    <w:p>
      <w:pPr>
        <w:widowControl/>
        <w:jc w:val="left"/>
        <w:rPr>
          <w:rFonts w:eastAsia="仿宋_GB2312"/>
          <w:b/>
          <w:sz w:val="32"/>
          <w:szCs w:val="32"/>
        </w:rPr>
      </w:pPr>
      <w:r>
        <w:rPr>
          <w:rFonts w:eastAsia="仿宋_GB2312"/>
          <w:b/>
          <w:sz w:val="32"/>
          <w:szCs w:val="32"/>
        </w:rPr>
        <w:br w:type="page"/>
      </w:r>
    </w:p>
    <w:p>
      <w:pPr>
        <w:numPr>
          <w:ilvl w:val="0"/>
          <w:numId w:val="6"/>
        </w:numPr>
        <w:spacing w:line="600" w:lineRule="exact"/>
        <w:ind w:firstLine="660" w:firstLineChars="150"/>
        <w:jc w:val="center"/>
        <w:outlineLvl w:val="0"/>
        <w:rPr>
          <w:rStyle w:val="12"/>
          <w:rFonts w:eastAsia="黑体"/>
          <w:b w:val="0"/>
        </w:rPr>
      </w:pPr>
      <w:bookmarkStart w:id="49" w:name="_Toc15396613"/>
      <w:bookmarkStart w:id="50" w:name="_Toc15377225"/>
      <w:r>
        <w:rPr>
          <w:rFonts w:eastAsia="黑体"/>
          <w:sz w:val="44"/>
          <w:szCs w:val="44"/>
        </w:rPr>
        <w:t>名</w:t>
      </w:r>
      <w:r>
        <w:rPr>
          <w:rStyle w:val="12"/>
          <w:rFonts w:eastAsia="黑体"/>
        </w:rPr>
        <w:t>词解释</w:t>
      </w:r>
      <w:bookmarkEnd w:id="49"/>
      <w:bookmarkEnd w:id="50"/>
    </w:p>
    <w:p>
      <w:pPr>
        <w:spacing w:line="600" w:lineRule="exact"/>
        <w:jc w:val="left"/>
        <w:rPr>
          <w:b/>
          <w:sz w:val="44"/>
          <w:szCs w:val="44"/>
        </w:rPr>
      </w:pPr>
    </w:p>
    <w:p>
      <w:pPr>
        <w:pStyle w:val="1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1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2.年初结转和结余：指以前年度尚未完成、结转到本年按有关规定继续使用的资金。 </w:t>
      </w:r>
    </w:p>
    <w:p>
      <w:pPr>
        <w:ind w:firstLine="640" w:firstLineChars="200"/>
        <w:rPr>
          <w:rFonts w:eastAsia="仿宋_GB2312"/>
          <w:color w:val="000000"/>
          <w:sz w:val="32"/>
          <w:szCs w:val="32"/>
        </w:rPr>
      </w:pPr>
      <w:r>
        <w:rPr>
          <w:rFonts w:eastAsia="仿宋_GB2312"/>
          <w:sz w:val="32"/>
          <w:szCs w:val="32"/>
        </w:rPr>
        <w:t>3.社会保障和就业</w:t>
      </w:r>
      <w:r>
        <w:rPr>
          <w:rFonts w:eastAsia="仿宋_GB2312"/>
          <w:color w:val="000000"/>
          <w:sz w:val="32"/>
          <w:szCs w:val="32"/>
        </w:rPr>
        <w:t>（类）</w:t>
      </w:r>
      <w:r>
        <w:rPr>
          <w:rFonts w:eastAsia="仿宋_GB2312"/>
          <w:sz w:val="32"/>
          <w:szCs w:val="32"/>
        </w:rPr>
        <w:t>行政事业单位养老支出（款）机关事业单位基本养老保险缴费支出（项）：</w:t>
      </w:r>
      <w:r>
        <w:rPr>
          <w:rFonts w:eastAsia="仿宋_GB2312"/>
          <w:color w:val="000000"/>
          <w:sz w:val="32"/>
          <w:szCs w:val="32"/>
        </w:rPr>
        <w:t>机关事业人员基本养老保险。</w:t>
      </w:r>
    </w:p>
    <w:p>
      <w:pPr>
        <w:ind w:firstLine="643" w:firstLineChars="200"/>
        <w:rPr>
          <w:rStyle w:val="10"/>
          <w:rFonts w:eastAsia="仿宋_GB2312"/>
          <w:b w:val="0"/>
          <w:color w:val="000000"/>
          <w:sz w:val="32"/>
          <w:szCs w:val="32"/>
        </w:rPr>
      </w:pPr>
      <w:r>
        <w:rPr>
          <w:rStyle w:val="10"/>
          <w:rFonts w:eastAsia="仿宋_GB2312"/>
          <w:color w:val="000000"/>
          <w:sz w:val="32"/>
          <w:szCs w:val="32"/>
        </w:rPr>
        <w:t>4.</w:t>
      </w:r>
      <w:r>
        <w:rPr>
          <w:rFonts w:eastAsia="仿宋_GB2312"/>
          <w:sz w:val="32"/>
          <w:szCs w:val="32"/>
        </w:rPr>
        <w:t>卫生健康支出（类）公共卫生（款）妇幼保健机构（项）：</w:t>
      </w:r>
      <w:r>
        <w:rPr>
          <w:rFonts w:hint="eastAsia" w:eastAsia="仿宋_GB2312"/>
          <w:sz w:val="32"/>
          <w:szCs w:val="32"/>
          <w:lang w:eastAsia="zh-CN"/>
        </w:rPr>
        <w:t>反映卫生</w:t>
      </w:r>
      <w:r>
        <w:rPr>
          <w:rStyle w:val="10"/>
          <w:rFonts w:eastAsia="仿宋_GB2312"/>
          <w:color w:val="000000"/>
          <w:sz w:val="32"/>
          <w:szCs w:val="32"/>
        </w:rPr>
        <w:t>和计划生育部门所属妇幼保健机构支出。</w:t>
      </w:r>
    </w:p>
    <w:p>
      <w:pPr>
        <w:pStyle w:val="2"/>
        <w:spacing w:before="93"/>
        <w:rPr>
          <w:rFonts w:ascii="Times New Roman"/>
          <w:color w:val="000000"/>
          <w:kern w:val="2"/>
          <w:sz w:val="32"/>
          <w:szCs w:val="32"/>
        </w:rPr>
      </w:pPr>
      <w:r>
        <w:rPr>
          <w:rStyle w:val="10"/>
          <w:rFonts w:ascii="Times New Roman"/>
          <w:color w:val="000000"/>
          <w:sz w:val="32"/>
          <w:szCs w:val="32"/>
        </w:rPr>
        <w:t xml:space="preserve">    5.</w:t>
      </w:r>
      <w:r>
        <w:rPr>
          <w:rFonts w:ascii="Times New Roman"/>
          <w:kern w:val="2"/>
          <w:sz w:val="32"/>
          <w:szCs w:val="32"/>
        </w:rPr>
        <w:t>卫生健康支出（类）公共卫生（款）基本公共卫生服务</w:t>
      </w:r>
      <w:r>
        <w:rPr>
          <w:rFonts w:hint="eastAsia" w:ascii="Times New Roman"/>
          <w:kern w:val="2"/>
          <w:sz w:val="32"/>
          <w:szCs w:val="32"/>
          <w:lang w:eastAsia="zh-CN"/>
        </w:rPr>
        <w:t>（</w:t>
      </w:r>
      <w:r>
        <w:rPr>
          <w:rFonts w:ascii="Times New Roman"/>
          <w:kern w:val="2"/>
          <w:sz w:val="32"/>
          <w:szCs w:val="32"/>
        </w:rPr>
        <w:t>项</w:t>
      </w:r>
      <w:r>
        <w:rPr>
          <w:rFonts w:hint="eastAsia" w:ascii="Times New Roman"/>
          <w:kern w:val="2"/>
          <w:sz w:val="32"/>
          <w:szCs w:val="32"/>
          <w:lang w:eastAsia="zh-CN"/>
        </w:rPr>
        <w:t>）</w:t>
      </w:r>
      <w:r>
        <w:rPr>
          <w:rFonts w:ascii="Times New Roman"/>
          <w:kern w:val="2"/>
          <w:sz w:val="32"/>
          <w:szCs w:val="32"/>
        </w:rPr>
        <w:t>：</w:t>
      </w:r>
      <w:r>
        <w:rPr>
          <w:rFonts w:ascii="Times New Roman"/>
          <w:color w:val="000000"/>
          <w:kern w:val="2"/>
          <w:sz w:val="32"/>
          <w:szCs w:val="32"/>
        </w:rPr>
        <w:t>指各公共卫生项目</w:t>
      </w:r>
      <w:r>
        <w:rPr>
          <w:rFonts w:ascii="Times New Roman"/>
          <w:kern w:val="2"/>
          <w:sz w:val="32"/>
          <w:szCs w:val="32"/>
        </w:rPr>
        <w:t>所需的各项检验检测费</w:t>
      </w:r>
      <w:r>
        <w:rPr>
          <w:rFonts w:ascii="Times New Roman"/>
          <w:color w:val="000000"/>
          <w:kern w:val="2"/>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6.</w:t>
      </w:r>
      <w:r>
        <w:rPr>
          <w:rFonts w:eastAsia="仿宋_GB2312"/>
          <w:sz w:val="32"/>
          <w:szCs w:val="32"/>
        </w:rPr>
        <w:t>卫生健康支出（类）公共卫生（款）重大公共卫生服务</w:t>
      </w:r>
      <w:r>
        <w:rPr>
          <w:rFonts w:hint="eastAsia" w:eastAsia="仿宋_GB2312"/>
          <w:sz w:val="32"/>
          <w:szCs w:val="32"/>
          <w:lang w:eastAsia="zh-CN"/>
        </w:rPr>
        <w:t>（</w:t>
      </w:r>
      <w:r>
        <w:rPr>
          <w:rFonts w:eastAsia="仿宋_GB2312"/>
          <w:sz w:val="32"/>
          <w:szCs w:val="32"/>
        </w:rPr>
        <w:t>项</w:t>
      </w:r>
      <w:r>
        <w:rPr>
          <w:rFonts w:hint="eastAsia" w:eastAsia="仿宋_GB2312"/>
          <w:sz w:val="32"/>
          <w:szCs w:val="32"/>
          <w:lang w:eastAsia="zh-CN"/>
        </w:rPr>
        <w:t>）</w:t>
      </w:r>
      <w:r>
        <w:rPr>
          <w:rFonts w:eastAsia="仿宋_GB2312"/>
          <w:sz w:val="32"/>
          <w:szCs w:val="32"/>
        </w:rPr>
        <w:t>：</w:t>
      </w:r>
      <w:r>
        <w:rPr>
          <w:rFonts w:eastAsia="仿宋_GB2312"/>
          <w:color w:val="000000"/>
          <w:sz w:val="32"/>
          <w:szCs w:val="32"/>
        </w:rPr>
        <w:t>重大疾病预防控制等重大公共卫生服务项目支出和卫生人员培训。</w:t>
      </w:r>
    </w:p>
    <w:p>
      <w:pPr>
        <w:pStyle w:val="2"/>
        <w:spacing w:before="93"/>
        <w:ind w:firstLine="640" w:firstLineChars="200"/>
        <w:rPr>
          <w:rFonts w:ascii="Times New Roman"/>
          <w:color w:val="000000"/>
          <w:kern w:val="2"/>
          <w:sz w:val="32"/>
          <w:szCs w:val="32"/>
        </w:rPr>
      </w:pPr>
      <w:r>
        <w:rPr>
          <w:rFonts w:ascii="Times New Roman"/>
          <w:color w:val="000000"/>
          <w:kern w:val="2"/>
          <w:sz w:val="32"/>
          <w:szCs w:val="32"/>
        </w:rPr>
        <w:t>7.</w:t>
      </w:r>
      <w:r>
        <w:rPr>
          <w:rFonts w:ascii="Times New Roman"/>
          <w:kern w:val="2"/>
          <w:sz w:val="32"/>
          <w:szCs w:val="32"/>
        </w:rPr>
        <w:t>卫生健康支出（类）公共卫生（款）其他公共卫生支出</w:t>
      </w:r>
      <w:r>
        <w:rPr>
          <w:rFonts w:hint="eastAsia" w:ascii="Times New Roman"/>
          <w:kern w:val="2"/>
          <w:sz w:val="32"/>
          <w:szCs w:val="32"/>
          <w:lang w:eastAsia="zh-CN"/>
        </w:rPr>
        <w:t>（</w:t>
      </w:r>
      <w:r>
        <w:rPr>
          <w:rFonts w:ascii="Times New Roman"/>
          <w:kern w:val="2"/>
          <w:sz w:val="32"/>
          <w:szCs w:val="32"/>
        </w:rPr>
        <w:t>项</w:t>
      </w:r>
      <w:r>
        <w:rPr>
          <w:rFonts w:hint="eastAsia" w:ascii="Times New Roman"/>
          <w:kern w:val="2"/>
          <w:sz w:val="32"/>
          <w:szCs w:val="32"/>
          <w:lang w:eastAsia="zh-CN"/>
        </w:rPr>
        <w:t>）</w:t>
      </w:r>
      <w:r>
        <w:rPr>
          <w:rFonts w:ascii="Times New Roman"/>
          <w:kern w:val="2"/>
          <w:sz w:val="32"/>
          <w:szCs w:val="32"/>
        </w:rPr>
        <w:t>：</w:t>
      </w:r>
      <w:r>
        <w:rPr>
          <w:rFonts w:ascii="Times New Roman"/>
          <w:sz w:val="32"/>
          <w:szCs w:val="32"/>
        </w:rPr>
        <w:t>指各</w:t>
      </w:r>
      <w:r>
        <w:rPr>
          <w:rFonts w:ascii="Times New Roman"/>
          <w:color w:val="000000"/>
          <w:kern w:val="2"/>
          <w:sz w:val="32"/>
          <w:szCs w:val="32"/>
        </w:rPr>
        <w:t>公共卫生项目</w:t>
      </w:r>
      <w:r>
        <w:rPr>
          <w:rFonts w:ascii="Times New Roman"/>
          <w:kern w:val="2"/>
          <w:sz w:val="32"/>
          <w:szCs w:val="32"/>
        </w:rPr>
        <w:t>所需的</w:t>
      </w:r>
      <w:r>
        <w:rPr>
          <w:rFonts w:ascii="Times New Roman"/>
          <w:sz w:val="32"/>
          <w:szCs w:val="32"/>
        </w:rPr>
        <w:t>临聘人员经费及社会保险缴费</w:t>
      </w:r>
      <w:r>
        <w:rPr>
          <w:rFonts w:ascii="Times New Roman"/>
          <w:color w:val="000000"/>
          <w:kern w:val="2"/>
          <w:sz w:val="32"/>
          <w:szCs w:val="32"/>
        </w:rPr>
        <w:t>。</w:t>
      </w:r>
    </w:p>
    <w:p>
      <w:pPr>
        <w:spacing w:line="600" w:lineRule="exact"/>
        <w:ind w:firstLine="643" w:firstLineChars="200"/>
        <w:rPr>
          <w:rFonts w:eastAsia="仿宋_GB2312"/>
          <w:sz w:val="32"/>
          <w:szCs w:val="32"/>
        </w:rPr>
      </w:pPr>
      <w:r>
        <w:rPr>
          <w:rStyle w:val="10"/>
          <w:rFonts w:eastAsia="仿宋_GB2312"/>
          <w:bCs/>
          <w:sz w:val="32"/>
          <w:szCs w:val="32"/>
        </w:rPr>
        <w:t>8.</w:t>
      </w:r>
      <w:r>
        <w:rPr>
          <w:rFonts w:eastAsia="仿宋_GB2312"/>
          <w:sz w:val="32"/>
          <w:szCs w:val="32"/>
        </w:rPr>
        <w:t>卫生健康支出（类）计划生育事务（款）计划生育服务</w:t>
      </w:r>
      <w:r>
        <w:rPr>
          <w:rFonts w:hint="eastAsia" w:eastAsia="仿宋_GB2312"/>
          <w:sz w:val="32"/>
          <w:szCs w:val="32"/>
          <w:lang w:eastAsia="zh-CN"/>
        </w:rPr>
        <w:t>（</w:t>
      </w:r>
      <w:r>
        <w:rPr>
          <w:rFonts w:eastAsia="仿宋_GB2312"/>
          <w:sz w:val="32"/>
          <w:szCs w:val="32"/>
        </w:rPr>
        <w:t>项</w:t>
      </w:r>
      <w:r>
        <w:rPr>
          <w:rFonts w:hint="eastAsia" w:eastAsia="仿宋_GB2312"/>
          <w:sz w:val="32"/>
          <w:szCs w:val="32"/>
          <w:lang w:eastAsia="zh-CN"/>
        </w:rPr>
        <w:t>）</w:t>
      </w:r>
      <w:r>
        <w:rPr>
          <w:rFonts w:eastAsia="仿宋_GB2312"/>
          <w:sz w:val="32"/>
          <w:szCs w:val="32"/>
        </w:rPr>
        <w:t>：指孕前优生项目所需的各项检验检测费。</w:t>
      </w:r>
    </w:p>
    <w:p>
      <w:pPr>
        <w:spacing w:line="600" w:lineRule="exact"/>
        <w:ind w:firstLine="643" w:firstLineChars="200"/>
        <w:rPr>
          <w:rStyle w:val="10"/>
          <w:rFonts w:eastAsia="仿宋_GB2312"/>
          <w:b w:val="0"/>
          <w:bCs/>
          <w:color w:val="000000"/>
          <w:sz w:val="32"/>
          <w:szCs w:val="32"/>
        </w:rPr>
      </w:pPr>
      <w:r>
        <w:rPr>
          <w:rStyle w:val="10"/>
          <w:rFonts w:eastAsia="仿宋_GB2312"/>
          <w:bCs/>
          <w:color w:val="000000"/>
          <w:sz w:val="32"/>
          <w:szCs w:val="32"/>
        </w:rPr>
        <w:t>9.</w:t>
      </w:r>
      <w:r>
        <w:rPr>
          <w:rFonts w:eastAsia="仿宋_GB2312"/>
          <w:sz w:val="32"/>
          <w:szCs w:val="32"/>
        </w:rPr>
        <w:t>卫生健康支出（类）行政事业单位医疗（款）事业单位医疗</w:t>
      </w:r>
      <w:r>
        <w:rPr>
          <w:rFonts w:hint="eastAsia" w:eastAsia="仿宋_GB2312"/>
          <w:sz w:val="32"/>
          <w:szCs w:val="32"/>
          <w:lang w:eastAsia="zh-CN"/>
        </w:rPr>
        <w:t>（</w:t>
      </w:r>
      <w:r>
        <w:rPr>
          <w:rFonts w:eastAsia="仿宋_GB2312"/>
          <w:sz w:val="32"/>
          <w:szCs w:val="32"/>
        </w:rPr>
        <w:t>项</w:t>
      </w:r>
      <w:r>
        <w:rPr>
          <w:rFonts w:hint="eastAsia" w:eastAsia="仿宋_GB2312"/>
          <w:sz w:val="32"/>
          <w:szCs w:val="32"/>
          <w:lang w:eastAsia="zh-CN"/>
        </w:rPr>
        <w:t>）</w:t>
      </w:r>
      <w:r>
        <w:rPr>
          <w:rFonts w:eastAsia="仿宋_GB2312"/>
          <w:sz w:val="32"/>
          <w:szCs w:val="32"/>
        </w:rPr>
        <w:t>：</w:t>
      </w:r>
      <w:r>
        <w:rPr>
          <w:rStyle w:val="10"/>
          <w:rFonts w:eastAsia="仿宋_GB2312"/>
          <w:bCs/>
          <w:color w:val="000000"/>
          <w:sz w:val="32"/>
          <w:szCs w:val="32"/>
        </w:rPr>
        <w:t>用于缴纳单位医疗保险支出。</w:t>
      </w:r>
    </w:p>
    <w:p>
      <w:pPr>
        <w:pStyle w:val="2"/>
        <w:spacing w:before="93"/>
        <w:rPr>
          <w:rFonts w:ascii="Times New Roman"/>
          <w:sz w:val="32"/>
          <w:szCs w:val="32"/>
        </w:rPr>
      </w:pPr>
      <w:r>
        <w:rPr>
          <w:rStyle w:val="10"/>
          <w:rFonts w:ascii="Times New Roman"/>
          <w:bCs/>
          <w:color w:val="000000"/>
          <w:sz w:val="32"/>
          <w:szCs w:val="32"/>
        </w:rPr>
        <w:t xml:space="preserve">    10</w:t>
      </w:r>
      <w:r>
        <w:rPr>
          <w:rStyle w:val="10"/>
          <w:rFonts w:ascii="Times New Roman"/>
          <w:bCs/>
          <w:sz w:val="32"/>
          <w:szCs w:val="32"/>
        </w:rPr>
        <w:t>.</w:t>
      </w:r>
      <w:r>
        <w:rPr>
          <w:rFonts w:ascii="Times New Roman"/>
          <w:sz w:val="32"/>
          <w:szCs w:val="32"/>
        </w:rPr>
        <w:t>卫生健康支出（类）行政事业单位医疗（款）其他行政事业单位医疗支出</w:t>
      </w:r>
      <w:r>
        <w:rPr>
          <w:rFonts w:hint="eastAsia" w:ascii="Times New Roman"/>
          <w:sz w:val="32"/>
          <w:szCs w:val="32"/>
          <w:lang w:eastAsia="zh-CN"/>
        </w:rPr>
        <w:t>（</w:t>
      </w:r>
      <w:r>
        <w:rPr>
          <w:rFonts w:ascii="Times New Roman"/>
          <w:sz w:val="32"/>
          <w:szCs w:val="32"/>
        </w:rPr>
        <w:t>项</w:t>
      </w:r>
      <w:r>
        <w:rPr>
          <w:rFonts w:hint="eastAsia" w:ascii="Times New Roman"/>
          <w:sz w:val="32"/>
          <w:szCs w:val="32"/>
          <w:lang w:eastAsia="zh-CN"/>
        </w:rPr>
        <w:t>）</w:t>
      </w:r>
      <w:r>
        <w:rPr>
          <w:rFonts w:ascii="Times New Roman"/>
          <w:sz w:val="32"/>
          <w:szCs w:val="32"/>
        </w:rPr>
        <w:t>：指在职人员补充医疗保险缴费。</w:t>
      </w:r>
    </w:p>
    <w:p>
      <w:pPr>
        <w:spacing w:line="600" w:lineRule="exact"/>
        <w:ind w:firstLine="640" w:firstLineChars="200"/>
        <w:rPr>
          <w:rFonts w:eastAsia="仿宋_GB2312"/>
          <w:color w:val="000000"/>
          <w:sz w:val="32"/>
          <w:szCs w:val="32"/>
        </w:rPr>
      </w:pPr>
      <w:r>
        <w:rPr>
          <w:sz w:val="32"/>
          <w:szCs w:val="32"/>
        </w:rPr>
        <w:t>11</w:t>
      </w:r>
      <w:r>
        <w:rPr>
          <w:rFonts w:eastAsia="仿宋_GB2312"/>
          <w:sz w:val="32"/>
          <w:szCs w:val="32"/>
        </w:rPr>
        <w:t>.</w:t>
      </w:r>
      <w:r>
        <w:rPr>
          <w:rFonts w:eastAsia="仿宋_GB2312"/>
          <w:kern w:val="0"/>
          <w:sz w:val="32"/>
          <w:szCs w:val="32"/>
        </w:rPr>
        <w:t>住房保障支出（类）住房改革支出（款）住房公积金（项）</w:t>
      </w:r>
      <w:r>
        <w:rPr>
          <w:rFonts w:hint="eastAsia" w:eastAsia="仿宋_GB2312"/>
          <w:kern w:val="0"/>
          <w:sz w:val="32"/>
          <w:szCs w:val="32"/>
          <w:lang w:eastAsia="zh-CN"/>
        </w:rPr>
        <w:t>：</w:t>
      </w:r>
      <w:r>
        <w:rPr>
          <w:rFonts w:eastAsia="仿宋_GB2312"/>
          <w:color w:val="000000"/>
          <w:sz w:val="32"/>
          <w:szCs w:val="32"/>
        </w:rPr>
        <w:t>行政事业单位按人力资源和社会保障部、财政部规定的基本工资和津贴补贴以及规定</w:t>
      </w:r>
      <w:r>
        <w:rPr>
          <w:rFonts w:hint="eastAsia" w:eastAsia="仿宋_GB2312"/>
          <w:color w:val="000000"/>
          <w:sz w:val="32"/>
          <w:szCs w:val="32"/>
          <w:lang w:eastAsia="zh-CN"/>
        </w:rPr>
        <w:t>比例</w:t>
      </w:r>
      <w:r>
        <w:rPr>
          <w:rFonts w:eastAsia="仿宋_GB2312"/>
          <w:color w:val="000000"/>
          <w:sz w:val="32"/>
          <w:szCs w:val="32"/>
        </w:rPr>
        <w:t>为职工缴纳的住房公积金。</w:t>
      </w:r>
    </w:p>
    <w:p>
      <w:pPr>
        <w:pStyle w:val="2"/>
        <w:spacing w:before="93"/>
        <w:rPr>
          <w:rFonts w:ascii="Times New Roman"/>
          <w:sz w:val="32"/>
          <w:szCs w:val="32"/>
        </w:rPr>
      </w:pPr>
      <w:r>
        <w:rPr>
          <w:rFonts w:ascii="Times New Roman"/>
          <w:color w:val="000000"/>
          <w:sz w:val="32"/>
          <w:szCs w:val="32"/>
        </w:rPr>
        <w:t xml:space="preserve">    </w:t>
      </w:r>
      <w:r>
        <w:rPr>
          <w:rFonts w:ascii="Times New Roman"/>
          <w:sz w:val="32"/>
          <w:szCs w:val="32"/>
        </w:rPr>
        <w:t>12.基本支出：指为保障机构正常运转、完成日常工作任务而发生的人员支出和公用支出。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 xml:space="preserve">13.项目支出：指在基本支出之外为完成特定行政任务和事业发展目标所发生的支出。 </w:t>
      </w:r>
    </w:p>
    <w:p>
      <w:pPr>
        <w:pStyle w:val="1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14</w:t>
      </w:r>
      <w:r>
        <w:rPr>
          <w:rFonts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7"/>
        <w:spacing w:line="560" w:lineRule="exact"/>
        <w:ind w:firstLine="640" w:firstLineChars="200"/>
        <w:rPr>
          <w:rFonts w:ascii="Times New Roman" w:hAnsi="Times New Roman" w:eastAsia="仿宋_GB2312" w:cs="Times New Roman"/>
          <w:color w:val="auto"/>
          <w:sz w:val="32"/>
          <w:szCs w:val="32"/>
        </w:rPr>
      </w:pPr>
    </w:p>
    <w:p>
      <w:pPr>
        <w:ind w:firstLine="643" w:firstLineChars="200"/>
        <w:rPr>
          <w:rFonts w:eastAsia="仿宋"/>
          <w:b/>
          <w:sz w:val="32"/>
          <w:szCs w:val="32"/>
        </w:rPr>
      </w:pPr>
    </w:p>
    <w:p>
      <w:pPr>
        <w:spacing w:line="600" w:lineRule="exact"/>
        <w:jc w:val="center"/>
        <w:outlineLvl w:val="0"/>
        <w:rPr>
          <w:rStyle w:val="12"/>
          <w:rFonts w:eastAsia="黑体"/>
          <w:b w:val="0"/>
        </w:rPr>
      </w:pPr>
      <w:bookmarkStart w:id="51" w:name="_Toc15377226"/>
      <w:r>
        <w:rPr>
          <w:b/>
          <w:sz w:val="44"/>
          <w:szCs w:val="44"/>
        </w:rPr>
        <w:br w:type="page"/>
      </w:r>
      <w:bookmarkStart w:id="52" w:name="_Toc15396614"/>
      <w:r>
        <w:rPr>
          <w:rFonts w:eastAsia="黑体"/>
          <w:sz w:val="44"/>
          <w:szCs w:val="44"/>
        </w:rPr>
        <w:t>第</w:t>
      </w:r>
      <w:r>
        <w:rPr>
          <w:rStyle w:val="12"/>
          <w:rFonts w:eastAsia="黑体"/>
        </w:rPr>
        <w:t>四部分 附件</w:t>
      </w:r>
      <w:bookmarkEnd w:id="52"/>
    </w:p>
    <w:p>
      <w:pPr>
        <w:pStyle w:val="2"/>
        <w:spacing w:before="93"/>
        <w:ind w:firstLine="640" w:firstLineChars="200"/>
        <w:rPr>
          <w:rFonts w:ascii="Times New Roman"/>
          <w:sz w:val="32"/>
          <w:szCs w:val="32"/>
        </w:rPr>
      </w:pPr>
      <w:bookmarkStart w:id="53" w:name="_Toc15396618"/>
    </w:p>
    <w:p>
      <w:pPr>
        <w:pStyle w:val="2"/>
        <w:spacing w:before="93"/>
        <w:ind w:firstLine="640" w:firstLineChars="200"/>
        <w:rPr>
          <w:rFonts w:ascii="Times New Roman"/>
          <w:sz w:val="32"/>
          <w:szCs w:val="32"/>
        </w:rPr>
      </w:pPr>
      <w:r>
        <w:rPr>
          <w:rFonts w:ascii="Times New Roman"/>
          <w:sz w:val="32"/>
          <w:szCs w:val="32"/>
        </w:rPr>
        <w:t>部门预算项目支出绩效自评表</w:t>
      </w:r>
      <w:r>
        <w:rPr>
          <w:rFonts w:hint="eastAsia" w:ascii="Times New Roman"/>
          <w:sz w:val="32"/>
          <w:szCs w:val="32"/>
        </w:rPr>
        <w:t>（2</w:t>
      </w:r>
      <w:r>
        <w:rPr>
          <w:rFonts w:ascii="Times New Roman"/>
          <w:sz w:val="32"/>
          <w:szCs w:val="32"/>
        </w:rPr>
        <w:t>022年度</w:t>
      </w:r>
      <w:r>
        <w:rPr>
          <w:rFonts w:hint="eastAsia" w:ascii="Times New Roman"/>
          <w:sz w:val="32"/>
          <w:szCs w:val="32"/>
        </w:rPr>
        <w:t>）</w:t>
      </w:r>
      <w:r>
        <w:rPr>
          <w:rFonts w:ascii="Times New Roman"/>
          <w:sz w:val="32"/>
          <w:szCs w:val="32"/>
        </w:rPr>
        <w:t>详见附件。</w:t>
      </w: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仿宋"/>
        </w:rPr>
      </w:pPr>
      <w:r>
        <w:rPr>
          <w:rFonts w:eastAsia="黑体"/>
          <w:sz w:val="44"/>
          <w:szCs w:val="44"/>
        </w:rPr>
        <w:t>第</w:t>
      </w:r>
      <w:r>
        <w:rPr>
          <w:rStyle w:val="12"/>
          <w:rFonts w:eastAsia="黑体"/>
        </w:rPr>
        <w:t>五部分 附表</w:t>
      </w:r>
      <w:bookmarkEnd w:id="51"/>
      <w:bookmarkEnd w:id="53"/>
      <w:bookmarkStart w:id="54" w:name="_Toc15396619"/>
    </w:p>
    <w:p>
      <w:pPr>
        <w:pStyle w:val="4"/>
        <w:rPr>
          <w:rFonts w:ascii="Times New Roman" w:hAnsi="Times New Roman" w:eastAsia="仿宋" w:cs="Times New Roman"/>
        </w:rPr>
      </w:pPr>
      <w:r>
        <w:rPr>
          <w:rFonts w:ascii="Times New Roman" w:hAnsi="Times New Roman" w:eastAsia="仿宋" w:cs="Times New Roman"/>
          <w:b w:val="0"/>
        </w:rPr>
        <w:t>一、收</w:t>
      </w:r>
      <w:r>
        <w:rPr>
          <w:rStyle w:val="13"/>
          <w:rFonts w:ascii="Times New Roman" w:hAnsi="Times New Roman" w:eastAsia="仿宋" w:cs="Times New Roman"/>
          <w:b w:val="0"/>
          <w:bCs w:val="0"/>
        </w:rPr>
        <w:t>入支出决算总表</w:t>
      </w:r>
      <w:bookmarkEnd w:id="54"/>
    </w:p>
    <w:p>
      <w:pPr>
        <w:pStyle w:val="4"/>
        <w:rPr>
          <w:rFonts w:ascii="Times New Roman" w:hAnsi="Times New Roman" w:eastAsia="仿宋" w:cs="Times New Roman"/>
        </w:rPr>
      </w:pPr>
      <w:bookmarkStart w:id="55" w:name="_Toc15396620"/>
      <w:r>
        <w:rPr>
          <w:rFonts w:ascii="Times New Roman" w:hAnsi="Times New Roman" w:eastAsia="仿宋" w:cs="Times New Roman"/>
          <w:b w:val="0"/>
        </w:rPr>
        <w:t>二、收</w:t>
      </w:r>
      <w:r>
        <w:rPr>
          <w:rStyle w:val="13"/>
          <w:rFonts w:ascii="Times New Roman" w:hAnsi="Times New Roman" w:eastAsia="仿宋" w:cs="Times New Roman"/>
          <w:b w:val="0"/>
          <w:bCs w:val="0"/>
        </w:rPr>
        <w:t>入决算表</w:t>
      </w:r>
      <w:bookmarkEnd w:id="55"/>
    </w:p>
    <w:p>
      <w:pPr>
        <w:pStyle w:val="4"/>
        <w:rPr>
          <w:rFonts w:ascii="Times New Roman" w:hAnsi="Times New Roman" w:eastAsia="仿宋" w:cs="Times New Roman"/>
        </w:rPr>
      </w:pPr>
      <w:bookmarkStart w:id="56" w:name="_Toc15396621"/>
      <w:r>
        <w:rPr>
          <w:rStyle w:val="13"/>
          <w:rFonts w:ascii="Times New Roman" w:hAnsi="Times New Roman" w:eastAsia="仿宋" w:cs="Times New Roman"/>
          <w:b w:val="0"/>
          <w:bCs w:val="0"/>
        </w:rPr>
        <w:t>三、</w:t>
      </w:r>
      <w:r>
        <w:rPr>
          <w:rFonts w:ascii="Times New Roman" w:hAnsi="Times New Roman" w:eastAsia="仿宋" w:cs="Times New Roman"/>
          <w:b w:val="0"/>
        </w:rPr>
        <w:t>支</w:t>
      </w:r>
      <w:r>
        <w:rPr>
          <w:rStyle w:val="13"/>
          <w:rFonts w:ascii="Times New Roman" w:hAnsi="Times New Roman" w:eastAsia="仿宋" w:cs="Times New Roman"/>
          <w:b w:val="0"/>
          <w:bCs w:val="0"/>
        </w:rPr>
        <w:t>出决算表</w:t>
      </w:r>
      <w:bookmarkEnd w:id="56"/>
    </w:p>
    <w:p>
      <w:pPr>
        <w:pStyle w:val="4"/>
        <w:rPr>
          <w:rFonts w:ascii="Times New Roman" w:hAnsi="Times New Roman" w:eastAsia="仿宋" w:cs="Times New Roman"/>
          <w:b w:val="0"/>
        </w:rPr>
      </w:pPr>
      <w:bookmarkStart w:id="57" w:name="_Toc15396622"/>
      <w:r>
        <w:rPr>
          <w:rStyle w:val="13"/>
          <w:rFonts w:ascii="Times New Roman" w:hAnsi="Times New Roman" w:eastAsia="仿宋" w:cs="Times New Roman"/>
          <w:b w:val="0"/>
          <w:bCs w:val="0"/>
        </w:rPr>
        <w:t>四、</w:t>
      </w:r>
      <w:r>
        <w:rPr>
          <w:rFonts w:ascii="Times New Roman" w:hAnsi="Times New Roman" w:eastAsia="仿宋" w:cs="Times New Roman"/>
          <w:b w:val="0"/>
        </w:rPr>
        <w:t>财</w:t>
      </w:r>
      <w:r>
        <w:rPr>
          <w:rStyle w:val="13"/>
          <w:rFonts w:ascii="Times New Roman" w:hAnsi="Times New Roman" w:eastAsia="仿宋" w:cs="Times New Roman"/>
          <w:b w:val="0"/>
          <w:bCs w:val="0"/>
        </w:rPr>
        <w:t>政拨款收入支出决算总表</w:t>
      </w:r>
      <w:bookmarkEnd w:id="57"/>
    </w:p>
    <w:p>
      <w:pPr>
        <w:pStyle w:val="4"/>
        <w:rPr>
          <w:rStyle w:val="13"/>
          <w:rFonts w:ascii="Times New Roman" w:hAnsi="Times New Roman" w:eastAsia="仿宋" w:cs="Times New Roman"/>
          <w:b w:val="0"/>
          <w:bCs w:val="0"/>
        </w:rPr>
      </w:pPr>
      <w:bookmarkStart w:id="58" w:name="_Toc15396623"/>
      <w:r>
        <w:rPr>
          <w:rStyle w:val="13"/>
          <w:rFonts w:ascii="Times New Roman" w:hAnsi="Times New Roman" w:eastAsia="仿宋" w:cs="Times New Roman"/>
          <w:b w:val="0"/>
          <w:bCs w:val="0"/>
        </w:rPr>
        <w:t>五、</w:t>
      </w:r>
      <w:r>
        <w:rPr>
          <w:rFonts w:ascii="Times New Roman" w:hAnsi="Times New Roman" w:eastAsia="仿宋" w:cs="Times New Roman"/>
          <w:b w:val="0"/>
        </w:rPr>
        <w:t>财</w:t>
      </w:r>
      <w:r>
        <w:rPr>
          <w:rStyle w:val="13"/>
          <w:rFonts w:ascii="Times New Roman" w:hAnsi="Times New Roman" w:eastAsia="仿宋" w:cs="Times New Roman"/>
          <w:b w:val="0"/>
          <w:bCs w:val="0"/>
        </w:rPr>
        <w:t>政拨款支出决算明细表</w:t>
      </w:r>
      <w:bookmarkEnd w:id="58"/>
      <w:bookmarkStart w:id="59" w:name="_Toc15396624"/>
    </w:p>
    <w:p>
      <w:pPr>
        <w:pStyle w:val="4"/>
        <w:rPr>
          <w:rFonts w:ascii="Times New Roman" w:hAnsi="Times New Roman" w:eastAsia="仿宋" w:cs="Times New Roman"/>
        </w:rPr>
      </w:pPr>
      <w:r>
        <w:rPr>
          <w:rStyle w:val="13"/>
          <w:rFonts w:ascii="Times New Roman" w:hAnsi="Times New Roman" w:eastAsia="仿宋" w:cs="Times New Roman"/>
          <w:b w:val="0"/>
          <w:bCs w:val="0"/>
        </w:rPr>
        <w:t>六、</w:t>
      </w:r>
      <w:r>
        <w:rPr>
          <w:rFonts w:ascii="Times New Roman" w:hAnsi="Times New Roman" w:eastAsia="仿宋" w:cs="Times New Roman"/>
          <w:b w:val="0"/>
        </w:rPr>
        <w:t>一</w:t>
      </w:r>
      <w:r>
        <w:rPr>
          <w:rStyle w:val="13"/>
          <w:rFonts w:ascii="Times New Roman" w:hAnsi="Times New Roman" w:eastAsia="仿宋" w:cs="Times New Roman"/>
          <w:b w:val="0"/>
          <w:bCs w:val="0"/>
        </w:rPr>
        <w:t>般公共预算财政拨款支出决算表</w:t>
      </w:r>
      <w:bookmarkEnd w:id="59"/>
    </w:p>
    <w:p>
      <w:pPr>
        <w:pStyle w:val="4"/>
        <w:rPr>
          <w:rFonts w:ascii="Times New Roman" w:hAnsi="Times New Roman" w:eastAsia="仿宋" w:cs="Times New Roman"/>
        </w:rPr>
      </w:pPr>
      <w:bookmarkStart w:id="60" w:name="_Toc15396625"/>
      <w:r>
        <w:rPr>
          <w:rStyle w:val="13"/>
          <w:rFonts w:ascii="Times New Roman" w:hAnsi="Times New Roman" w:eastAsia="仿宋" w:cs="Times New Roman"/>
          <w:b w:val="0"/>
          <w:bCs w:val="0"/>
        </w:rPr>
        <w:t>七、</w:t>
      </w:r>
      <w:r>
        <w:rPr>
          <w:rFonts w:ascii="Times New Roman" w:hAnsi="Times New Roman" w:eastAsia="仿宋" w:cs="Times New Roman"/>
          <w:b w:val="0"/>
        </w:rPr>
        <w:t>一</w:t>
      </w:r>
      <w:r>
        <w:rPr>
          <w:rStyle w:val="13"/>
          <w:rFonts w:ascii="Times New Roman" w:hAnsi="Times New Roman" w:eastAsia="仿宋" w:cs="Times New Roman"/>
          <w:b w:val="0"/>
          <w:bCs w:val="0"/>
        </w:rPr>
        <w:t>般公共预算财政拨款支出决算明细表</w:t>
      </w:r>
      <w:bookmarkEnd w:id="60"/>
    </w:p>
    <w:p>
      <w:pPr>
        <w:pStyle w:val="4"/>
        <w:rPr>
          <w:rFonts w:ascii="Times New Roman" w:hAnsi="Times New Roman" w:eastAsia="仿宋" w:cs="Times New Roman"/>
        </w:rPr>
      </w:pPr>
      <w:bookmarkStart w:id="61" w:name="_Toc15396626"/>
      <w:r>
        <w:rPr>
          <w:rStyle w:val="13"/>
          <w:rFonts w:ascii="Times New Roman" w:hAnsi="Times New Roman" w:eastAsia="仿宋" w:cs="Times New Roman"/>
          <w:b w:val="0"/>
          <w:bCs w:val="0"/>
        </w:rPr>
        <w:t>八、</w:t>
      </w:r>
      <w:r>
        <w:rPr>
          <w:rFonts w:ascii="Times New Roman" w:hAnsi="Times New Roman" w:eastAsia="仿宋" w:cs="Times New Roman"/>
          <w:b w:val="0"/>
        </w:rPr>
        <w:t>一</w:t>
      </w:r>
      <w:r>
        <w:rPr>
          <w:rStyle w:val="13"/>
          <w:rFonts w:ascii="Times New Roman" w:hAnsi="Times New Roman" w:eastAsia="仿宋" w:cs="Times New Roman"/>
          <w:b w:val="0"/>
          <w:bCs w:val="0"/>
        </w:rPr>
        <w:t>般公共预算财政拨款基本支出决算明细表</w:t>
      </w:r>
      <w:bookmarkEnd w:id="61"/>
    </w:p>
    <w:p>
      <w:pPr>
        <w:pStyle w:val="4"/>
        <w:rPr>
          <w:rFonts w:ascii="Times New Roman" w:hAnsi="Times New Roman" w:eastAsia="仿宋" w:cs="Times New Roman"/>
        </w:rPr>
      </w:pPr>
      <w:bookmarkStart w:id="62" w:name="_Toc15396627"/>
      <w:r>
        <w:rPr>
          <w:rStyle w:val="13"/>
          <w:rFonts w:ascii="Times New Roman" w:hAnsi="Times New Roman" w:eastAsia="仿宋" w:cs="Times New Roman"/>
          <w:b w:val="0"/>
          <w:bCs w:val="0"/>
        </w:rPr>
        <w:t>九、</w:t>
      </w:r>
      <w:r>
        <w:rPr>
          <w:rFonts w:ascii="Times New Roman" w:hAnsi="Times New Roman" w:eastAsia="仿宋" w:cs="Times New Roman"/>
          <w:b w:val="0"/>
        </w:rPr>
        <w:t>一</w:t>
      </w:r>
      <w:r>
        <w:rPr>
          <w:rStyle w:val="13"/>
          <w:rFonts w:ascii="Times New Roman" w:hAnsi="Times New Roman" w:eastAsia="仿宋" w:cs="Times New Roman"/>
          <w:b w:val="0"/>
          <w:bCs w:val="0"/>
        </w:rPr>
        <w:t>般公共预算财政拨款项目支出决算表</w:t>
      </w:r>
      <w:bookmarkEnd w:id="62"/>
    </w:p>
    <w:p>
      <w:pPr>
        <w:pStyle w:val="4"/>
        <w:rPr>
          <w:rFonts w:ascii="Times New Roman" w:hAnsi="Times New Roman" w:eastAsia="仿宋" w:cs="Times New Roman"/>
        </w:rPr>
      </w:pPr>
      <w:bookmarkStart w:id="63" w:name="_Toc15396628"/>
      <w:r>
        <w:rPr>
          <w:rStyle w:val="13"/>
          <w:rFonts w:ascii="Times New Roman" w:hAnsi="Times New Roman" w:eastAsia="仿宋" w:cs="Times New Roman"/>
          <w:b w:val="0"/>
          <w:bCs w:val="0"/>
        </w:rPr>
        <w:t>十、</w:t>
      </w:r>
      <w:bookmarkEnd w:id="63"/>
      <w:r>
        <w:rPr>
          <w:rFonts w:ascii="Times New Roman" w:hAnsi="Times New Roman" w:eastAsia="仿宋" w:cs="Times New Roman"/>
          <w:b w:val="0"/>
        </w:rPr>
        <w:t>政</w:t>
      </w:r>
      <w:r>
        <w:rPr>
          <w:rStyle w:val="13"/>
          <w:rFonts w:ascii="Times New Roman" w:hAnsi="Times New Roman" w:eastAsia="仿宋" w:cs="Times New Roman"/>
          <w:b w:val="0"/>
          <w:bCs w:val="0"/>
        </w:rPr>
        <w:t>府性基金预算财政拨款收入支出决算表</w:t>
      </w:r>
    </w:p>
    <w:p>
      <w:pPr>
        <w:pStyle w:val="4"/>
        <w:rPr>
          <w:rFonts w:ascii="Times New Roman" w:hAnsi="Times New Roman" w:eastAsia="仿宋" w:cs="Times New Roman"/>
        </w:rPr>
      </w:pPr>
      <w:bookmarkStart w:id="64" w:name="_Toc15396629"/>
      <w:r>
        <w:rPr>
          <w:rStyle w:val="13"/>
          <w:rFonts w:ascii="Times New Roman" w:hAnsi="Times New Roman" w:eastAsia="仿宋" w:cs="Times New Roman"/>
          <w:b w:val="0"/>
          <w:bCs w:val="0"/>
        </w:rPr>
        <w:t>十一、</w:t>
      </w:r>
      <w:bookmarkEnd w:id="64"/>
      <w:r>
        <w:rPr>
          <w:rFonts w:ascii="Times New Roman" w:hAnsi="Times New Roman" w:eastAsia="仿宋" w:cs="Times New Roman"/>
          <w:b w:val="0"/>
        </w:rPr>
        <w:t>国</w:t>
      </w:r>
      <w:r>
        <w:rPr>
          <w:rStyle w:val="13"/>
          <w:rFonts w:ascii="Times New Roman" w:hAnsi="Times New Roman" w:eastAsia="仿宋" w:cs="Times New Roman"/>
          <w:b w:val="0"/>
          <w:bCs w:val="0"/>
        </w:rPr>
        <w:t>有资本经营预算财政拨款收入支出决算表</w:t>
      </w:r>
    </w:p>
    <w:p>
      <w:pPr>
        <w:pStyle w:val="4"/>
        <w:rPr>
          <w:rFonts w:ascii="Times New Roman" w:hAnsi="Times New Roman" w:eastAsia="仿宋" w:cs="Times New Roman"/>
        </w:rPr>
      </w:pPr>
      <w:bookmarkStart w:id="65" w:name="_Toc15396630"/>
      <w:r>
        <w:rPr>
          <w:rStyle w:val="13"/>
          <w:rFonts w:ascii="Times New Roman" w:hAnsi="Times New Roman" w:eastAsia="仿宋" w:cs="Times New Roman"/>
          <w:b w:val="0"/>
          <w:bCs w:val="0"/>
        </w:rPr>
        <w:t>十二、</w:t>
      </w:r>
      <w:bookmarkEnd w:id="65"/>
      <w:r>
        <w:rPr>
          <w:rStyle w:val="13"/>
          <w:rFonts w:ascii="Times New Roman" w:hAnsi="Times New Roman" w:eastAsia="仿宋" w:cs="Times New Roman"/>
          <w:b w:val="0"/>
          <w:bCs w:val="0"/>
        </w:rPr>
        <w:t>国有资本经营预算财政拨款支出决算表</w:t>
      </w:r>
    </w:p>
    <w:p>
      <w:pPr>
        <w:pStyle w:val="4"/>
        <w:rPr>
          <w:rFonts w:ascii="Times New Roman" w:hAnsi="Times New Roman" w:eastAsia="仿宋" w:cs="Times New Roman"/>
        </w:rPr>
      </w:pPr>
      <w:bookmarkStart w:id="66" w:name="_Toc15396631"/>
      <w:r>
        <w:rPr>
          <w:rStyle w:val="13"/>
          <w:rFonts w:ascii="Times New Roman" w:hAnsi="Times New Roman" w:eastAsia="仿宋" w:cs="Times New Roman"/>
          <w:b w:val="0"/>
          <w:bCs w:val="0"/>
        </w:rPr>
        <w:t>十三、</w:t>
      </w:r>
      <w:bookmarkEnd w:id="66"/>
      <w:r>
        <w:rPr>
          <w:rStyle w:val="13"/>
          <w:rFonts w:ascii="Times New Roman" w:hAnsi="Times New Roman" w:eastAsia="仿宋" w:cs="Times New Roman"/>
          <w:b w:val="0"/>
          <w:bCs w:val="0"/>
        </w:rPr>
        <w:t>财政拨款“三公”经费支出决算表</w:t>
      </w: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9B8B780"/>
    <w:multiLevelType w:val="singleLevel"/>
    <w:tmpl w:val="D9B8B780"/>
    <w:lvl w:ilvl="0" w:tentative="0">
      <w:start w:val="2"/>
      <w:numFmt w:val="chineseCounting"/>
      <w:suff w:val="space"/>
      <w:lvlText w:val="第%1部分"/>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EF10847C"/>
    <w:multiLevelType w:val="singleLevel"/>
    <w:tmpl w:val="EF10847C"/>
    <w:lvl w:ilvl="0" w:tentative="0">
      <w:start w:val="1"/>
      <w:numFmt w:val="chineseCounting"/>
      <w:suff w:val="space"/>
      <w:lvlText w:val="第%1部分"/>
      <w:lvlJc w:val="left"/>
      <w:rPr>
        <w:rFonts w:hint="eastAsia"/>
      </w:rPr>
    </w:lvl>
  </w:abstractNum>
  <w:abstractNum w:abstractNumId="4">
    <w:nsid w:val="FA579524"/>
    <w:multiLevelType w:val="singleLevel"/>
    <w:tmpl w:val="FA579524"/>
    <w:lvl w:ilvl="0" w:tentative="0">
      <w:start w:val="4"/>
      <w:numFmt w:val="chineseCounting"/>
      <w:suff w:val="nothing"/>
      <w:lvlText w:val="（%1）"/>
      <w:lvlJc w:val="left"/>
      <w:rPr>
        <w:rFonts w:hint="eastAsia"/>
      </w:r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NjAzZjEzMjk0YmUyMTU3NTZhMTA1NzliODY1YmYifQ=="/>
  </w:docVars>
  <w:rsids>
    <w:rsidRoot w:val="00566FB9"/>
    <w:rsid w:val="00561BD0"/>
    <w:rsid w:val="00566FB9"/>
    <w:rsid w:val="00D26DCF"/>
    <w:rsid w:val="00F05B60"/>
    <w:rsid w:val="28E44817"/>
    <w:rsid w:val="3644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99"/>
    <w:pPr>
      <w:spacing w:beforeLines="30"/>
    </w:pPr>
    <w:rPr>
      <w:rFonts w:ascii="仿宋_GB2312" w:eastAsia="仿宋_GB2312"/>
      <w:kern w:val="0"/>
      <w:sz w:val="30"/>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character" w:styleId="10">
    <w:name w:val="Strong"/>
    <w:basedOn w:val="9"/>
    <w:qFormat/>
    <w:uiPriority w:val="99"/>
    <w:rPr>
      <w:b/>
    </w:rPr>
  </w:style>
  <w:style w:type="character" w:customStyle="1" w:styleId="12">
    <w:name w:val="标题 1 Char"/>
    <w:basedOn w:val="9"/>
    <w:link w:val="3"/>
    <w:qFormat/>
    <w:uiPriority w:val="9"/>
    <w:rPr>
      <w:rFonts w:ascii="Times New Roman" w:hAnsi="Times New Roman" w:eastAsia="宋体" w:cs="Times New Roman"/>
      <w:b/>
      <w:bCs/>
      <w:kern w:val="44"/>
      <w:sz w:val="44"/>
      <w:szCs w:val="44"/>
    </w:rPr>
  </w:style>
  <w:style w:type="character" w:customStyle="1" w:styleId="13">
    <w:name w:val="标题 2 Char"/>
    <w:basedOn w:val="9"/>
    <w:link w:val="4"/>
    <w:qFormat/>
    <w:uiPriority w:val="9"/>
    <w:rPr>
      <w:rFonts w:asciiTheme="majorHAnsi" w:hAnsiTheme="majorHAnsi" w:eastAsiaTheme="majorEastAsia" w:cstheme="majorBidi"/>
      <w:b/>
      <w:bCs/>
      <w:sz w:val="32"/>
      <w:szCs w:val="32"/>
    </w:rPr>
  </w:style>
  <w:style w:type="character" w:customStyle="1" w:styleId="14">
    <w:name w:val="正文文本 Char"/>
    <w:basedOn w:val="9"/>
    <w:link w:val="2"/>
    <w:qFormat/>
    <w:uiPriority w:val="99"/>
    <w:rPr>
      <w:rFonts w:ascii="仿宋_GB2312" w:hAnsi="Times New Roman" w:eastAsia="仿宋_GB2312" w:cs="Times New Roman"/>
      <w:kern w:val="0"/>
      <w:sz w:val="30"/>
      <w:szCs w:val="24"/>
    </w:rPr>
  </w:style>
  <w:style w:type="character" w:customStyle="1" w:styleId="15">
    <w:name w:val="页脚 Char"/>
    <w:basedOn w:val="9"/>
    <w:link w:val="5"/>
    <w:qFormat/>
    <w:uiPriority w:val="99"/>
    <w:rPr>
      <w:rFonts w:ascii="Calibri" w:hAnsi="Calibri" w:eastAsia="宋体" w:cs="Times New Roman"/>
      <w:kern w:val="0"/>
      <w:sz w:val="18"/>
      <w:szCs w:val="18"/>
    </w:rPr>
  </w:style>
  <w:style w:type="character" w:customStyle="1" w:styleId="16">
    <w:name w:val="页眉 Char"/>
    <w:basedOn w:val="9"/>
    <w:link w:val="6"/>
    <w:semiHidden/>
    <w:qFormat/>
    <w:uiPriority w:val="99"/>
    <w:rPr>
      <w:rFonts w:ascii="Calibri" w:hAnsi="Calibri" w:eastAsia="宋体" w:cs="Times New Roman"/>
      <w:kern w:val="0"/>
      <w:sz w:val="18"/>
      <w:szCs w:val="18"/>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zh-CN" altLang="en-US"/>
              <a:t>收、支决算总计变动情况图</a:t>
            </a:r>
            <a:endParaRPr lang="zh-CN" altLang="en-US"/>
          </a:p>
        </c:rich>
      </c:tx>
      <c:layout>
        <c:manualLayout>
          <c:xMode val="edge"/>
          <c:yMode val="edge"/>
          <c:x val="0.139159864622735"/>
          <c:y val="0.00655307994757536"/>
        </c:manualLayout>
      </c:layout>
      <c:overlay val="0"/>
      <c:spPr>
        <a:noFill/>
        <a:ln>
          <a:noFill/>
        </a:ln>
        <a:effectLst/>
      </c:spPr>
    </c:title>
    <c:autoTitleDeleted val="0"/>
    <c:plotArea>
      <c:layout>
        <c:manualLayout>
          <c:layoutTarget val="inner"/>
          <c:xMode val="edge"/>
          <c:yMode val="edge"/>
          <c:x val="0.194207167031654"/>
          <c:y val="0.2003000386632"/>
          <c:w val="0.673800000000001"/>
          <c:h val="0.651175451620887"/>
        </c:manualLayout>
      </c:layout>
      <c:barChart>
        <c:barDir val="col"/>
        <c:grouping val="clustered"/>
        <c:varyColors val="0"/>
        <c:ser>
          <c:idx val="0"/>
          <c:order val="0"/>
          <c:tx>
            <c:strRef>
              <c:f>Sheet1!$B$1</c:f>
              <c:strCache>
                <c:ptCount val="1"/>
                <c:pt idx="0">
                  <c:v>2021年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00199084212621939"/>
                  <c:y val="-0.537181996086106"/>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val>
            <c:numRef>
              <c:f>Sheet1!$B$2</c:f>
              <c:numCache>
                <c:formatCode>General</c:formatCode>
                <c:ptCount val="1"/>
                <c:pt idx="0">
                  <c:v>234.54</c:v>
                </c:pt>
              </c:numCache>
            </c:numRef>
          </c:val>
        </c:ser>
        <c:ser>
          <c:idx val="1"/>
          <c:order val="1"/>
          <c:tx>
            <c:strRef>
              <c:f>Sheet1!$C$1</c:f>
              <c:strCache>
                <c:ptCount val="1"/>
                <c:pt idx="0">
                  <c:v>2022年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Sheet1!$C$2</c:f>
              <c:numCache>
                <c:formatCode>General</c:formatCode>
                <c:ptCount val="1"/>
                <c:pt idx="0">
                  <c:v>306.3</c:v>
                </c:pt>
              </c:numCache>
            </c:numRef>
          </c:val>
        </c:ser>
        <c:dLbls>
          <c:showLegendKey val="0"/>
          <c:showVal val="1"/>
          <c:showCatName val="0"/>
          <c:showSerName val="0"/>
          <c:showPercent val="0"/>
          <c:showBubbleSize val="0"/>
        </c:dLbls>
        <c:gapWidth val="100"/>
        <c:overlap val="-24"/>
        <c:axId val="116805632"/>
        <c:axId val="116807552"/>
      </c:barChart>
      <c:catAx>
        <c:axId val="116805632"/>
        <c:scaling>
          <c:orientation val="minMax"/>
        </c:scaling>
        <c:delete val="1"/>
        <c:axPos val="b"/>
        <c:numFmt formatCode="General" sourceLinked="0"/>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807552"/>
        <c:crosses val="autoZero"/>
        <c:auto val="1"/>
        <c:lblAlgn val="ctr"/>
        <c:lblOffset val="100"/>
        <c:noMultiLvlLbl val="0"/>
      </c:catAx>
      <c:valAx>
        <c:axId val="116807552"/>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116805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Lbls>
            <c:dLbl>
              <c:idx val="0"/>
              <c:layout>
                <c:manualLayout>
                  <c:x val="0.308975037760136"/>
                  <c:y val="-0.079389765794989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0.00%</c:formatCode>
                <c:ptCount val="1"/>
                <c:pt idx="0">
                  <c:v>1</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c:rich>
      </c:tx>
      <c:layout/>
      <c:overlay val="0"/>
      <c:spPr>
        <a:noFill/>
        <a:ln>
          <a:noFill/>
        </a:ln>
        <a:effectLst/>
      </c:spPr>
    </c:title>
    <c:autoTitleDeleted val="0"/>
    <c:plotArea>
      <c:layout>
        <c:manualLayout>
          <c:layoutTarget val="inner"/>
          <c:xMode val="edge"/>
          <c:yMode val="edge"/>
          <c:x val="0.0790494826952478"/>
          <c:y val="0.184068733039216"/>
          <c:w val="0.830091459487312"/>
          <c:h val="0.668273444347064"/>
        </c:manualLayout>
      </c:layout>
      <c:pieChart>
        <c:varyColors val="1"/>
        <c:ser>
          <c:idx val="0"/>
          <c:order val="0"/>
          <c:tx>
            <c:strRef>
              <c:f>Sheet1!$B$1</c:f>
              <c:strCache>
                <c:ptCount val="1"/>
                <c:pt idx="0">
                  <c:v>系列 1</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0.678256611165525</c:v>
                </c:pt>
                <c:pt idx="1">
                  <c:v>0.321743388834476</c:v>
                </c:pt>
              </c:numCache>
            </c:numRef>
          </c:val>
        </c:ser>
        <c:ser>
          <c:idx val="1"/>
          <c:order val="1"/>
          <c:tx>
            <c:strRef>
              <c:f>Sheet1!#REF!</c:f>
              <c:strCache>
                <c:ptCount val="1"/>
                <c:pt idx="0">
                  <c:v/>
                </c:pt>
              </c:strCache>
            </c:strRef>
          </c:tx>
          <c:explosion val="0"/>
          <c:dPt>
            <c:idx val="0"/>
            <c:bubble3D val="0"/>
            <c:spPr>
              <a:solidFill>
                <a:schemeClr val="accent1"/>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explosion val="0"/>
          <c:dPt>
            <c:idx val="0"/>
            <c:bubble3D val="0"/>
            <c:spPr>
              <a:solidFill>
                <a:schemeClr val="accent1"/>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198852929527452"/>
          <c:y val="0.188801250388051"/>
          <c:w val="0.673800000000001"/>
          <c:h val="0.651175451620887"/>
        </c:manualLayout>
      </c:layout>
      <c:barChart>
        <c:barDir val="col"/>
        <c:grouping val="clustered"/>
        <c:varyColors val="0"/>
        <c:ser>
          <c:idx val="0"/>
          <c:order val="0"/>
          <c:tx>
            <c:strRef>
              <c:f>Sheet1!$B$1</c:f>
              <c:strCache>
                <c:ptCount val="1"/>
                <c:pt idx="0">
                  <c:v>2021年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00468530376386069"/>
                  <c:y val="-0.604775719705423"/>
                </c:manualLayout>
              </c:layout>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val>
            <c:numRef>
              <c:f>Sheet1!$B$2</c:f>
              <c:numCache>
                <c:formatCode>General</c:formatCode>
                <c:ptCount val="1"/>
                <c:pt idx="0">
                  <c:v>234.47</c:v>
                </c:pt>
              </c:numCache>
            </c:numRef>
          </c:val>
        </c:ser>
        <c:ser>
          <c:idx val="1"/>
          <c:order val="1"/>
          <c:tx>
            <c:strRef>
              <c:f>Sheet1!$C$1</c:f>
              <c:strCache>
                <c:ptCount val="1"/>
                <c:pt idx="0">
                  <c:v>2022年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0.00843354677494926"/>
                  <c:y val="-0.02432492747154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Sheet1!$C$2</c:f>
              <c:numCache>
                <c:formatCode>General</c:formatCode>
                <c:ptCount val="1"/>
                <c:pt idx="0">
                  <c:v>306.3</c:v>
                </c:pt>
              </c:numCache>
            </c:numRef>
          </c:val>
        </c:ser>
        <c:dLbls>
          <c:showLegendKey val="0"/>
          <c:showVal val="1"/>
          <c:showCatName val="0"/>
          <c:showSerName val="0"/>
          <c:showPercent val="0"/>
          <c:showBubbleSize val="0"/>
        </c:dLbls>
        <c:gapWidth val="100"/>
        <c:overlap val="-24"/>
        <c:axId val="218285952"/>
        <c:axId val="218576768"/>
      </c:barChart>
      <c:catAx>
        <c:axId val="218285952"/>
        <c:scaling>
          <c:orientation val="minMax"/>
        </c:scaling>
        <c:delete val="1"/>
        <c:axPos val="b"/>
        <c:numFmt formatCode="General" sourceLinked="0"/>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8576768"/>
        <c:crosses val="autoZero"/>
        <c:auto val="1"/>
        <c:lblAlgn val="ctr"/>
        <c:lblOffset val="100"/>
        <c:noMultiLvlLbl val="0"/>
      </c:catAx>
      <c:valAx>
        <c:axId val="218576768"/>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218285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一般公共预算财政拨款支出决断变动情况</c:v>
                </c:pt>
              </c:strCache>
            </c:strRef>
          </c:cat>
          <c:val>
            <c:numRef>
              <c:f>Sheet1!$B$2</c:f>
              <c:numCache>
                <c:formatCode>General</c:formatCode>
                <c:ptCount val="1"/>
                <c:pt idx="0">
                  <c:v>233.48</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一般公共预算财政拨款支出决断变动情况</c:v>
                </c:pt>
              </c:strCache>
            </c:strRef>
          </c:cat>
          <c:val>
            <c:numRef>
              <c:f>Sheet1!$C$2</c:f>
              <c:numCache>
                <c:formatCode>General</c:formatCode>
                <c:ptCount val="1"/>
                <c:pt idx="0">
                  <c:v>306.3</c:v>
                </c:pt>
              </c:numCache>
            </c:numRef>
          </c:val>
        </c:ser>
        <c:dLbls>
          <c:showLegendKey val="0"/>
          <c:showVal val="1"/>
          <c:showCatName val="0"/>
          <c:showSerName val="0"/>
          <c:showPercent val="0"/>
          <c:showBubbleSize val="0"/>
        </c:dLbls>
        <c:gapWidth val="219"/>
        <c:overlap val="-27"/>
        <c:axId val="117437184"/>
        <c:axId val="117438720"/>
      </c:barChart>
      <c:catAx>
        <c:axId val="11743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438720"/>
        <c:crosses val="autoZero"/>
        <c:auto val="1"/>
        <c:lblAlgn val="ctr"/>
        <c:lblOffset val="100"/>
        <c:noMultiLvlLbl val="0"/>
      </c:catAx>
      <c:valAx>
        <c:axId val="1174387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437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zh-CN" altLang="en-US"/>
              <a:t>一般公共预算财政拨款支出决算结构</a:t>
            </a:r>
            <a:endParaRPr lang="zh-CN" altLang="en-US"/>
          </a:p>
        </c:rich>
      </c:tx>
      <c:layout/>
      <c:overlay val="0"/>
      <c:spPr>
        <a:noFill/>
        <a:ln>
          <a:noFill/>
        </a:ln>
        <a:effectLst/>
      </c:spPr>
    </c:title>
    <c:autoTitleDeleted val="0"/>
    <c:plotArea>
      <c:layout>
        <c:manualLayout>
          <c:layoutTarget val="inner"/>
          <c:xMode val="edge"/>
          <c:yMode val="edge"/>
          <c:x val="0.0783587101206578"/>
          <c:y val="0.174261275069976"/>
          <c:w val="0.830091459487312"/>
          <c:h val="0.668273444347064"/>
        </c:manualLayout>
      </c:layout>
      <c:pieChart>
        <c:varyColors val="1"/>
        <c:ser>
          <c:idx val="0"/>
          <c:order val="0"/>
          <c:tx>
            <c:strRef>
              <c:f>Sheet1!$B$1</c:f>
              <c:strCache>
                <c:ptCount val="1"/>
                <c:pt idx="0">
                  <c:v>系列 1</c:v>
                </c:pt>
              </c:strCache>
            </c:strRef>
          </c:tx>
          <c:spPr>
            <a:scene3d>
              <a:camera prst="orthographicFront"/>
              <a:lightRig rig="threePt" dir="t"/>
            </a:scene3d>
            <a:sp3d contourW="9525"/>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dLbl>
              <c:idx val="0"/>
              <c:layout>
                <c:manualLayout>
                  <c:x val="0.0886666666666669"/>
                  <c:y val="0.0010595465140919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r>
                      <a:rPr lang="en-US" altLang="zh-CN"/>
                      <a:t>5.23</a:t>
                    </a:r>
                    <a:r>
                      <a:rPr lang="en-US"/>
                      <a:t>%</a:t>
                    </a:r>
                    <a:endParaRPr 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62093068135216"/>
                  <c:y val="-0.0755032651184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r>
                      <a:rPr lang="en-US" altLang="zh-CN"/>
                      <a:t>89.37%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7333333333333"/>
                  <c:y val="0.027548209366391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r>
                      <a:rPr lang="en-US" altLang="zh-CN"/>
                      <a:t>5.4</a:t>
                    </a:r>
                    <a:r>
                      <a:rPr lang="en-US"/>
                      <a:t>%</a:t>
                    </a:r>
                    <a:endParaRPr 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社会保障和就业（类）</c:v>
                </c:pt>
                <c:pt idx="1">
                  <c:v>卫生健康</c:v>
                </c:pt>
                <c:pt idx="2">
                  <c:v>住房保障</c:v>
                </c:pt>
              </c:strCache>
            </c:strRef>
          </c:cat>
          <c:val>
            <c:numRef>
              <c:f>Sheet1!$B$2:$B$4</c:f>
              <c:numCache>
                <c:formatCode>0.00%</c:formatCode>
                <c:ptCount val="3"/>
                <c:pt idx="0">
                  <c:v>0.0613328764776426</c:v>
                </c:pt>
                <c:pt idx="1">
                  <c:v>0.870609902347097</c:v>
                </c:pt>
                <c:pt idx="2">
                  <c:v>0.0683570327222889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zero"/>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08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sz="1080">
                <a:latin typeface="宋体" panose="02010600030101010101" charset="-122"/>
                <a:ea typeface="宋体" panose="02010600030101010101" charset="-122"/>
                <a:cs typeface="宋体" panose="02010600030101010101" charset="-122"/>
              </a:rPr>
              <a:t>“三公”经费财政拨款支出结构</a:t>
            </a:r>
            <a:endParaRPr lang="zh-CN" altLang="en-US" sz="1080">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10253767873246"/>
          <c:y val="0.17638036809816"/>
          <c:w val="0.830091459487312"/>
          <c:h val="0.668273444347064"/>
        </c:manualLayout>
      </c:layout>
      <c:pieChart>
        <c:varyColors val="1"/>
        <c:ser>
          <c:idx val="0"/>
          <c:order val="0"/>
          <c:tx>
            <c:strRef>
              <c:f>Sheet1!$B$1</c:f>
              <c:strCache>
                <c:ptCount val="1"/>
                <c:pt idx="0">
                  <c:v>系列 1</c:v>
                </c:pt>
              </c:strCache>
            </c:strRef>
          </c:tx>
          <c:spPr>
            <a:ln w="22225">
              <a:solidFill>
                <a:schemeClr val="bg1">
                  <a:lumMod val="95000"/>
                </a:schemeClr>
              </a:solidFill>
            </a:ln>
            <a:scene3d>
              <a:camera prst="orthographicFront"/>
              <a:lightRig rig="threePt" dir="t"/>
            </a:scene3d>
            <a:sp3d contourW="22225"/>
          </c:spPr>
          <c:explosion val="0"/>
          <c:dPt>
            <c:idx val="0"/>
            <c:bubble3D val="0"/>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公务用车购置及运行维护费</c:v>
                </c:pt>
              </c:strCache>
            </c:strRef>
          </c:cat>
          <c:val>
            <c:numRef>
              <c:f>Sheet1!$B$2</c:f>
              <c:numCache>
                <c:formatCode>0%</c:formatCode>
                <c:ptCount val="1"/>
                <c:pt idx="0">
                  <c:v>1</c:v>
                </c:pt>
              </c:numCache>
            </c:numRef>
          </c:val>
        </c:ser>
        <c:ser>
          <c:idx val="1"/>
          <c:order val="1"/>
          <c:tx>
            <c:strRef>
              <c:f>Sheet1!$C$1</c:f>
              <c:strCache>
                <c:ptCount val="1"/>
                <c:pt idx="0">
                  <c:v>系列 2</c:v>
                </c:pt>
              </c:strCache>
            </c:strRef>
          </c:tx>
          <c:spPr>
            <a:ln w="22225">
              <a:solidFill>
                <a:schemeClr val="bg1">
                  <a:lumMod val="95000"/>
                </a:schemeClr>
              </a:solidFill>
            </a:ln>
            <a:scene3d>
              <a:camera prst="orthographicFront"/>
              <a:lightRig rig="threePt" dir="t"/>
            </a:scene3d>
            <a:sp3d contourW="22225"/>
          </c:spPr>
          <c:explosion val="0"/>
          <c:dPt>
            <c:idx val="0"/>
            <c:bubble3D val="0"/>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0"/>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Pt>
            <c:idx val="2"/>
            <c:bubble3D val="0"/>
            <c:spPr>
              <a:solidFill>
                <a:srgbClr val="B7B69A"/>
              </a:solidFill>
              <a:ln w="22225">
                <a:solidFill>
                  <a:schemeClr val="bg1">
                    <a:lumMod val="95000"/>
                  </a:schemeClr>
                </a:solidFill>
              </a:ln>
              <a:effectLst/>
              <a:scene3d>
                <a:camera prst="orthographicFront"/>
                <a:lightRig rig="threePt" dir="t"/>
              </a:scene3d>
              <a:sp3d contourW="22225">
                <a:contourClr>
                  <a:schemeClr val="lt1"/>
                </a:contourClr>
              </a:sp3d>
            </c:spPr>
          </c:dPt>
          <c:dPt>
            <c:idx val="3"/>
            <c:bubble3D val="0"/>
            <c:spPr>
              <a:solidFill>
                <a:srgbClr val="FCE1B6"/>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公务用车购置及运行维护费</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ln w="22225">
              <a:solidFill>
                <a:schemeClr val="bg1">
                  <a:lumMod val="95000"/>
                </a:schemeClr>
              </a:solidFill>
            </a:ln>
            <a:scene3d>
              <a:camera prst="orthographicFront"/>
              <a:lightRig rig="threePt" dir="t"/>
            </a:scene3d>
            <a:sp3d contourW="22225"/>
          </c:spPr>
          <c:explosion val="0"/>
          <c:dPt>
            <c:idx val="0"/>
            <c:bubble3D val="0"/>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0"/>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Pt>
            <c:idx val="2"/>
            <c:bubble3D val="0"/>
            <c:spPr>
              <a:solidFill>
                <a:srgbClr val="B7B69A"/>
              </a:solidFill>
              <a:ln w="22225">
                <a:solidFill>
                  <a:schemeClr val="bg1">
                    <a:lumMod val="95000"/>
                  </a:schemeClr>
                </a:solidFill>
              </a:ln>
              <a:effectLst/>
              <a:scene3d>
                <a:camera prst="orthographicFront"/>
                <a:lightRig rig="threePt" dir="t"/>
              </a:scene3d>
              <a:sp3d contourW="22225">
                <a:contourClr>
                  <a:schemeClr val="lt1"/>
                </a:contourClr>
              </a:sp3d>
            </c:spPr>
          </c:dPt>
          <c:dPt>
            <c:idx val="3"/>
            <c:bubble3D val="0"/>
            <c:spPr>
              <a:solidFill>
                <a:srgbClr val="FCE1B6"/>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公务用车购置及运行维护费</c:v>
                </c:pt>
              </c:strCache>
            </c:strRef>
          </c:cat>
          <c:val>
            <c:numRef>
              <c:f>Sheet1!$D$2:$D$5</c:f>
              <c:numCache>
                <c:formatCode>General</c:formatCode>
                <c:ptCount val="4"/>
                <c:pt idx="0">
                  <c:v>2</c:v>
                </c:pt>
                <c:pt idx="1">
                  <c:v>2</c:v>
                </c:pt>
                <c:pt idx="2">
                  <c:v>3</c:v>
                </c:pt>
                <c:pt idx="3">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Entry>
      <c:layout>
        <c:manualLayout>
          <c:xMode val="edge"/>
          <c:yMode val="edge"/>
          <c:x val="0.242419931025905"/>
          <c:y val="0.91009684260857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blipFill>
      <a:blip xmlns:r="http://schemas.openxmlformats.org/officeDocument/2006/relationships" r:embed="rId3"/>
      <a:stretch>
        <a:fillRect/>
      </a:stretch>
    </a:blip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sz="900">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5605</Words>
  <Characters>6027</Characters>
  <Lines>44</Lines>
  <Paragraphs>12</Paragraphs>
  <TotalTime>3</TotalTime>
  <ScaleCrop>false</ScaleCrop>
  <LinksUpToDate>false</LinksUpToDate>
  <CharactersWithSpaces>6062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2023-11-06T09:47:00Z</dcterms:created>
  <dc:creator>王思乡</dc:creator>
  <cp:lastModifiedBy>杨馨</cp:lastModifiedBy>
  <dcterms:modified xsi:type="dcterms:W3CDTF">2024-07-22T02:04:53Z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2DB564176A98421AAE79923010C6EA71_13</vt:lpwstr>
  </property>
</Properties>
</file>