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A6A89">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8441"/>
      <w:bookmarkStart w:id="3" w:name="_Toc15377193"/>
      <w:bookmarkStart w:id="4" w:name="_Toc15396597"/>
      <w:bookmarkStart w:id="5" w:name="_Toc15306267"/>
    </w:p>
    <w:p w14:paraId="38F3AE1D">
      <w:pPr>
        <w:spacing w:line="600" w:lineRule="exact"/>
        <w:jc w:val="center"/>
        <w:outlineLvl w:val="0"/>
        <w:rPr>
          <w:rFonts w:ascii="方正小标宋简体" w:hAnsi="宋体" w:eastAsia="方正小标宋简体"/>
          <w:sz w:val="72"/>
          <w:szCs w:val="72"/>
        </w:rPr>
      </w:pPr>
    </w:p>
    <w:p w14:paraId="0BDCC073">
      <w:pPr>
        <w:spacing w:line="600" w:lineRule="exact"/>
        <w:jc w:val="center"/>
        <w:outlineLvl w:val="0"/>
        <w:rPr>
          <w:rFonts w:ascii="方正小标宋简体" w:hAnsi="宋体" w:eastAsia="方正小标宋简体"/>
          <w:sz w:val="72"/>
          <w:szCs w:val="72"/>
        </w:rPr>
      </w:pPr>
    </w:p>
    <w:p w14:paraId="783F311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14:paraId="3F10D70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8442"/>
      <w:bookmarkStart w:id="9" w:name="_Toc15396598"/>
      <w:bookmarkStart w:id="10" w:name="_Toc15377426"/>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财政局</w:t>
      </w:r>
    </w:p>
    <w:p w14:paraId="76F9D647">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690757B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834A77E">
      <w:pPr>
        <w:widowControl/>
        <w:jc w:val="center"/>
        <w:rPr>
          <w:rFonts w:ascii="黑体" w:hAnsi="黑体" w:eastAsia="黑体" w:cstheme="minorBidi"/>
          <w:sz w:val="28"/>
          <w:szCs w:val="28"/>
        </w:rPr>
      </w:pPr>
    </w:p>
    <w:p w14:paraId="1A84DCCC">
      <w:pPr>
        <w:pStyle w:val="13"/>
      </w:pPr>
      <w:r>
        <w:rPr>
          <w:rFonts w:hint="eastAsia"/>
        </w:rPr>
        <w:t>公开时间：2023年10月26日</w:t>
      </w:r>
    </w:p>
    <w:p w14:paraId="57852C31"/>
    <w:p w14:paraId="3C37C734">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14:paraId="78E9DB0B">
      <w:pPr>
        <w:pStyle w:val="14"/>
        <w:adjustRightInd w:val="0"/>
        <w:snapToGrid w:val="0"/>
        <w:spacing w:line="440" w:lineRule="exact"/>
        <w:jc w:val="left"/>
        <w:rPr>
          <w:rFonts w:ascii="仿宋" w:hAnsi="仿宋"/>
          <w:sz w:val="24"/>
        </w:rPr>
      </w:pPr>
      <w:r>
        <w:rPr>
          <w:rFonts w:hint="eastAsia"/>
          <w:sz w:val="24"/>
        </w:rPr>
        <w:t>一、部门职责</w:t>
      </w:r>
      <w:r>
        <w:rPr>
          <w:rFonts w:cstheme="minorBidi"/>
          <w:sz w:val="24"/>
        </w:rPr>
        <w:tab/>
      </w:r>
      <w:r>
        <w:rPr>
          <w:rFonts w:hint="eastAsia" w:cstheme="minorBidi"/>
          <w:sz w:val="24"/>
        </w:rPr>
        <w:t>4</w:t>
      </w:r>
    </w:p>
    <w:p w14:paraId="4B816C13">
      <w:pPr>
        <w:pStyle w:val="14"/>
        <w:adjustRightInd w:val="0"/>
        <w:snapToGrid w:val="0"/>
        <w:spacing w:line="440" w:lineRule="exact"/>
        <w:jc w:val="left"/>
        <w:rPr>
          <w:rFonts w:ascii="仿宋" w:hAnsi="仿宋" w:cstheme="minorBidi"/>
          <w:sz w:val="24"/>
        </w:rPr>
      </w:pPr>
      <w:r>
        <w:rPr>
          <w:rFonts w:hint="eastAsia"/>
          <w:sz w:val="24"/>
        </w:rPr>
        <w:t>二、机构设置</w:t>
      </w:r>
      <w:r>
        <w:rPr>
          <w:rFonts w:cstheme="minorBidi"/>
          <w:sz w:val="24"/>
        </w:rPr>
        <w:tab/>
      </w:r>
      <w:r>
        <w:rPr>
          <w:rFonts w:hint="eastAsia" w:cstheme="minorBidi"/>
          <w:sz w:val="24"/>
        </w:rPr>
        <w:t>6</w:t>
      </w:r>
    </w:p>
    <w:p w14:paraId="17DEE91A">
      <w:pPr>
        <w:pStyle w:val="13"/>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7</w:t>
      </w:r>
    </w:p>
    <w:p w14:paraId="4407B8B3">
      <w:pPr>
        <w:pStyle w:val="14"/>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hint="eastAsia" w:cstheme="minorBidi"/>
          <w:sz w:val="24"/>
        </w:rPr>
        <w:t>7</w:t>
      </w:r>
    </w:p>
    <w:p w14:paraId="6B54CE69">
      <w:pPr>
        <w:pStyle w:val="14"/>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cstheme="minorBidi"/>
          <w:sz w:val="24"/>
        </w:rPr>
        <w:t>7</w:t>
      </w:r>
    </w:p>
    <w:p w14:paraId="3F182026">
      <w:pPr>
        <w:pStyle w:val="14"/>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8</w:t>
      </w:r>
    </w:p>
    <w:p w14:paraId="3BBD6B42">
      <w:pPr>
        <w:pStyle w:val="14"/>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hint="eastAsia" w:cstheme="minorBidi"/>
          <w:sz w:val="24"/>
        </w:rPr>
        <w:t>8</w:t>
      </w:r>
    </w:p>
    <w:p w14:paraId="3009E746">
      <w:pPr>
        <w:pStyle w:val="14"/>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9</w:t>
      </w:r>
    </w:p>
    <w:p w14:paraId="2DF56CC7">
      <w:pPr>
        <w:pStyle w:val="14"/>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11</w:t>
      </w:r>
    </w:p>
    <w:p w14:paraId="66562F73">
      <w:pPr>
        <w:pStyle w:val="14"/>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hint="eastAsia" w:cstheme="minorBidi"/>
          <w:sz w:val="24"/>
        </w:rPr>
        <w:t>12</w:t>
      </w:r>
    </w:p>
    <w:p w14:paraId="2416954F">
      <w:pPr>
        <w:pStyle w:val="14"/>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hint="eastAsia" w:cstheme="minorBidi"/>
          <w:sz w:val="24"/>
        </w:rPr>
        <w:t>13</w:t>
      </w:r>
    </w:p>
    <w:p w14:paraId="709670D8">
      <w:pPr>
        <w:pStyle w:val="14"/>
        <w:adjustRightInd w:val="0"/>
        <w:snapToGrid w:val="0"/>
        <w:spacing w:line="440" w:lineRule="exact"/>
        <w:ind w:leftChars="0"/>
        <w:jc w:val="left"/>
        <w:rPr>
          <w:rFonts w:asciiTheme="minorEastAsia" w:hAnsi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14</w:t>
      </w:r>
    </w:p>
    <w:p w14:paraId="4C7BF651">
      <w:pPr>
        <w:pStyle w:val="14"/>
        <w:adjustRightInd w:val="0"/>
        <w:snapToGrid w:val="0"/>
        <w:spacing w:line="440" w:lineRule="exact"/>
        <w:jc w:val="left"/>
        <w:rPr>
          <w:rFonts w:ascii="仿宋" w:hAnsi="仿宋" w:cstheme="minorBidi"/>
          <w:sz w:val="24"/>
        </w:rPr>
      </w:pPr>
      <w:r>
        <w:rPr>
          <w:rStyle w:val="20"/>
          <w:rFonts w:hint="eastAsia" w:asciiTheme="minorEastAsia" w:hAnsiTheme="minorEastAsia" w:eastAsiaTheme="minorEastAsia" w:cstheme="minorEastAsia"/>
          <w:color w:val="auto"/>
          <w:sz w:val="24"/>
          <w:u w:val="none"/>
        </w:rPr>
        <w:t>十、</w:t>
      </w:r>
      <w:r>
        <w:rPr>
          <w:rFonts w:hint="eastAsia"/>
          <w:sz w:val="24"/>
        </w:rPr>
        <w:t>其他重要事项的情况说明</w:t>
      </w:r>
      <w:r>
        <w:rPr>
          <w:rFonts w:cstheme="minorBidi"/>
          <w:sz w:val="24"/>
        </w:rPr>
        <w:tab/>
      </w:r>
      <w:r>
        <w:rPr>
          <w:rFonts w:hint="eastAsia" w:cstheme="minorBidi"/>
          <w:sz w:val="24"/>
        </w:rPr>
        <w:t>14</w:t>
      </w:r>
    </w:p>
    <w:p w14:paraId="144BA6DF">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rPr>
        <w:t>..16</w:t>
      </w:r>
    </w:p>
    <w:p w14:paraId="269ED3F6">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rPr>
        <w:t>20</w:t>
      </w:r>
    </w:p>
    <w:p w14:paraId="4E6C9358">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rPr>
        <w:t>47</w:t>
      </w:r>
    </w:p>
    <w:p w14:paraId="41462527">
      <w:pPr>
        <w:pStyle w:val="14"/>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47</w:t>
      </w:r>
    </w:p>
    <w:p w14:paraId="04A85922">
      <w:pPr>
        <w:pStyle w:val="14"/>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47</w:t>
      </w:r>
    </w:p>
    <w:p w14:paraId="2596353E">
      <w:pPr>
        <w:pStyle w:val="14"/>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47</w:t>
      </w:r>
    </w:p>
    <w:p w14:paraId="2D765ABF">
      <w:pPr>
        <w:pStyle w:val="14"/>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47</w:t>
      </w:r>
    </w:p>
    <w:p w14:paraId="2F77E6A3">
      <w:pPr>
        <w:pStyle w:val="14"/>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47</w:t>
      </w:r>
    </w:p>
    <w:p w14:paraId="660F87E8">
      <w:pPr>
        <w:pStyle w:val="14"/>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47</w:t>
      </w:r>
    </w:p>
    <w:p w14:paraId="1B5DC175">
      <w:pPr>
        <w:pStyle w:val="14"/>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47</w:t>
      </w:r>
    </w:p>
    <w:p w14:paraId="7A0D5ACF">
      <w:pPr>
        <w:pStyle w:val="14"/>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47</w:t>
      </w:r>
    </w:p>
    <w:p w14:paraId="43012DFD">
      <w:pPr>
        <w:pStyle w:val="14"/>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47</w:t>
      </w:r>
    </w:p>
    <w:p w14:paraId="6E4A2D44">
      <w:pPr>
        <w:pStyle w:val="14"/>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47</w:t>
      </w:r>
    </w:p>
    <w:p w14:paraId="5EA08EA3">
      <w:pPr>
        <w:pStyle w:val="14"/>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47</w:t>
      </w:r>
    </w:p>
    <w:p w14:paraId="2C33421B">
      <w:pPr>
        <w:pStyle w:val="14"/>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47</w:t>
      </w:r>
    </w:p>
    <w:p w14:paraId="55B7C837">
      <w:pPr>
        <w:pStyle w:val="14"/>
        <w:adjustRightInd w:val="0"/>
        <w:snapToGrid w:val="0"/>
        <w:spacing w:line="440" w:lineRule="exact"/>
        <w:jc w:val="left"/>
        <w:rPr>
          <w:rFonts w:asciiTheme="minorEastAsia" w:hAnsiTheme="minorEastAsia" w:cstheme="minorEastAsia"/>
          <w:sz w:val="24"/>
        </w:rPr>
      </w:pPr>
      <w:r>
        <w:rPr>
          <w:rFonts w:hint="eastAsia"/>
          <w:sz w:val="24"/>
        </w:rPr>
        <w:t>十三、财政拨款“三公”经费支出决算表</w:t>
      </w:r>
      <w:r>
        <w:rPr>
          <w:rFonts w:cstheme="minorBidi"/>
          <w:sz w:val="24"/>
        </w:rPr>
        <w:tab/>
      </w:r>
      <w:r>
        <w:rPr>
          <w:rFonts w:hint="eastAsia" w:cstheme="minorBidi"/>
          <w:sz w:val="24"/>
        </w:rPr>
        <w:t>47</w:t>
      </w:r>
    </w:p>
    <w:p w14:paraId="2129B7A3">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745DB1DE">
      <w:pPr>
        <w:pStyle w:val="3"/>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14:paraId="72C42F13">
      <w:pPr>
        <w:widowControl/>
        <w:jc w:val="left"/>
        <w:rPr>
          <w:rFonts w:ascii="黑体" w:eastAsia="黑体"/>
          <w:sz w:val="32"/>
          <w:szCs w:val="32"/>
        </w:rPr>
      </w:pPr>
    </w:p>
    <w:p w14:paraId="6D6DC4B2">
      <w:pPr>
        <w:pStyle w:val="4"/>
        <w:ind w:firstLine="640" w:firstLineChars="200"/>
        <w:rPr>
          <w:rFonts w:ascii="黑体" w:hAnsi="黑体" w:eastAsia="黑体"/>
          <w:b w:val="0"/>
        </w:rPr>
      </w:pPr>
      <w:r>
        <w:rPr>
          <w:rFonts w:hint="eastAsia" w:ascii="黑体" w:hAnsi="黑体" w:eastAsia="黑体"/>
          <w:b w:val="0"/>
        </w:rPr>
        <w:t>一、部门职责</w:t>
      </w:r>
    </w:p>
    <w:p w14:paraId="753700B2">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14:paraId="3E4A9532">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14:paraId="31B7ADB5">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14:paraId="781E9F82">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14:paraId="37CCB8DB">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14:paraId="55FFE4A5">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14:paraId="36E75A7F">
      <w:pPr>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14:paraId="50AEAC32">
      <w:pPr>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14:paraId="4EC1608D">
      <w:pPr>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14:paraId="1EFCC0CE">
      <w:pPr>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14:paraId="18EC6D45">
      <w:pPr>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14:paraId="3283239E">
      <w:pPr>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14:paraId="002EE43E">
      <w:pPr>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14:paraId="3D84AF32">
      <w:pPr>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14:paraId="3F558B18">
      <w:pPr>
        <w:pStyle w:val="6"/>
        <w:adjustRightInd w:val="0"/>
        <w:snapToGrid w:val="0"/>
        <w:spacing w:before="93" w:line="600" w:lineRule="exact"/>
        <w:ind w:firstLine="672" w:firstLineChars="210"/>
        <w:outlineLvl w:val="2"/>
        <w:rPr>
          <w:rFonts w:ascii="仿宋" w:hAnsi="仿宋" w:eastAsia="仿宋"/>
          <w:bCs/>
          <w:sz w:val="32"/>
          <w:szCs w:val="32"/>
        </w:rPr>
      </w:pPr>
      <w:r>
        <w:rPr>
          <w:rFonts w:hint="eastAsia" w:hAnsi="仿宋"/>
          <w:sz w:val="32"/>
          <w:szCs w:val="32"/>
        </w:rPr>
        <w:t>15.</w:t>
      </w:r>
      <w:r>
        <w:rPr>
          <w:rFonts w:hAnsi="仿宋"/>
          <w:sz w:val="32"/>
          <w:szCs w:val="32"/>
        </w:rPr>
        <w:t>完成区委和区政府交办的其他任务。</w:t>
      </w:r>
    </w:p>
    <w:p w14:paraId="3EFF0B51">
      <w:pPr>
        <w:pStyle w:val="4"/>
        <w:ind w:firstLine="640" w:firstLineChars="200"/>
        <w:rPr>
          <w:rStyle w:val="31"/>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14:paraId="5388FE95">
      <w:pPr>
        <w:ind w:firstLine="800" w:firstLineChars="250"/>
        <w:rPr>
          <w:rFonts w:ascii="仿宋" w:hAnsi="仿宋" w:eastAsia="仿宋"/>
          <w:sz w:val="32"/>
          <w:szCs w:val="32"/>
        </w:rPr>
      </w:pPr>
      <w:r>
        <w:rPr>
          <w:rFonts w:hint="eastAsia" w:ascii="仿宋" w:hAnsi="仿宋" w:eastAsia="仿宋"/>
          <w:sz w:val="32"/>
          <w:szCs w:val="32"/>
        </w:rPr>
        <w:t>攀枝花市西区财政局下属二级预算单位3个，其中行政单位0个，参照公务员法管理的事业单位</w:t>
      </w:r>
      <w:r>
        <w:rPr>
          <w:rFonts w:hint="eastAsia" w:ascii="仿宋" w:hAnsi="仿宋" w:eastAsia="仿宋"/>
          <w:bCs/>
          <w:sz w:val="32"/>
          <w:szCs w:val="32"/>
        </w:rPr>
        <w:t>2</w:t>
      </w:r>
      <w:r>
        <w:rPr>
          <w:rFonts w:hint="eastAsia" w:ascii="仿宋" w:hAnsi="仿宋" w:eastAsia="仿宋"/>
          <w:sz w:val="32"/>
          <w:szCs w:val="32"/>
        </w:rPr>
        <w:t>个，其他事业单位1个。</w:t>
      </w:r>
    </w:p>
    <w:p w14:paraId="4557A1DD">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纳入攀枝花市西区财政局2022年度部门决算编制范围的二级预算单位包括：</w:t>
      </w:r>
    </w:p>
    <w:p w14:paraId="1063CA16">
      <w:pPr>
        <w:pStyle w:val="6"/>
        <w:numPr>
          <w:ilvl w:val="0"/>
          <w:numId w:val="1"/>
        </w:numPr>
        <w:adjustRightInd w:val="0"/>
        <w:snapToGrid w:val="0"/>
        <w:spacing w:before="93" w:line="600" w:lineRule="exact"/>
        <w:outlineLvl w:val="2"/>
        <w:rPr>
          <w:rFonts w:ascii="仿宋" w:hAnsi="仿宋" w:eastAsia="仿宋"/>
          <w:sz w:val="32"/>
          <w:szCs w:val="32"/>
        </w:rPr>
      </w:pPr>
      <w:r>
        <w:rPr>
          <w:rFonts w:hint="eastAsia" w:hAnsi="仿宋"/>
          <w:sz w:val="32"/>
          <w:szCs w:val="32"/>
        </w:rPr>
        <w:t>攀枝花市西区财政绩效评价中心</w:t>
      </w:r>
    </w:p>
    <w:p w14:paraId="0141E550">
      <w:pPr>
        <w:pStyle w:val="6"/>
        <w:numPr>
          <w:ilvl w:val="0"/>
          <w:numId w:val="1"/>
        </w:numPr>
        <w:adjustRightInd w:val="0"/>
        <w:snapToGrid w:val="0"/>
        <w:spacing w:before="93" w:line="600" w:lineRule="exact"/>
        <w:outlineLvl w:val="2"/>
        <w:rPr>
          <w:rFonts w:ascii="仿宋" w:hAnsi="仿宋" w:eastAsia="仿宋"/>
          <w:sz w:val="32"/>
          <w:szCs w:val="32"/>
        </w:rPr>
      </w:pPr>
      <w:r>
        <w:rPr>
          <w:rFonts w:hint="eastAsia" w:hAnsi="仿宋"/>
          <w:sz w:val="32"/>
          <w:szCs w:val="32"/>
        </w:rPr>
        <w:t>攀枝花市西区财政国库支付中心</w:t>
      </w:r>
    </w:p>
    <w:p w14:paraId="04C1E679">
      <w:pPr>
        <w:pStyle w:val="6"/>
        <w:numPr>
          <w:ilvl w:val="0"/>
          <w:numId w:val="1"/>
        </w:numPr>
        <w:adjustRightInd w:val="0"/>
        <w:snapToGrid w:val="0"/>
        <w:spacing w:before="93" w:line="600" w:lineRule="exact"/>
        <w:rPr>
          <w:rFonts w:ascii="仿宋" w:hAnsi="仿宋" w:eastAsia="仿宋"/>
          <w:sz w:val="32"/>
          <w:szCs w:val="32"/>
        </w:rPr>
      </w:pPr>
      <w:r>
        <w:rPr>
          <w:rFonts w:hint="eastAsia" w:hAnsi="仿宋"/>
          <w:sz w:val="32"/>
          <w:szCs w:val="32"/>
        </w:rPr>
        <w:t>攀枝花市西区财政投资评审中心</w:t>
      </w:r>
    </w:p>
    <w:p w14:paraId="27C11697">
      <w:pPr>
        <w:pStyle w:val="6"/>
        <w:adjustRightInd w:val="0"/>
        <w:snapToGrid w:val="0"/>
        <w:spacing w:before="93" w:line="600" w:lineRule="exact"/>
        <w:ind w:left="672"/>
        <w:rPr>
          <w:rFonts w:ascii="仿宋" w:hAnsi="仿宋" w:eastAsia="仿宋"/>
          <w:sz w:val="32"/>
          <w:szCs w:val="32"/>
        </w:rPr>
      </w:pPr>
    </w:p>
    <w:p w14:paraId="3EE51B1E">
      <w:pPr>
        <w:pStyle w:val="3"/>
        <w:ind w:right="440"/>
        <w:jc w:val="center"/>
        <w:rPr>
          <w:rStyle w:val="30"/>
          <w:rFonts w:ascii="黑体" w:hAnsi="黑体" w:eastAsia="黑体"/>
          <w:b w:val="0"/>
          <w:bCs/>
        </w:rPr>
      </w:pPr>
      <w:bookmarkStart w:id="16" w:name="_Toc15396602"/>
      <w:bookmarkStart w:id="17" w:name="_Toc15377204"/>
      <w:r>
        <w:rPr>
          <w:rFonts w:hint="eastAsia" w:ascii="黑体" w:hAnsi="黑体" w:eastAsia="黑体"/>
          <w:b w:val="0"/>
        </w:rPr>
        <w:t xml:space="preserve"> 第二部分 2022年度</w:t>
      </w:r>
      <w:r>
        <w:rPr>
          <w:rStyle w:val="30"/>
          <w:rFonts w:hint="eastAsia" w:ascii="黑体" w:hAnsi="黑体" w:eastAsia="黑体"/>
          <w:b w:val="0"/>
          <w:bCs/>
        </w:rPr>
        <w:t>部门决算情况说明</w:t>
      </w:r>
      <w:bookmarkEnd w:id="16"/>
      <w:bookmarkEnd w:id="17"/>
    </w:p>
    <w:p w14:paraId="74048A2B"/>
    <w:p w14:paraId="005C5CAF">
      <w:pPr>
        <w:pStyle w:val="29"/>
        <w:numPr>
          <w:ilvl w:val="0"/>
          <w:numId w:val="2"/>
        </w:numPr>
        <w:spacing w:line="600" w:lineRule="exact"/>
        <w:ind w:firstLineChars="0"/>
        <w:outlineLvl w:val="1"/>
        <w:rPr>
          <w:rStyle w:val="31"/>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14:paraId="52339441">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2022年度收、支总计1122.48万元。与2021年相比，收、支总计各增加44.44万元，增长4</w:t>
      </w:r>
      <w:r>
        <w:rPr>
          <w:rFonts w:ascii="仿宋" w:hAnsi="仿宋" w:eastAsia="仿宋"/>
          <w:sz w:val="32"/>
          <w:szCs w:val="32"/>
        </w:rPr>
        <w:t>%</w:t>
      </w:r>
      <w:r>
        <w:rPr>
          <w:rFonts w:hint="eastAsia" w:ascii="仿宋" w:hAnsi="仿宋" w:eastAsia="仿宋"/>
          <w:sz w:val="32"/>
          <w:szCs w:val="32"/>
        </w:rPr>
        <w:t>。主要变动原因是项目工作经费收、支增加。</w:t>
      </w:r>
    </w:p>
    <w:p w14:paraId="44F0CD55">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18EBF5F5">
      <w:pPr>
        <w:pStyle w:val="2"/>
      </w:pPr>
      <w:r>
        <w:rPr>
          <w:rFonts w:hint="eastAsia"/>
        </w:rPr>
        <w:t xml:space="preserve">    </w:t>
      </w:r>
      <w:r>
        <w:drawing>
          <wp:inline distT="0" distB="0" distL="114300" distR="114300">
            <wp:extent cx="4876800" cy="221297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76800" cy="2212975"/>
                    </a:xfrm>
                    <a:prstGeom prst="rect">
                      <a:avLst/>
                    </a:prstGeom>
                    <a:noFill/>
                    <a:ln>
                      <a:noFill/>
                    </a:ln>
                  </pic:spPr>
                </pic:pic>
              </a:graphicData>
            </a:graphic>
          </wp:inline>
        </w:drawing>
      </w:r>
    </w:p>
    <w:p w14:paraId="190ED29D">
      <w:pPr>
        <w:pStyle w:val="29"/>
        <w:numPr>
          <w:ilvl w:val="0"/>
          <w:numId w:val="2"/>
        </w:numPr>
        <w:spacing w:line="600" w:lineRule="exact"/>
        <w:ind w:firstLineChars="0"/>
        <w:outlineLvl w:val="1"/>
        <w:rPr>
          <w:rStyle w:val="31"/>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14:paraId="6C862631">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22年本年收入合计818.88万元，其中：一般公共预算财政拨款收入617.76万元，占75</w:t>
      </w:r>
      <w:r>
        <w:rPr>
          <w:rFonts w:ascii="仿宋" w:hAnsi="仿宋" w:eastAsia="仿宋"/>
          <w:sz w:val="32"/>
          <w:szCs w:val="32"/>
        </w:rPr>
        <w:t>%</w:t>
      </w:r>
      <w:r>
        <w:rPr>
          <w:rFonts w:hint="eastAsia" w:ascii="仿宋" w:hAnsi="仿宋" w:eastAsia="仿宋"/>
          <w:sz w:val="32"/>
          <w:szCs w:val="32"/>
        </w:rPr>
        <w:t>；政府性基金预算财政拨款收入201.07万元，占25</w:t>
      </w:r>
      <w:r>
        <w:rPr>
          <w:rFonts w:ascii="仿宋" w:hAnsi="仿宋" w:eastAsia="仿宋"/>
          <w:sz w:val="32"/>
          <w:szCs w:val="32"/>
        </w:rPr>
        <w:t>%</w:t>
      </w:r>
      <w:r>
        <w:rPr>
          <w:rFonts w:hint="eastAsia" w:ascii="仿宋" w:hAnsi="仿宋" w:eastAsia="仿宋"/>
          <w:sz w:val="32"/>
          <w:szCs w:val="32"/>
        </w:rPr>
        <w:t>；其他收入0.05万元，占0</w:t>
      </w:r>
      <w:r>
        <w:rPr>
          <w:rFonts w:ascii="仿宋" w:hAnsi="仿宋" w:eastAsia="仿宋"/>
          <w:sz w:val="32"/>
          <w:szCs w:val="32"/>
        </w:rPr>
        <w:t>%</w:t>
      </w:r>
      <w:r>
        <w:rPr>
          <w:rFonts w:hint="eastAsia" w:ascii="仿宋" w:hAnsi="仿宋" w:eastAsia="仿宋"/>
          <w:sz w:val="32"/>
          <w:szCs w:val="32"/>
        </w:rPr>
        <w:t>。</w:t>
      </w:r>
    </w:p>
    <w:p w14:paraId="5D46241D">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0B219BAD">
      <w:pPr>
        <w:pStyle w:val="2"/>
      </w:pPr>
      <w:r>
        <w:rPr>
          <w:rFonts w:hint="eastAsia"/>
        </w:rPr>
        <w:t xml:space="preserve">    </w:t>
      </w:r>
      <w:r>
        <w:drawing>
          <wp:inline distT="0" distB="0" distL="114300" distR="114300">
            <wp:extent cx="4858385" cy="2200910"/>
            <wp:effectExtent l="0" t="0" r="317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858385" cy="2200910"/>
                    </a:xfrm>
                    <a:prstGeom prst="rect">
                      <a:avLst/>
                    </a:prstGeom>
                    <a:noFill/>
                    <a:ln>
                      <a:noFill/>
                    </a:ln>
                  </pic:spPr>
                </pic:pic>
              </a:graphicData>
            </a:graphic>
          </wp:inline>
        </w:drawing>
      </w:r>
    </w:p>
    <w:p w14:paraId="71C98ABD">
      <w:pPr>
        <w:pStyle w:val="29"/>
        <w:numPr>
          <w:ilvl w:val="0"/>
          <w:numId w:val="2"/>
        </w:numPr>
        <w:spacing w:line="600" w:lineRule="exact"/>
        <w:ind w:firstLineChars="0"/>
        <w:outlineLvl w:val="1"/>
        <w:rPr>
          <w:rStyle w:val="31"/>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14:paraId="3C318DDD">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22年本年支出合计1122.21万元，其中：基本支出773.38万元，占69</w:t>
      </w:r>
      <w:r>
        <w:rPr>
          <w:rFonts w:ascii="仿宋" w:hAnsi="仿宋" w:eastAsia="仿宋"/>
          <w:sz w:val="32"/>
          <w:szCs w:val="32"/>
        </w:rPr>
        <w:t>%</w:t>
      </w:r>
      <w:r>
        <w:rPr>
          <w:rFonts w:hint="eastAsia" w:ascii="仿宋" w:hAnsi="仿宋" w:eastAsia="仿宋"/>
          <w:sz w:val="32"/>
          <w:szCs w:val="32"/>
        </w:rPr>
        <w:t>；项目支出348.83万元，占31</w:t>
      </w:r>
      <w:r>
        <w:rPr>
          <w:rFonts w:ascii="仿宋" w:hAnsi="仿宋" w:eastAsia="仿宋"/>
          <w:sz w:val="32"/>
          <w:szCs w:val="32"/>
        </w:rPr>
        <w:t>%</w:t>
      </w:r>
      <w:r>
        <w:rPr>
          <w:rFonts w:hint="eastAsia" w:ascii="仿宋" w:hAnsi="仿宋" w:eastAsia="仿宋"/>
          <w:sz w:val="32"/>
          <w:szCs w:val="32"/>
        </w:rPr>
        <w:t>。</w:t>
      </w:r>
    </w:p>
    <w:p w14:paraId="32D746DB">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0DAC229C">
      <w:pPr>
        <w:pStyle w:val="2"/>
      </w:pPr>
      <w:r>
        <w:rPr>
          <w:rFonts w:hint="eastAsia"/>
        </w:rPr>
        <w:t xml:space="preserve">    </w:t>
      </w:r>
      <w:r>
        <w:drawing>
          <wp:inline distT="0" distB="0" distL="114300" distR="114300">
            <wp:extent cx="4846320" cy="22250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846320" cy="2225040"/>
                    </a:xfrm>
                    <a:prstGeom prst="rect">
                      <a:avLst/>
                    </a:prstGeom>
                    <a:noFill/>
                    <a:ln>
                      <a:noFill/>
                    </a:ln>
                  </pic:spPr>
                </pic:pic>
              </a:graphicData>
            </a:graphic>
          </wp:inline>
        </w:drawing>
      </w:r>
    </w:p>
    <w:p w14:paraId="5B75B5B9">
      <w:pPr>
        <w:spacing w:line="600" w:lineRule="exact"/>
        <w:ind w:firstLine="640" w:firstLineChars="200"/>
        <w:outlineLvl w:val="1"/>
        <w:rPr>
          <w:rStyle w:val="31"/>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14:paraId="414C6F2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22年财政拨款收、支总计1122.21万元。与</w:t>
      </w:r>
      <w:r>
        <w:rPr>
          <w:rFonts w:ascii="仿宋" w:hAnsi="仿宋" w:eastAsia="仿宋"/>
          <w:sz w:val="32"/>
          <w:szCs w:val="32"/>
        </w:rPr>
        <w:t>20</w:t>
      </w:r>
      <w:r>
        <w:rPr>
          <w:rFonts w:hint="eastAsia" w:ascii="仿宋" w:hAnsi="仿宋" w:eastAsia="仿宋"/>
          <w:sz w:val="32"/>
          <w:szCs w:val="32"/>
        </w:rPr>
        <w:t>21年相比，财政拨款收、支总计各增加75.61万元，增长7</w:t>
      </w:r>
      <w:r>
        <w:rPr>
          <w:rFonts w:ascii="仿宋" w:hAnsi="仿宋" w:eastAsia="仿宋"/>
          <w:sz w:val="32"/>
          <w:szCs w:val="32"/>
        </w:rPr>
        <w:t>%</w:t>
      </w:r>
      <w:r>
        <w:rPr>
          <w:rFonts w:hint="eastAsia" w:ascii="仿宋" w:hAnsi="仿宋" w:eastAsia="仿宋"/>
          <w:sz w:val="32"/>
          <w:szCs w:val="32"/>
        </w:rPr>
        <w:t>。主要变动原因是项目工作经费收、支增加。</w:t>
      </w:r>
    </w:p>
    <w:p w14:paraId="523AC2E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4393DD86">
      <w:pPr>
        <w:pStyle w:val="2"/>
      </w:pPr>
      <w:r>
        <w:rPr>
          <w:rFonts w:hint="eastAsia"/>
        </w:rPr>
        <w:t xml:space="preserve">    </w:t>
      </w:r>
      <w:r>
        <w:drawing>
          <wp:inline distT="0" distB="0" distL="114300" distR="114300">
            <wp:extent cx="4888865" cy="223710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888865" cy="2237105"/>
                    </a:xfrm>
                    <a:prstGeom prst="rect">
                      <a:avLst/>
                    </a:prstGeom>
                    <a:noFill/>
                    <a:ln>
                      <a:noFill/>
                    </a:ln>
                  </pic:spPr>
                </pic:pic>
              </a:graphicData>
            </a:graphic>
          </wp:inline>
        </w:drawing>
      </w:r>
    </w:p>
    <w:p w14:paraId="6B21DF85">
      <w:pPr>
        <w:spacing w:line="600" w:lineRule="exact"/>
        <w:ind w:firstLine="640" w:firstLineChars="200"/>
        <w:outlineLvl w:val="1"/>
        <w:rPr>
          <w:rStyle w:val="31"/>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14:paraId="2AFBECFB">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C356A87">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22年一般公共预算财政拨款支出921.14万元，占本年支出合计的82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21年相比，一般公共预算财政拨款支出增加129.20万元，增长16</w:t>
      </w:r>
      <w:r>
        <w:rPr>
          <w:rFonts w:ascii="仿宋" w:hAnsi="仿宋" w:eastAsia="仿宋"/>
          <w:sz w:val="32"/>
          <w:szCs w:val="32"/>
        </w:rPr>
        <w:t>%</w:t>
      </w:r>
      <w:r>
        <w:rPr>
          <w:rFonts w:hint="eastAsia" w:ascii="仿宋" w:hAnsi="仿宋" w:eastAsia="仿宋"/>
          <w:sz w:val="32"/>
          <w:szCs w:val="32"/>
        </w:rPr>
        <w:t>。主要变动原因是项目工作经费支出增加。</w:t>
      </w:r>
    </w:p>
    <w:p w14:paraId="4C74A12C">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5672D53D">
      <w:pPr>
        <w:pStyle w:val="2"/>
      </w:pPr>
      <w:r>
        <w:rPr>
          <w:rFonts w:hint="eastAsia"/>
        </w:rPr>
        <w:t xml:space="preserve">     </w:t>
      </w:r>
      <w:r>
        <w:drawing>
          <wp:inline distT="0" distB="0" distL="114300" distR="114300">
            <wp:extent cx="4888865" cy="2212975"/>
            <wp:effectExtent l="0" t="0" r="317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888865" cy="2212975"/>
                    </a:xfrm>
                    <a:prstGeom prst="rect">
                      <a:avLst/>
                    </a:prstGeom>
                    <a:noFill/>
                    <a:ln>
                      <a:noFill/>
                    </a:ln>
                  </pic:spPr>
                </pic:pic>
              </a:graphicData>
            </a:graphic>
          </wp:inline>
        </w:drawing>
      </w:r>
    </w:p>
    <w:p w14:paraId="3185AD6D">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4CC824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22年一般公共预算财政拨款支出921.14万元，主要用于以下方面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584.49万元，占63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264.56万元，占2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29.57万元，占3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42.52万元，占5</w:t>
      </w:r>
      <w:r>
        <w:rPr>
          <w:rFonts w:ascii="仿宋" w:hAnsi="仿宋" w:eastAsia="仿宋"/>
          <w:sz w:val="32"/>
          <w:szCs w:val="32"/>
        </w:rPr>
        <w:t>%</w:t>
      </w:r>
      <w:r>
        <w:rPr>
          <w:rFonts w:hint="eastAsia" w:ascii="仿宋" w:hAnsi="仿宋" w:eastAsia="仿宋"/>
          <w:sz w:val="32"/>
          <w:szCs w:val="32"/>
        </w:rPr>
        <w:t>。</w:t>
      </w:r>
    </w:p>
    <w:p w14:paraId="4690398D">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660227D6">
      <w:pPr>
        <w:pStyle w:val="2"/>
      </w:pPr>
      <w:r>
        <w:rPr>
          <w:rFonts w:hint="eastAsia"/>
        </w:rPr>
        <w:t xml:space="preserve">    </w:t>
      </w:r>
      <w:r>
        <w:drawing>
          <wp:inline distT="0" distB="0" distL="114300" distR="114300">
            <wp:extent cx="4883150" cy="2231390"/>
            <wp:effectExtent l="0" t="0" r="889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883150" cy="2231390"/>
                    </a:xfrm>
                    <a:prstGeom prst="rect">
                      <a:avLst/>
                    </a:prstGeom>
                    <a:noFill/>
                    <a:ln>
                      <a:noFill/>
                    </a:ln>
                  </pic:spPr>
                </pic:pic>
              </a:graphicData>
            </a:graphic>
          </wp:inline>
        </w:drawing>
      </w:r>
    </w:p>
    <w:p w14:paraId="3AD97D6E">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FC62DC3">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2022年一般公共预算支出决算数为</w:t>
      </w:r>
      <w:r>
        <w:rPr>
          <w:rFonts w:hint="eastAsia" w:ascii="仿宋" w:hAnsi="仿宋" w:eastAsia="仿宋"/>
          <w:sz w:val="32"/>
          <w:szCs w:val="32"/>
        </w:rPr>
        <w:t>921.14万元，</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14:paraId="4CAB44F9">
      <w:pPr>
        <w:spacing w:line="600" w:lineRule="exact"/>
        <w:ind w:firstLine="643"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一般公共服务（类）</w:t>
      </w:r>
      <w:r>
        <w:rPr>
          <w:rStyle w:val="18"/>
          <w:rFonts w:hint="eastAsia" w:ascii="仿宋" w:hAnsi="仿宋" w:eastAsia="仿宋"/>
          <w:bCs/>
          <w:color w:val="000000"/>
          <w:sz w:val="32"/>
          <w:szCs w:val="32"/>
        </w:rPr>
        <w:t>财政事务（款）行政运行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支出决算为286.94万元，完成预算100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Cs/>
          <w:color w:val="000000"/>
          <w:sz w:val="32"/>
          <w:szCs w:val="32"/>
        </w:rPr>
        <w:t>一般行政管理事务（项）</w:t>
      </w:r>
      <w:r>
        <w:rPr>
          <w:rStyle w:val="18"/>
          <w:rFonts w:ascii="仿宋" w:hAnsi="仿宋" w:eastAsia="仿宋"/>
          <w:bCs/>
          <w:color w:val="000000"/>
          <w:sz w:val="32"/>
          <w:szCs w:val="32"/>
        </w:rPr>
        <w:t xml:space="preserve">: </w:t>
      </w:r>
      <w:r>
        <w:rPr>
          <w:rStyle w:val="18"/>
          <w:rFonts w:hint="eastAsia" w:ascii="仿宋" w:hAnsi="仿宋" w:eastAsia="仿宋"/>
          <w:b w:val="0"/>
          <w:color w:val="000000"/>
          <w:sz w:val="32"/>
          <w:szCs w:val="32"/>
        </w:rPr>
        <w:t>支出决算为119.76万元，完成预算100</w:t>
      </w:r>
      <w:r>
        <w:rPr>
          <w:rStyle w:val="18"/>
          <w:rFonts w:ascii="仿宋" w:hAnsi="仿宋" w:eastAsia="仿宋"/>
          <w:b w:val="0"/>
          <w:color w:val="000000"/>
          <w:sz w:val="32"/>
          <w:szCs w:val="32"/>
        </w:rPr>
        <w:t>%</w:t>
      </w:r>
      <w:r>
        <w:rPr>
          <w:rStyle w:val="18"/>
          <w:rFonts w:hint="eastAsia" w:ascii="仿宋" w:hAnsi="仿宋" w:eastAsia="仿宋"/>
          <w:b w:val="0"/>
          <w:color w:val="000000"/>
          <w:sz w:val="32"/>
          <w:szCs w:val="32"/>
        </w:rPr>
        <w:t>；事业运行</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 xml:space="preserve">: </w:t>
      </w:r>
      <w:r>
        <w:rPr>
          <w:rStyle w:val="18"/>
          <w:rFonts w:hint="eastAsia" w:ascii="仿宋" w:hAnsi="仿宋" w:eastAsia="仿宋"/>
          <w:b w:val="0"/>
          <w:color w:val="000000"/>
          <w:sz w:val="32"/>
          <w:szCs w:val="32"/>
        </w:rPr>
        <w:t>支出决算为149.80万元，完成预算100</w:t>
      </w:r>
      <w:r>
        <w:rPr>
          <w:rStyle w:val="18"/>
          <w:rFonts w:ascii="仿宋" w:hAnsi="仿宋" w:eastAsia="仿宋"/>
          <w:b w:val="0"/>
          <w:color w:val="000000"/>
          <w:sz w:val="32"/>
          <w:szCs w:val="32"/>
        </w:rPr>
        <w:t>%</w:t>
      </w:r>
      <w:r>
        <w:rPr>
          <w:rStyle w:val="18"/>
          <w:rFonts w:hint="eastAsia" w:ascii="仿宋" w:hAnsi="仿宋" w:eastAsia="仿宋"/>
          <w:b w:val="0"/>
          <w:color w:val="000000"/>
          <w:sz w:val="32"/>
          <w:szCs w:val="32"/>
        </w:rPr>
        <w:t>；</w:t>
      </w:r>
      <w:r>
        <w:rPr>
          <w:rStyle w:val="18"/>
          <w:rFonts w:hint="eastAsia" w:ascii="仿宋" w:hAnsi="仿宋" w:eastAsia="仿宋"/>
          <w:bCs/>
          <w:color w:val="000000"/>
          <w:sz w:val="32"/>
          <w:szCs w:val="32"/>
        </w:rPr>
        <w:t>其他财政事务支出（项）</w:t>
      </w:r>
      <w:r>
        <w:rPr>
          <w:rStyle w:val="18"/>
          <w:rFonts w:ascii="仿宋" w:hAnsi="仿宋" w:eastAsia="仿宋"/>
          <w:bCs/>
          <w:color w:val="000000"/>
          <w:sz w:val="32"/>
          <w:szCs w:val="32"/>
        </w:rPr>
        <w:t xml:space="preserve">: </w:t>
      </w:r>
      <w:r>
        <w:rPr>
          <w:rStyle w:val="18"/>
          <w:rFonts w:hint="eastAsia" w:ascii="仿宋" w:hAnsi="仿宋" w:eastAsia="仿宋"/>
          <w:b w:val="0"/>
          <w:color w:val="000000"/>
          <w:sz w:val="32"/>
          <w:szCs w:val="32"/>
        </w:rPr>
        <w:t>支出决算为28万元，完成预算100</w:t>
      </w:r>
      <w:r>
        <w:rPr>
          <w:rStyle w:val="18"/>
          <w:rFonts w:ascii="仿宋" w:hAnsi="仿宋" w:eastAsia="仿宋"/>
          <w:b w:val="0"/>
          <w:color w:val="000000"/>
          <w:sz w:val="32"/>
          <w:szCs w:val="32"/>
        </w:rPr>
        <w:t>%</w:t>
      </w:r>
      <w:r>
        <w:rPr>
          <w:rStyle w:val="18"/>
          <w:rFonts w:hint="eastAsia" w:ascii="仿宋" w:hAnsi="仿宋" w:eastAsia="仿宋"/>
          <w:b w:val="0"/>
          <w:bCs/>
          <w:sz w:val="32"/>
          <w:szCs w:val="32"/>
        </w:rPr>
        <w:t>。</w:t>
      </w:r>
    </w:p>
    <w:p w14:paraId="329B735C">
      <w:pPr>
        <w:spacing w:line="600" w:lineRule="exact"/>
        <w:ind w:firstLine="643" w:firstLineChars="200"/>
        <w:rPr>
          <w:rFonts w:ascii="仿宋" w:hAnsi="仿宋" w:eastAsia="仿宋"/>
          <w:b/>
          <w:sz w:val="32"/>
          <w:szCs w:val="32"/>
        </w:rPr>
      </w:pPr>
      <w:r>
        <w:rPr>
          <w:rStyle w:val="18"/>
          <w:rFonts w:hint="eastAsia" w:ascii="仿宋_GB2312" w:hAnsi="仿宋" w:eastAsia="仿宋_GB2312"/>
          <w:bCs/>
          <w:color w:val="000000"/>
          <w:sz w:val="32"/>
          <w:szCs w:val="32"/>
        </w:rPr>
        <w:t xml:space="preserve">2.社会保障和就业支出（类）行政事业单位养老支出（款）行政单位离退休（项）: </w:t>
      </w:r>
      <w:r>
        <w:rPr>
          <w:rStyle w:val="18"/>
          <w:rFonts w:hint="eastAsia" w:ascii="仿宋_GB2312" w:hAnsi="仿宋" w:eastAsia="仿宋_GB2312"/>
          <w:b w:val="0"/>
          <w:color w:val="000000"/>
          <w:sz w:val="32"/>
          <w:szCs w:val="32"/>
        </w:rPr>
        <w:t>支出决算为4.31万元，完成预算100%；</w:t>
      </w:r>
      <w:r>
        <w:rPr>
          <w:rStyle w:val="18"/>
          <w:rFonts w:hint="eastAsia" w:ascii="仿宋_GB2312" w:hAnsi="仿宋" w:eastAsia="仿宋_GB2312"/>
          <w:bCs/>
          <w:color w:val="000000"/>
          <w:sz w:val="32"/>
          <w:szCs w:val="32"/>
        </w:rPr>
        <w:t xml:space="preserve">机关事业单位基本养老保险缴费支出（项）: </w:t>
      </w:r>
      <w:r>
        <w:rPr>
          <w:rStyle w:val="18"/>
          <w:rFonts w:hint="eastAsia" w:ascii="仿宋_GB2312" w:hAnsi="仿宋" w:eastAsia="仿宋_GB2312"/>
          <w:b w:val="0"/>
          <w:color w:val="000000"/>
          <w:sz w:val="32"/>
          <w:szCs w:val="32"/>
        </w:rPr>
        <w:t>支出决算为33.28万元，完成预算100%。</w:t>
      </w:r>
      <w:r>
        <w:rPr>
          <w:rStyle w:val="18"/>
          <w:rFonts w:hint="eastAsia" w:ascii="仿宋_GB2312" w:hAnsi="仿宋" w:eastAsia="仿宋_GB2312" w:cstheme="minorBidi"/>
          <w:bCs/>
          <w:color w:val="000000"/>
          <w:sz w:val="32"/>
          <w:szCs w:val="32"/>
        </w:rPr>
        <w:t>抚恤</w:t>
      </w:r>
      <w:r>
        <w:rPr>
          <w:rStyle w:val="18"/>
          <w:rFonts w:hint="eastAsia" w:ascii="仿宋_GB2312" w:hAnsi="仿宋" w:eastAsia="仿宋_GB2312"/>
          <w:color w:val="000000"/>
          <w:sz w:val="32"/>
          <w:szCs w:val="32"/>
        </w:rPr>
        <w:t>（</w:t>
      </w:r>
      <w:r>
        <w:rPr>
          <w:rStyle w:val="18"/>
          <w:rFonts w:hint="eastAsia" w:ascii="仿宋_GB2312" w:hAnsi="仿宋" w:eastAsia="仿宋_GB2312"/>
          <w:bCs/>
          <w:color w:val="000000"/>
          <w:sz w:val="32"/>
          <w:szCs w:val="32"/>
        </w:rPr>
        <w:t xml:space="preserve">款）死亡抚恤（项）: </w:t>
      </w:r>
      <w:r>
        <w:rPr>
          <w:rStyle w:val="18"/>
          <w:rFonts w:hint="eastAsia" w:ascii="仿宋_GB2312" w:hAnsi="仿宋" w:eastAsia="仿宋_GB2312"/>
          <w:b w:val="0"/>
          <w:color w:val="000000"/>
          <w:sz w:val="32"/>
          <w:szCs w:val="32"/>
        </w:rPr>
        <w:t>支出决算为39.49万元，完成预算100%。</w:t>
      </w:r>
      <w:r>
        <w:rPr>
          <w:rStyle w:val="18"/>
          <w:rFonts w:hint="eastAsia" w:ascii="仿宋_GB2312" w:hAnsi="仿宋" w:eastAsia="仿宋_GB2312"/>
          <w:color w:val="000000"/>
          <w:sz w:val="32"/>
          <w:szCs w:val="32"/>
        </w:rPr>
        <w:t>残疾人事业（</w:t>
      </w:r>
      <w:r>
        <w:rPr>
          <w:rStyle w:val="18"/>
          <w:rFonts w:hint="eastAsia" w:ascii="仿宋_GB2312" w:hAnsi="仿宋" w:eastAsia="仿宋_GB2312"/>
          <w:bCs/>
          <w:color w:val="000000"/>
          <w:sz w:val="32"/>
          <w:szCs w:val="32"/>
        </w:rPr>
        <w:t xml:space="preserve">款）其他残疾人事业支出（项）: </w:t>
      </w:r>
      <w:r>
        <w:rPr>
          <w:rStyle w:val="18"/>
          <w:rFonts w:hint="eastAsia" w:ascii="仿宋_GB2312" w:hAnsi="仿宋" w:eastAsia="仿宋_GB2312"/>
          <w:b w:val="0"/>
          <w:color w:val="000000"/>
          <w:sz w:val="32"/>
          <w:szCs w:val="32"/>
        </w:rPr>
        <w:t>支出决算为187.48万元，完成预算100%。</w:t>
      </w:r>
    </w:p>
    <w:p w14:paraId="424367B0">
      <w:pPr>
        <w:spacing w:line="600" w:lineRule="exact"/>
        <w:ind w:firstLine="643" w:firstLineChars="200"/>
        <w:rPr>
          <w:rStyle w:val="18"/>
          <w:rFonts w:ascii="仿宋_GB2312" w:hAnsi="仿宋" w:eastAsia="仿宋_GB2312"/>
          <w:bCs/>
          <w:color w:val="000000"/>
          <w:sz w:val="32"/>
          <w:szCs w:val="32"/>
        </w:rPr>
      </w:pPr>
      <w:r>
        <w:rPr>
          <w:rStyle w:val="18"/>
          <w:rFonts w:hint="eastAsia" w:ascii="仿宋_GB2312" w:hAnsi="仿宋" w:eastAsia="仿宋_GB2312"/>
          <w:bCs/>
          <w:color w:val="000000"/>
          <w:sz w:val="32"/>
          <w:szCs w:val="32"/>
        </w:rPr>
        <w:t>3.</w:t>
      </w:r>
      <w:r>
        <w:rPr>
          <w:rFonts w:hint="eastAsia" w:ascii="仿宋_GB2312" w:hAnsi="仿宋" w:eastAsia="仿宋_GB2312"/>
          <w:b/>
          <w:bCs/>
          <w:color w:val="000000"/>
          <w:sz w:val="32"/>
          <w:szCs w:val="32"/>
        </w:rPr>
        <w:t>卫生健康支出</w:t>
      </w:r>
      <w:r>
        <w:rPr>
          <w:rStyle w:val="18"/>
          <w:rFonts w:hint="eastAsia" w:ascii="仿宋_GB2312" w:hAnsi="仿宋" w:eastAsia="仿宋_GB2312"/>
          <w:bCs/>
          <w:color w:val="000000"/>
          <w:sz w:val="32"/>
          <w:szCs w:val="32"/>
        </w:rPr>
        <w:t>（类）行政事业单位医疗（款）行政单位医疗（项）:</w:t>
      </w:r>
      <w:r>
        <w:rPr>
          <w:rStyle w:val="18"/>
          <w:rFonts w:hint="eastAsia" w:ascii="仿宋_GB2312" w:hAnsi="仿宋" w:eastAsia="仿宋_GB2312"/>
          <w:b w:val="0"/>
          <w:color w:val="000000"/>
          <w:sz w:val="32"/>
          <w:szCs w:val="32"/>
        </w:rPr>
        <w:t>支出决算为16.87万元，完成预算100%；</w:t>
      </w:r>
      <w:r>
        <w:rPr>
          <w:rStyle w:val="18"/>
          <w:rFonts w:hint="eastAsia" w:ascii="仿宋_GB2312" w:hAnsi="仿宋" w:eastAsia="仿宋_GB2312"/>
          <w:color w:val="000000"/>
          <w:sz w:val="32"/>
          <w:szCs w:val="32"/>
        </w:rPr>
        <w:t>事业单位医疗</w:t>
      </w:r>
      <w:r>
        <w:rPr>
          <w:rStyle w:val="18"/>
          <w:rFonts w:hint="eastAsia" w:ascii="仿宋_GB2312" w:hAnsi="仿宋" w:eastAsia="仿宋_GB2312"/>
          <w:bCs/>
          <w:color w:val="000000"/>
          <w:sz w:val="32"/>
          <w:szCs w:val="32"/>
        </w:rPr>
        <w:t>（项）:</w:t>
      </w:r>
      <w:r>
        <w:rPr>
          <w:rStyle w:val="18"/>
          <w:rFonts w:hint="eastAsia" w:ascii="仿宋_GB2312" w:hAnsi="仿宋" w:eastAsia="仿宋_GB2312"/>
          <w:b w:val="0"/>
          <w:color w:val="000000"/>
          <w:sz w:val="32"/>
          <w:szCs w:val="32"/>
        </w:rPr>
        <w:t>支出决算为9.98万元，完成预算100%；</w:t>
      </w:r>
      <w:r>
        <w:rPr>
          <w:rStyle w:val="18"/>
          <w:rFonts w:hint="eastAsia" w:ascii="仿宋_GB2312" w:hAnsi="仿宋" w:eastAsia="仿宋_GB2312"/>
          <w:color w:val="000000"/>
          <w:sz w:val="32"/>
          <w:szCs w:val="32"/>
        </w:rPr>
        <w:t>公务员医疗补助</w:t>
      </w:r>
      <w:r>
        <w:rPr>
          <w:rStyle w:val="18"/>
          <w:rFonts w:hint="eastAsia" w:ascii="仿宋_GB2312" w:hAnsi="仿宋" w:eastAsia="仿宋_GB2312"/>
          <w:bCs/>
          <w:color w:val="000000"/>
          <w:sz w:val="32"/>
          <w:szCs w:val="32"/>
        </w:rPr>
        <w:t>（项）:</w:t>
      </w:r>
      <w:r>
        <w:rPr>
          <w:rStyle w:val="18"/>
          <w:rFonts w:hint="eastAsia" w:ascii="仿宋_GB2312" w:hAnsi="仿宋" w:eastAsia="仿宋_GB2312"/>
          <w:b w:val="0"/>
          <w:color w:val="000000"/>
          <w:sz w:val="32"/>
          <w:szCs w:val="32"/>
        </w:rPr>
        <w:t>支出决算为1.83万元，完成预算100%；</w:t>
      </w:r>
      <w:r>
        <w:rPr>
          <w:rStyle w:val="18"/>
          <w:rFonts w:hint="eastAsia" w:ascii="仿宋_GB2312" w:hAnsi="仿宋" w:eastAsia="仿宋_GB2312"/>
          <w:bCs/>
          <w:color w:val="000000"/>
          <w:sz w:val="32"/>
          <w:szCs w:val="32"/>
        </w:rPr>
        <w:t>其他行政事业单位医疗支出（项）:</w:t>
      </w:r>
      <w:r>
        <w:rPr>
          <w:rStyle w:val="18"/>
          <w:rFonts w:hint="eastAsia" w:ascii="仿宋_GB2312" w:hAnsi="仿宋" w:eastAsia="仿宋_GB2312"/>
          <w:b w:val="0"/>
          <w:color w:val="000000"/>
          <w:sz w:val="32"/>
          <w:szCs w:val="32"/>
        </w:rPr>
        <w:t>支出决算为0.88万元，完成预算100%。</w:t>
      </w:r>
    </w:p>
    <w:p w14:paraId="53C91AAE">
      <w:pPr>
        <w:tabs>
          <w:tab w:val="right" w:pos="8306"/>
        </w:tabs>
        <w:spacing w:line="600" w:lineRule="exact"/>
        <w:ind w:firstLine="640"/>
        <w:outlineLvl w:val="1"/>
        <w:rPr>
          <w:rStyle w:val="18"/>
          <w:rFonts w:ascii="仿宋_GB2312" w:hAnsi="仿宋" w:eastAsia="仿宋_GB2312"/>
          <w:b w:val="0"/>
          <w:color w:val="000000"/>
          <w:sz w:val="32"/>
          <w:szCs w:val="32"/>
        </w:rPr>
      </w:pPr>
      <w:r>
        <w:rPr>
          <w:rStyle w:val="18"/>
          <w:rFonts w:hint="eastAsia" w:ascii="仿宋_GB2312" w:hAnsi="仿宋" w:eastAsia="仿宋_GB2312"/>
          <w:bCs/>
          <w:color w:val="000000"/>
          <w:sz w:val="32"/>
          <w:szCs w:val="32"/>
        </w:rPr>
        <w:t>4.住房保障支出（类）住房改革支出（款）住房公积金（项）:</w:t>
      </w:r>
      <w:r>
        <w:rPr>
          <w:rStyle w:val="18"/>
          <w:rFonts w:hint="eastAsia" w:ascii="仿宋_GB2312" w:hAnsi="仿宋" w:eastAsia="仿宋_GB2312"/>
          <w:b w:val="0"/>
          <w:color w:val="000000"/>
          <w:sz w:val="32"/>
          <w:szCs w:val="32"/>
        </w:rPr>
        <w:t>支出决算为42.52万元，完成预算100%。</w:t>
      </w:r>
      <w:bookmarkStart w:id="34" w:name="_Toc15396608"/>
      <w:bookmarkStart w:id="35" w:name="_Toc15377214"/>
    </w:p>
    <w:p w14:paraId="7BE6DE1B">
      <w:pPr>
        <w:tabs>
          <w:tab w:val="right" w:pos="8306"/>
        </w:tabs>
        <w:spacing w:line="600" w:lineRule="exact"/>
        <w:ind w:firstLine="640"/>
        <w:outlineLvl w:val="1"/>
        <w:rPr>
          <w:rStyle w:val="3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14:paraId="24B76392">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22年一般公共预算财政拨款基本支出773.38万元，其中：</w:t>
      </w:r>
    </w:p>
    <w:p w14:paraId="143E5DA1">
      <w:pPr>
        <w:spacing w:line="600" w:lineRule="exact"/>
        <w:ind w:firstLine="645"/>
        <w:rPr>
          <w:rFonts w:ascii="仿宋" w:hAnsi="仿宋" w:eastAsia="仿宋"/>
          <w:sz w:val="32"/>
          <w:szCs w:val="32"/>
        </w:rPr>
      </w:pPr>
      <w:r>
        <w:rPr>
          <w:rFonts w:hint="eastAsia" w:ascii="仿宋" w:hAnsi="仿宋" w:eastAsia="仿宋"/>
          <w:sz w:val="32"/>
          <w:szCs w:val="32"/>
        </w:rPr>
        <w:t>人员经费731.24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42.14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640507B">
      <w:pPr>
        <w:spacing w:line="600" w:lineRule="exact"/>
        <w:ind w:firstLine="640"/>
        <w:outlineLvl w:val="1"/>
        <w:rPr>
          <w:rStyle w:val="31"/>
          <w:rFonts w:ascii="黑体" w:hAnsi="黑体" w:eastAsia="黑体"/>
          <w:b w:val="0"/>
        </w:rPr>
      </w:pPr>
      <w:bookmarkStart w:id="36" w:name="_Toc15396609"/>
      <w:bookmarkStart w:id="37"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14:paraId="1BB64BC1">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E20063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22年“三公”经费财政拨款支出决算为3.65万元，完成预算100</w:t>
      </w:r>
      <w:r>
        <w:rPr>
          <w:rFonts w:ascii="仿宋" w:hAnsi="仿宋" w:eastAsia="仿宋"/>
          <w:sz w:val="32"/>
          <w:szCs w:val="32"/>
        </w:rPr>
        <w:t>%</w:t>
      </w:r>
      <w:r>
        <w:rPr>
          <w:rFonts w:hint="eastAsia" w:ascii="仿宋" w:hAnsi="仿宋" w:eastAsia="仿宋"/>
          <w:sz w:val="32"/>
          <w:szCs w:val="32"/>
        </w:rPr>
        <w:t>，较上年增加0.70万元，增长24%</w:t>
      </w:r>
      <w:r>
        <w:rPr>
          <w:rFonts w:hint="eastAsia" w:ascii="仿宋" w:hAnsi="仿宋" w:eastAsia="仿宋"/>
          <w:sz w:val="32"/>
          <w:szCs w:val="32"/>
          <w:lang w:eastAsia="zh-CN"/>
        </w:rPr>
        <w:t>，</w:t>
      </w:r>
      <w:r>
        <w:rPr>
          <w:rFonts w:hint="eastAsia" w:ascii="仿宋" w:hAnsi="仿宋" w:eastAsia="仿宋"/>
          <w:sz w:val="32"/>
          <w:szCs w:val="32"/>
          <w:lang w:val="en-US" w:eastAsia="zh-CN"/>
        </w:rPr>
        <w:t>增长的原因是开展业务工作交流需要</w:t>
      </w:r>
      <w:bookmarkStart w:id="67" w:name="_GoBack"/>
      <w:bookmarkEnd w:id="67"/>
      <w:r>
        <w:rPr>
          <w:rFonts w:hint="eastAsia" w:ascii="仿宋" w:hAnsi="仿宋" w:eastAsia="仿宋"/>
          <w:sz w:val="32"/>
          <w:szCs w:val="32"/>
        </w:rPr>
        <w:t>。</w:t>
      </w:r>
    </w:p>
    <w:p w14:paraId="38742BB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47059DB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；公务用车购置及运行维护费支出决算2.50万元，占68</w:t>
      </w:r>
      <w:r>
        <w:rPr>
          <w:rFonts w:ascii="仿宋" w:hAnsi="仿宋" w:eastAsia="仿宋"/>
          <w:sz w:val="32"/>
          <w:szCs w:val="32"/>
        </w:rPr>
        <w:t>%</w:t>
      </w:r>
      <w:r>
        <w:rPr>
          <w:rFonts w:hint="eastAsia" w:ascii="仿宋" w:hAnsi="仿宋" w:eastAsia="仿宋"/>
          <w:sz w:val="32"/>
          <w:szCs w:val="32"/>
        </w:rPr>
        <w:t>；公务接待费支出决算1.15万元，占32</w:t>
      </w:r>
      <w:r>
        <w:rPr>
          <w:rFonts w:ascii="仿宋" w:hAnsi="仿宋" w:eastAsia="仿宋"/>
          <w:sz w:val="32"/>
          <w:szCs w:val="32"/>
        </w:rPr>
        <w:t>%</w:t>
      </w:r>
      <w:r>
        <w:rPr>
          <w:rFonts w:hint="eastAsia" w:ascii="仿宋" w:hAnsi="仿宋" w:eastAsia="仿宋"/>
          <w:sz w:val="32"/>
          <w:szCs w:val="32"/>
        </w:rPr>
        <w:t>。具体情况如下：</w:t>
      </w:r>
    </w:p>
    <w:p w14:paraId="65F9E0C1">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48565F6F">
      <w:pPr>
        <w:pStyle w:val="2"/>
      </w:pPr>
      <w:r>
        <w:rPr>
          <w:rFonts w:hint="eastAsia"/>
        </w:rPr>
        <w:t xml:space="preserve">    </w:t>
      </w:r>
      <w:r>
        <w:drawing>
          <wp:inline distT="0" distB="0" distL="114300" distR="114300">
            <wp:extent cx="4876800" cy="22250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4876800" cy="2225040"/>
                    </a:xfrm>
                    <a:prstGeom prst="rect">
                      <a:avLst/>
                    </a:prstGeom>
                    <a:noFill/>
                    <a:ln>
                      <a:noFill/>
                    </a:ln>
                  </pic:spPr>
                </pic:pic>
              </a:graphicData>
            </a:graphic>
          </wp:inline>
        </w:drawing>
      </w:r>
    </w:p>
    <w:p w14:paraId="25353CDA">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0万元，完成</w:t>
      </w:r>
      <w:r>
        <w:rPr>
          <w:rStyle w:val="18"/>
          <w:rFonts w:hint="eastAsia" w:ascii="仿宋" w:hAnsi="仿宋" w:eastAsia="仿宋"/>
          <w:b w:val="0"/>
          <w:bCs/>
          <w:sz w:val="32"/>
          <w:szCs w:val="32"/>
        </w:rPr>
        <w:t>预算0%。</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21年持平。</w:t>
      </w:r>
    </w:p>
    <w:p w14:paraId="4E303FB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2.50万元,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21年持平。</w:t>
      </w:r>
    </w:p>
    <w:p w14:paraId="37CDD19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月底，单位共有公务用车1辆，其中：轿车0辆、越野车1辆、载客汽车0辆。</w:t>
      </w:r>
    </w:p>
    <w:p w14:paraId="4CBCAB9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2.50万元。主要用于</w:t>
      </w:r>
      <w:r>
        <w:rPr>
          <w:rFonts w:hint="eastAsia" w:ascii="仿宋_GB2312" w:eastAsia="仿宋_GB2312"/>
          <w:color w:val="000000"/>
          <w:sz w:val="32"/>
          <w:szCs w:val="32"/>
        </w:rPr>
        <w:t>财政投资评审、</w:t>
      </w:r>
      <w:r>
        <w:rPr>
          <w:rFonts w:hint="eastAsia" w:ascii="仿宋_GB2312" w:hAnsi="仿宋" w:eastAsia="仿宋_GB2312"/>
          <w:color w:val="000000"/>
          <w:sz w:val="32"/>
          <w:szCs w:val="32"/>
        </w:rPr>
        <w:t>项目现场调研、农业综合开发项目、西区产业园区发展、</w:t>
      </w:r>
      <w:r>
        <w:rPr>
          <w:rFonts w:hint="eastAsia" w:ascii="仿宋_GB2312" w:hAnsi="仿宋" w:eastAsia="仿宋_GB2312"/>
          <w:sz w:val="32"/>
          <w:szCs w:val="32"/>
        </w:rPr>
        <w:t>“三供一业”分离移交</w:t>
      </w:r>
      <w:r>
        <w:rPr>
          <w:rFonts w:hint="eastAsia" w:ascii="仿宋_GB2312" w:eastAsia="仿宋_GB2312"/>
          <w:color w:val="000000"/>
          <w:sz w:val="32"/>
          <w:szCs w:val="32"/>
        </w:rPr>
        <w:t>等</w:t>
      </w:r>
      <w:r>
        <w:rPr>
          <w:rFonts w:hint="eastAsia" w:ascii="仿宋_GB2312" w:hAnsi="仿宋" w:eastAsia="仿宋_GB2312"/>
          <w:color w:val="000000"/>
          <w:sz w:val="32"/>
          <w:szCs w:val="32"/>
        </w:rPr>
        <w:t>工作</w:t>
      </w:r>
      <w:r>
        <w:rPr>
          <w:rFonts w:hint="eastAsia" w:ascii="仿宋_GB2312" w:eastAsia="仿宋_GB2312"/>
          <w:sz w:val="32"/>
          <w:szCs w:val="32"/>
        </w:rPr>
        <w:t>所需的公务用车燃料费、维修费、过路过桥费、保险费等支出。</w:t>
      </w:r>
    </w:p>
    <w:p w14:paraId="6C2C90B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1.15万元，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21年增加0.70万元，增长155</w:t>
      </w:r>
      <w:r>
        <w:rPr>
          <w:rFonts w:ascii="仿宋_GB2312" w:eastAsia="仿宋_GB2312"/>
          <w:sz w:val="32"/>
          <w:szCs w:val="32"/>
        </w:rPr>
        <w:t>%</w:t>
      </w:r>
      <w:r>
        <w:rPr>
          <w:rFonts w:hint="eastAsia" w:ascii="仿宋_GB2312" w:eastAsia="仿宋_GB2312"/>
          <w:sz w:val="32"/>
          <w:szCs w:val="32"/>
        </w:rPr>
        <w:t>。主要原因是开展业务工作需要。其中：</w:t>
      </w:r>
    </w:p>
    <w:p w14:paraId="39EEF5EC">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1.15</w:t>
      </w:r>
      <w:r>
        <w:rPr>
          <w:rFonts w:hint="eastAsia" w:ascii="仿宋_GB2312" w:eastAsia="仿宋_GB2312"/>
          <w:sz w:val="32"/>
          <w:szCs w:val="32"/>
        </w:rPr>
        <w:t>万元，主要用于执行公务、开展业务活动开支的用餐费。国内公务接待8批次，98人次，共计支出1.15万元，具体内容包括：财政预算管理一体化工作0.34万元，直达资金支付等工作0.45万元，资产管理工作0.21万元，财政系统法治建设工作0.15万元。</w:t>
      </w:r>
    </w:p>
    <w:p w14:paraId="69E9A776">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万元。外事接待0批次，0人次，共计支出0万元。</w:t>
      </w:r>
    </w:p>
    <w:p w14:paraId="4446634C">
      <w:pPr>
        <w:spacing w:line="600" w:lineRule="exact"/>
        <w:ind w:firstLine="640"/>
        <w:outlineLvl w:val="1"/>
        <w:rPr>
          <w:rStyle w:val="31"/>
          <w:rFonts w:ascii="黑体" w:hAnsi="黑体" w:eastAsia="黑体"/>
        </w:rPr>
      </w:pPr>
      <w:bookmarkStart w:id="40" w:name="_Toc15396610"/>
      <w:bookmarkStart w:id="41" w:name="_Toc15377218"/>
      <w:r>
        <w:rPr>
          <w:rFonts w:hint="eastAsia" w:ascii="黑体" w:eastAsia="黑体"/>
          <w:sz w:val="32"/>
          <w:szCs w:val="32"/>
        </w:rPr>
        <w:t>八、</w:t>
      </w:r>
      <w:r>
        <w:rPr>
          <w:rStyle w:val="31"/>
          <w:rFonts w:hint="eastAsia" w:ascii="黑体" w:hAnsi="黑体" w:eastAsia="黑体"/>
          <w:b w:val="0"/>
        </w:rPr>
        <w:t>政府性基金预算支出决算情况说明</w:t>
      </w:r>
      <w:bookmarkEnd w:id="40"/>
      <w:bookmarkEnd w:id="41"/>
    </w:p>
    <w:p w14:paraId="15AE7344">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22年政府性基金预算财政拨款支出201.07万元。</w:t>
      </w:r>
    </w:p>
    <w:p w14:paraId="3F712240">
      <w:pPr>
        <w:numPr>
          <w:ilvl w:val="0"/>
          <w:numId w:val="3"/>
        </w:numPr>
        <w:spacing w:line="600" w:lineRule="exact"/>
        <w:ind w:firstLine="640"/>
        <w:outlineLvl w:val="1"/>
        <w:rPr>
          <w:rStyle w:val="31"/>
          <w:rFonts w:ascii="黑体" w:hAnsi="黑体" w:eastAsia="黑体"/>
          <w:b w:val="0"/>
        </w:rPr>
      </w:pPr>
      <w:bookmarkStart w:id="42" w:name="_Toc15377219"/>
      <w:bookmarkStart w:id="43" w:name="_Toc15396611"/>
      <w:r>
        <w:rPr>
          <w:rStyle w:val="31"/>
          <w:rFonts w:hint="eastAsia" w:ascii="黑体" w:hAnsi="黑体" w:eastAsia="黑体"/>
          <w:b w:val="0"/>
        </w:rPr>
        <w:t>国有资本经营预算支出决算情况说明</w:t>
      </w:r>
      <w:bookmarkEnd w:id="42"/>
      <w:bookmarkEnd w:id="43"/>
    </w:p>
    <w:p w14:paraId="0312B5A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14:paraId="3D3DD504">
      <w:pPr>
        <w:numPr>
          <w:ilvl w:val="0"/>
          <w:numId w:val="3"/>
        </w:numPr>
        <w:spacing w:line="600" w:lineRule="exact"/>
        <w:ind w:firstLine="640"/>
        <w:outlineLvl w:val="1"/>
        <w:rPr>
          <w:rStyle w:val="31"/>
          <w:rFonts w:ascii="黑体" w:hAnsi="黑体" w:eastAsia="黑体"/>
          <w:b w:val="0"/>
        </w:rPr>
      </w:pPr>
      <w:bookmarkStart w:id="44" w:name="_Toc15377221"/>
      <w:bookmarkStart w:id="45" w:name="_Toc15396612"/>
      <w:r>
        <w:rPr>
          <w:rStyle w:val="31"/>
          <w:rFonts w:hint="eastAsia" w:ascii="黑体" w:hAnsi="黑体" w:eastAsia="黑体"/>
          <w:b w:val="0"/>
        </w:rPr>
        <w:t>其他重要事项的情况说明</w:t>
      </w:r>
      <w:bookmarkEnd w:id="44"/>
      <w:bookmarkEnd w:id="45"/>
    </w:p>
    <w:p w14:paraId="2E88A04C">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C58C2CA">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22年，攀枝花市西区财政局机关运行经费支出32.82万元，比</w:t>
      </w:r>
      <w:r>
        <w:rPr>
          <w:rFonts w:ascii="仿宋_GB2312" w:eastAsia="仿宋_GB2312"/>
          <w:sz w:val="32"/>
          <w:szCs w:val="32"/>
        </w:rPr>
        <w:t>20</w:t>
      </w:r>
      <w:r>
        <w:rPr>
          <w:rFonts w:hint="eastAsia" w:ascii="仿宋_GB2312" w:eastAsia="仿宋_GB2312"/>
          <w:sz w:val="32"/>
          <w:szCs w:val="32"/>
        </w:rPr>
        <w:t>21年减少3.98万元，下降11</w:t>
      </w:r>
      <w:r>
        <w:rPr>
          <w:rFonts w:ascii="仿宋_GB2312" w:eastAsia="仿宋_GB2312"/>
          <w:sz w:val="32"/>
          <w:szCs w:val="32"/>
        </w:rPr>
        <w:t>%</w:t>
      </w:r>
      <w:r>
        <w:rPr>
          <w:rFonts w:hint="eastAsia" w:ascii="仿宋_GB2312" w:eastAsia="仿宋_GB2312"/>
          <w:sz w:val="32"/>
          <w:szCs w:val="32"/>
        </w:rPr>
        <w:t>。主要原因是严格控制办公费、差旅费等运行经费支出。</w:t>
      </w:r>
    </w:p>
    <w:p w14:paraId="345E6BA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1DCEADF">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财政局政府采购支出总额62.21万元，其中：政府采购货物支出62.21万元、政府采购工程支出0万元、政府采购服务支出0万元。主要用于办公室搬迁。授予中小企业合同金额62.21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，其中：授予小微企业合同金额62.21万元，占政府采购支出总额的100</w:t>
      </w:r>
      <w:r>
        <w:rPr>
          <w:rFonts w:ascii="仿宋_GB2312" w:eastAsia="仿宋_GB2312"/>
          <w:sz w:val="32"/>
          <w:szCs w:val="32"/>
        </w:rPr>
        <w:t>%</w:t>
      </w:r>
      <w:r>
        <w:rPr>
          <w:rFonts w:hint="eastAsia" w:ascii="仿宋_GB2312" w:eastAsia="仿宋_GB2312"/>
          <w:sz w:val="32"/>
          <w:szCs w:val="32"/>
        </w:rPr>
        <w:t>。</w:t>
      </w:r>
    </w:p>
    <w:p w14:paraId="019547B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1D7B8F0">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日，攀枝花市西区财政局共有车辆1辆，其中：主要领导干部用车0辆、机要通信用车0辆、应急保障用车0辆、其他用车1辆，其他用车主要是用于</w:t>
      </w:r>
      <w:r>
        <w:rPr>
          <w:rFonts w:hint="eastAsia" w:ascii="仿宋_GB2312" w:eastAsia="仿宋_GB2312"/>
          <w:color w:val="000000"/>
          <w:sz w:val="32"/>
          <w:szCs w:val="32"/>
        </w:rPr>
        <w:t>财政投资评审、</w:t>
      </w:r>
      <w:r>
        <w:rPr>
          <w:rFonts w:hint="eastAsia" w:ascii="仿宋_GB2312" w:hAnsi="仿宋" w:eastAsia="仿宋_GB2312"/>
          <w:color w:val="000000"/>
          <w:sz w:val="32"/>
          <w:szCs w:val="32"/>
        </w:rPr>
        <w:t>项目现场调研、农业综合开发项目、西区产业园区发展、</w:t>
      </w:r>
      <w:r>
        <w:rPr>
          <w:rFonts w:hint="eastAsia" w:ascii="仿宋_GB2312" w:hAnsi="仿宋" w:eastAsia="仿宋_GB2312"/>
          <w:sz w:val="32"/>
          <w:szCs w:val="32"/>
        </w:rPr>
        <w:t>“三供一业”分离移交</w:t>
      </w:r>
      <w:r>
        <w:rPr>
          <w:rFonts w:hint="eastAsia" w:ascii="仿宋_GB2312" w:eastAsia="仿宋_GB2312"/>
          <w:color w:val="000000"/>
          <w:sz w:val="32"/>
          <w:szCs w:val="32"/>
        </w:rPr>
        <w:t>等</w:t>
      </w:r>
      <w:r>
        <w:rPr>
          <w:rFonts w:hint="eastAsia" w:ascii="仿宋_GB2312" w:hAnsi="仿宋" w:eastAsia="仿宋_GB2312"/>
          <w:color w:val="000000"/>
          <w:sz w:val="32"/>
          <w:szCs w:val="32"/>
        </w:rPr>
        <w:t>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万元以上专用设备0台（套）。</w:t>
      </w:r>
    </w:p>
    <w:p w14:paraId="3ABEC67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DD037E0">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全区金财网建设经费项目、绩效评价体系建设经费项目、财政软件及业务费项目、财评业务经费项目、项目评审服务费项目、国库支付管理业务、财政监督检查业务等7个项目开展了预算事前绩效评估，对7个项目编制了绩效目标，预算执行过程中，选取7个项目开展绩效监控。</w:t>
      </w:r>
    </w:p>
    <w:p w14:paraId="3B0DB3DA">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攀枝花市西区财政局部门整体绩效自评报告，其中，攀枝花市西区财政局部门整体（含部门预算项目）绩效自评得分为94分，《2022年攀枝花市西区财政局部门整体绩效评价报告》详见附件。</w:t>
      </w:r>
      <w:r>
        <w:rPr>
          <w:rFonts w:ascii="仿宋_GB2312" w:eastAsia="仿宋_GB2312"/>
          <w:b/>
          <w:sz w:val="32"/>
          <w:szCs w:val="32"/>
        </w:rPr>
        <w:br w:type="page"/>
      </w:r>
    </w:p>
    <w:p w14:paraId="2BD8DC18">
      <w:pPr>
        <w:numPr>
          <w:ilvl w:val="0"/>
          <w:numId w:val="4"/>
        </w:numPr>
        <w:spacing w:line="600" w:lineRule="exact"/>
        <w:ind w:firstLine="660" w:firstLineChars="150"/>
        <w:jc w:val="center"/>
        <w:outlineLvl w:val="0"/>
        <w:rPr>
          <w:rStyle w:val="30"/>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0"/>
          <w:rFonts w:hint="eastAsia" w:ascii="黑体" w:hAnsi="黑体" w:eastAsia="黑体"/>
          <w:b w:val="0"/>
        </w:rPr>
        <w:t>词解释</w:t>
      </w:r>
      <w:bookmarkEnd w:id="49"/>
      <w:bookmarkEnd w:id="50"/>
    </w:p>
    <w:p w14:paraId="00C69AF5">
      <w:pPr>
        <w:spacing w:line="600" w:lineRule="exact"/>
        <w:jc w:val="left"/>
        <w:rPr>
          <w:rFonts w:ascii="宋体"/>
          <w:b/>
          <w:sz w:val="44"/>
          <w:szCs w:val="44"/>
        </w:rPr>
      </w:pPr>
    </w:p>
    <w:p w14:paraId="71459B1A">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C95AAE5">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B0B6C74">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19E47F31">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其他收入：指单位取得的除上述收入以外的各项收入。主要是利息收入。</w:t>
      </w:r>
      <w:r>
        <w:rPr>
          <w:rFonts w:ascii="仿宋_GB2312" w:eastAsia="仿宋_GB2312"/>
          <w:color w:val="auto"/>
          <w:sz w:val="32"/>
          <w:szCs w:val="32"/>
        </w:rPr>
        <w:t xml:space="preserve"> </w:t>
      </w:r>
    </w:p>
    <w:p w14:paraId="31A1B05C">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0266B1E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43C6E9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AB5360D">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36A8E93">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 w:hAnsi="仿宋" w:eastAsia="仿宋"/>
          <w:color w:val="000000"/>
          <w:sz w:val="32"/>
          <w:szCs w:val="32"/>
        </w:rPr>
        <w:t>事业运行（项）：反映事业单位的基本支出，不包括行政单位（包括实行公务员管理的事业单位）后勤服务中心、医务室等附属事业单位；其他财政事务支出（项）：反映除上述项目以外其他财政事务方面的支出。</w:t>
      </w:r>
    </w:p>
    <w:p w14:paraId="15FE3EF3">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10.社会保障和就业支出（类）行政事业单位养老支出（款）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抚恤（款）死亡抚恤</w:t>
      </w:r>
      <w:r>
        <w:rPr>
          <w:rFonts w:hint="eastAsia" w:ascii="仿宋" w:hAnsi="仿宋" w:eastAsia="仿宋"/>
          <w:color w:val="000000"/>
          <w:sz w:val="32"/>
          <w:szCs w:val="32"/>
        </w:rPr>
        <w:t>（项）：反映按规定用于烈士和牺牲、病故人员家属的一次性和定期抚恤金、丧葬补助费以及烈士褒扬金。残疾人事业（款）其他残疾人事业支出（项）：反映其他用于残疾人事业方面的支出。</w:t>
      </w:r>
    </w:p>
    <w:p w14:paraId="32697C49">
      <w:pPr>
        <w:ind w:firstLine="640" w:firstLineChars="200"/>
        <w:rPr>
          <w:rFonts w:ascii="仿宋_GB2312" w:eastAsia="仿宋_GB2312"/>
          <w:color w:val="000000"/>
          <w:sz w:val="32"/>
          <w:szCs w:val="32"/>
        </w:rPr>
      </w:pPr>
      <w:r>
        <w:rPr>
          <w:rFonts w:hint="eastAsia" w:ascii="仿宋_GB2312" w:eastAsia="仿宋_GB2312"/>
          <w:color w:val="000000"/>
          <w:sz w:val="32"/>
          <w:szCs w:val="32"/>
        </w:rPr>
        <w:t>11. 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公务员医疗补助（项）：反映财政部门集中安排的公务员医疗补助经费；其他行政事业单位医疗支出</w:t>
      </w:r>
      <w:r>
        <w:rPr>
          <w:rFonts w:hint="eastAsia" w:ascii="仿宋" w:hAnsi="仿宋" w:eastAsia="仿宋"/>
          <w:color w:val="000000"/>
          <w:sz w:val="32"/>
          <w:szCs w:val="32"/>
        </w:rPr>
        <w:t>（项）：反映除上述项目以外其他用于行政事业单位医疗方面的支出</w:t>
      </w:r>
      <w:r>
        <w:rPr>
          <w:rFonts w:hint="eastAsia" w:ascii="仿宋_GB2312" w:eastAsia="仿宋_GB2312"/>
          <w:color w:val="000000"/>
          <w:sz w:val="32"/>
          <w:szCs w:val="32"/>
        </w:rPr>
        <w:t>。</w:t>
      </w:r>
    </w:p>
    <w:p w14:paraId="1372A61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 城乡社区支出（类）国有土地使用权出让收入及对应专项债务收入安排的支出（款）土地开发支出（项）：反映新疆生产建设兵团和地方政府用于前期土地开发性支出以及与前期土地开发相关的费用等支出。</w:t>
      </w:r>
    </w:p>
    <w:p w14:paraId="6FC9BAF7">
      <w:pPr>
        <w:ind w:firstLine="640" w:firstLineChars="200"/>
        <w:rPr>
          <w:rFonts w:ascii="仿宋_GB2312" w:eastAsia="仿宋_GB2312"/>
          <w:color w:val="000000"/>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14:paraId="4FF5B076">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71BDF02">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B9F5BAC">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D8082FC">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97DCD88">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2FDE23">
      <w:pPr>
        <w:ind w:firstLine="643" w:firstLineChars="200"/>
        <w:rPr>
          <w:rFonts w:ascii="仿宋" w:hAnsi="仿宋" w:eastAsia="仿宋"/>
          <w:b/>
          <w:sz w:val="32"/>
          <w:szCs w:val="32"/>
        </w:rPr>
      </w:pPr>
    </w:p>
    <w:p w14:paraId="1BA85D95">
      <w:pPr>
        <w:spacing w:line="600" w:lineRule="exact"/>
        <w:jc w:val="center"/>
        <w:outlineLvl w:val="0"/>
        <w:rPr>
          <w:rStyle w:val="30"/>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0"/>
          <w:rFonts w:hint="eastAsia" w:ascii="黑体" w:hAnsi="黑体" w:eastAsia="黑体"/>
          <w:b w:val="0"/>
        </w:rPr>
        <w:t>四部分 附件</w:t>
      </w:r>
      <w:bookmarkEnd w:id="52"/>
    </w:p>
    <w:p w14:paraId="4FDC71E7">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5F15F326">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2022年攀枝花市西区财政局整体绩效评价报告</w:t>
      </w:r>
    </w:p>
    <w:p w14:paraId="3F59B1E0">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 xml:space="preserve">  </w:t>
      </w:r>
    </w:p>
    <w:p w14:paraId="068D7D8A">
      <w:pPr>
        <w:pStyle w:val="2"/>
      </w:pPr>
    </w:p>
    <w:p w14:paraId="30C6503F">
      <w:pPr>
        <w:widowControl/>
        <w:numPr>
          <w:ilvl w:val="0"/>
          <w:numId w:val="5"/>
        </w:numPr>
        <w:adjustRightInd w:val="0"/>
        <w:snapToGrid w:val="0"/>
        <w:spacing w:line="360" w:lineRule="auto"/>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14:paraId="3FFBBFFB">
      <w:pPr>
        <w:widowControl/>
        <w:numPr>
          <w:ilvl w:val="0"/>
          <w:numId w:val="6"/>
        </w:numPr>
        <w:adjustRightInd w:val="0"/>
        <w:snapToGrid w:val="0"/>
        <w:spacing w:line="360" w:lineRule="auto"/>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14:paraId="7D9A8EF4">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攀枝花市西区财政局机关设办公室、预算股、国库股、经济建设股、行政政法和社保股、金融和债券债务资金管理股6个内设机构。下设西区财政绩效评价中心、西区财政国库支付中心、西区财政投资评审中心三个二级单位。</w:t>
      </w:r>
    </w:p>
    <w:p w14:paraId="10E22766">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14:paraId="34B2312E">
      <w:pPr>
        <w:pStyle w:val="6"/>
        <w:spacing w:before="93"/>
        <w:ind w:firstLine="643" w:firstLineChars="200"/>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rPr>
        <w:t>1.</w:t>
      </w:r>
      <w:r>
        <w:rPr>
          <w:rFonts w:hint="eastAsia" w:ascii="楷体_GB2312" w:hAnsi="楷体_GB2312" w:eastAsia="楷体_GB2312" w:cs="楷体_GB2312"/>
          <w:b/>
          <w:bCs/>
          <w:sz w:val="32"/>
          <w:szCs w:val="32"/>
          <w:shd w:val="clear" w:color="auto" w:fill="FFFFFF"/>
          <w:lang w:val="zh-CN"/>
        </w:rPr>
        <w:t>机构职能</w:t>
      </w:r>
    </w:p>
    <w:p w14:paraId="3D556EA7">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14:paraId="4668C415">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14:paraId="7768FEAB">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14:paraId="2117C008">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14:paraId="33130381">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14:paraId="08C726B3">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14:paraId="22295BAF">
      <w:pPr>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14:paraId="6EBE749D">
      <w:pPr>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14:paraId="3791671C">
      <w:pPr>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14:paraId="119AC0A7">
      <w:pPr>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14:paraId="14C65F39">
      <w:pPr>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14:paraId="23861E03">
      <w:pPr>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14:paraId="315C32C3">
      <w:pPr>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14:paraId="2751E8CC">
      <w:pPr>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14:paraId="5EC693BE">
      <w:pPr>
        <w:pStyle w:val="6"/>
        <w:adjustRightInd w:val="0"/>
        <w:snapToGrid w:val="0"/>
        <w:spacing w:before="93" w:line="600" w:lineRule="exact"/>
        <w:ind w:firstLine="672" w:firstLineChars="210"/>
        <w:outlineLvl w:val="2"/>
        <w:rPr>
          <w:rFonts w:ascii="仿宋" w:hAnsi="仿宋" w:eastAsia="仿宋"/>
          <w:bCs/>
          <w:sz w:val="32"/>
          <w:szCs w:val="32"/>
        </w:rPr>
      </w:pPr>
      <w:r>
        <w:rPr>
          <w:rFonts w:hint="eastAsia" w:hAnsi="仿宋"/>
          <w:sz w:val="32"/>
          <w:szCs w:val="32"/>
        </w:rPr>
        <w:t>(15)</w:t>
      </w:r>
      <w:r>
        <w:rPr>
          <w:rFonts w:hAnsi="仿宋"/>
          <w:sz w:val="32"/>
          <w:szCs w:val="32"/>
        </w:rPr>
        <w:t>完成区委和区政府交办的其他任务。</w:t>
      </w:r>
    </w:p>
    <w:p w14:paraId="5BC757A6">
      <w:pPr>
        <w:pStyle w:val="6"/>
        <w:spacing w:before="93"/>
        <w:ind w:firstLine="643" w:firstLineChars="200"/>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rPr>
        <w:t>2.</w:t>
      </w:r>
      <w:r>
        <w:rPr>
          <w:rFonts w:hint="eastAsia" w:ascii="楷体_GB2312" w:hAnsi="楷体_GB2312" w:eastAsia="楷体_GB2312" w:cs="楷体_GB2312"/>
          <w:b/>
          <w:bCs/>
          <w:sz w:val="32"/>
          <w:szCs w:val="32"/>
          <w:shd w:val="clear" w:color="auto" w:fill="FFFFFF"/>
          <w:lang w:val="zh-CN"/>
        </w:rPr>
        <w:t>人员概况</w:t>
      </w:r>
    </w:p>
    <w:p w14:paraId="0C0DD137">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攀枝花市西区财政局机关三定方案设行政编制</w:t>
      </w:r>
      <w:r>
        <w:rPr>
          <w:rFonts w:ascii="仿宋_GB2312" w:hAnsi="仿宋" w:eastAsia="仿宋_GB2312"/>
          <w:sz w:val="32"/>
          <w:szCs w:val="32"/>
        </w:rPr>
        <w:t>8</w:t>
      </w:r>
      <w:r>
        <w:rPr>
          <w:rFonts w:hint="eastAsia" w:ascii="仿宋_GB2312" w:hAnsi="仿宋" w:eastAsia="仿宋_GB2312"/>
          <w:sz w:val="32"/>
          <w:szCs w:val="32"/>
        </w:rPr>
        <w:t>人。年末实有行政人员8人，聘用人员1人。与去年同期相同。</w:t>
      </w:r>
    </w:p>
    <w:p w14:paraId="6BBB3CE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攀枝花市西区财政国库支付中心三定方案有参照公务员法管理事业人员编制11人。年末实有参照公务员法管理事业人员10人，与去年同期相同；年末实有聘用人员2人，与去年同期相同。</w:t>
      </w:r>
    </w:p>
    <w:p w14:paraId="54151F9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攀枝花市西区财政绩效评价中心三定方案有参照公务员法管理事业人员编制6人。年末实有参照公务员法管理事业人员5人，比去年同期增加3人；年末实有聘用人员1人，与去年同期相同。</w:t>
      </w:r>
    </w:p>
    <w:p w14:paraId="74B25132">
      <w:pPr>
        <w:widowControl/>
        <w:adjustRightInd w:val="0"/>
        <w:snapToGrid w:val="0"/>
        <w:spacing w:line="56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攀枝花市西区财政投资评审中心有核定事业人员编制9人，使用人才交流中心事业编制3人。年末实有事业人员12人，与去年同期相同；年末实有聘用人员1人，与去年同期相同。</w:t>
      </w:r>
    </w:p>
    <w:p w14:paraId="54366C71">
      <w:pPr>
        <w:snapToGrid w:val="0"/>
        <w:spacing w:line="520" w:lineRule="exact"/>
        <w:ind w:firstLine="643" w:firstLineChars="200"/>
        <w:rPr>
          <w:rFonts w:ascii="仿宋_GB2312" w:hAnsi="仿宋" w:eastAsia="仿宋_GB2312"/>
          <w:b/>
          <w:bCs/>
          <w:sz w:val="32"/>
          <w:szCs w:val="32"/>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14:paraId="0A1029B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在区委的坚强领导下，在区人大、区政协的监督指导下，全区各级各部门坚定以习近平新时代中国特色社会主义思想为指导，全面学习贯彻党的二十大精神，坚持稳中求进工作总基调，紧紧围绕省委“讲政治、抓发展、惠民生、保安全”的工作总思路，深入实施市委“一三三三”总体发展战略，聚焦区委“一区一城”战略目标，有力统筹疫情防控和经济社会发展，扎实做好“六稳”“六保”工作，积极推进财税体制改革，牢牢守住风险防控底线，财政运行情况总体平稳。</w:t>
      </w:r>
    </w:p>
    <w:p w14:paraId="4E0626AA">
      <w:pPr>
        <w:numPr>
          <w:ilvl w:val="0"/>
          <w:numId w:val="7"/>
        </w:numPr>
        <w:spacing w:line="630" w:lineRule="exact"/>
        <w:ind w:firstLine="640"/>
        <w:rPr>
          <w:rFonts w:ascii="楷体" w:hAnsi="楷体" w:eastAsia="楷体" w:cs="楷体"/>
          <w:b/>
          <w:sz w:val="32"/>
          <w:szCs w:val="32"/>
        </w:rPr>
      </w:pPr>
      <w:r>
        <w:rPr>
          <w:rFonts w:hint="eastAsia" w:ascii="楷体" w:hAnsi="楷体" w:eastAsia="楷体" w:cs="楷体"/>
          <w:b/>
          <w:sz w:val="32"/>
          <w:szCs w:val="32"/>
        </w:rPr>
        <w:t>预算执行情况</w:t>
      </w:r>
    </w:p>
    <w:p w14:paraId="110FC9C6">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（1）一般公共预算执行情况</w:t>
      </w:r>
    </w:p>
    <w:p w14:paraId="6EE54012">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2022年，全区一般公共预算收入完成27,065万元，为调整预算的100.2%，同比增长29.9%。其中，税收收入完成8,702万元，为调整预算的100%；非税收入完成18,363万元，为调整预算的100.3%。加上级转移支付补助84,470万元（其中，返还性收入2,504万元、一般性转移支付补助收入68,009万元、专项转移支付补助收入13,957万元）、上年结转10,687万元、纳入一般公共预算管理的债务转贷收入17,596万元、调入预算稳定调节基金829万元，再减上解上级支出9,092万元、一般债务还本支出20,764万元后，全区一般公共预算支出90,201万元，同比增长12.7%，年终结余20,590万元，其中：补充预算稳定调节基金65万元、结转下年继续使用20,525万元。</w:t>
      </w:r>
    </w:p>
    <w:p w14:paraId="6D25AD88">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（2）政府性基金预算执行情况</w:t>
      </w:r>
    </w:p>
    <w:p w14:paraId="4599B506">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全区政府性基金预算收入11,030万元，为调整预算的100.3%。加上级转移支付补助434万元、上年结转341万元、纳入政府性基金预算管理的债务转贷收入4,400万元，再减专项债务还本支出1,224万元后，全区政府性基金预算支出14,413万元，年终结余568万元。</w:t>
      </w:r>
    </w:p>
    <w:p w14:paraId="3DF247A7">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（3）国有资本经营预算执行情况</w:t>
      </w:r>
    </w:p>
    <w:p w14:paraId="7335DA21">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2022年，全区未实现国有资本经营预算收入，加上级转移支付补助2,180万元、上年结转643万元后，全区国有资本经营预算支出2,823万元，年终无结余。</w:t>
      </w:r>
    </w:p>
    <w:p w14:paraId="6265C06B">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（4）政府债务情况</w:t>
      </w:r>
    </w:p>
    <w:p w14:paraId="3F3E082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西区地方政府债务限额为189,121万元，年底全区债务余额158,631万元。2022年，争取新增地方政府债券转贷收入4,406万元、再融资债券转贷收入17,590万元，偿还到期政府债券21,988万元后，债务余额为158,639万元（其中，一般债务余额120,759万元，专项债务余额37,880万元），同比增加8万元，控制在核定的政府债务限额189,121万元（其中，一般债务限额146,270万元，专项债务限额42,851万元）之内，债务风险总体可控。</w:t>
      </w:r>
    </w:p>
    <w:p w14:paraId="701E609A">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2.落实区人大决议和重点财政工作情况</w:t>
      </w:r>
    </w:p>
    <w:p w14:paraId="496D650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2022年，全区上下以区第十二届人民代表大会第二次会议确定的财政收支预算为目标，坚持稳字当头、稳中求进工作总基调，持续深入贯彻省委“三保一优一防”重要要求，着力推动财政改革发展，不断完善财政工作举措，认真落实积极的财政政策，实现了财政稳健运行，为全区经济社会发展提供了财力支撑。</w:t>
      </w:r>
    </w:p>
    <w:p w14:paraId="52EFDD8E">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（1）精准有效积极有为，促进经济平稳发展</w:t>
      </w:r>
    </w:p>
    <w:p w14:paraId="32CCEF95">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贯彻落实稳经济大盘一揽子措施，聚焦突出短板和薄弱环节，着力支持实体经济发展，提高经济发展动能。</w:t>
      </w:r>
      <w:r>
        <w:rPr>
          <w:rFonts w:hint="eastAsia" w:ascii="仿宋_GB2312" w:hAnsi="仿宋" w:eastAsia="仿宋_GB2312"/>
          <w:b/>
          <w:bCs/>
          <w:sz w:val="32"/>
          <w:szCs w:val="32"/>
        </w:rPr>
        <w:t>一是持续释放减税降费政策红利。</w:t>
      </w:r>
      <w:r>
        <w:rPr>
          <w:rFonts w:hint="eastAsia" w:ascii="仿宋_GB2312" w:hAnsi="仿宋" w:eastAsia="仿宋_GB2312"/>
          <w:sz w:val="32"/>
          <w:szCs w:val="32"/>
        </w:rPr>
        <w:t>坚持阶段性措施和制度性安排相结合，减税与退税并举，全面落实增值税留抵退税、扩大减征“六税两费”政策范围、制造业中小微企业缓缴税费等一系列政策，全年累计减免税费38,816万元，涉及区级8,142万元，切实减轻企业负担，激发市场主体活力。</w:t>
      </w:r>
      <w:r>
        <w:rPr>
          <w:rFonts w:hint="eastAsia" w:ascii="仿宋_GB2312" w:hAnsi="仿宋" w:eastAsia="仿宋_GB2312"/>
          <w:b/>
          <w:bCs/>
          <w:sz w:val="32"/>
          <w:szCs w:val="32"/>
        </w:rPr>
        <w:t>二是积极扩大政府投资拉动作用。</w:t>
      </w:r>
      <w:r>
        <w:rPr>
          <w:rFonts w:hint="eastAsia" w:ascii="仿宋_GB2312" w:hAnsi="仿宋" w:eastAsia="仿宋_GB2312"/>
          <w:sz w:val="32"/>
          <w:szCs w:val="32"/>
        </w:rPr>
        <w:t>围绕“项目攻坚突破年”部署要求，着力服务重大项目落地发展，全年投入6,000万元，全力破解资金、土地、拆迁安置等问题，优化投资结构与建设环境，成功推进四川蜀物攀枝花智慧现代产业园、川能投氢能产业等招商引资项目落地建设；安排重大项目资金36,208万元，园区发展服务中心全面完工，宝鼎金沙小区配套道路、老工业区西城区公共服务基础设施等项目加快推进，投资对稳增长支撑作用凸显。</w:t>
      </w:r>
      <w:r>
        <w:rPr>
          <w:rFonts w:hint="eastAsia" w:ascii="仿宋_GB2312" w:hAnsi="仿宋" w:eastAsia="仿宋_GB2312"/>
          <w:b/>
          <w:bCs/>
          <w:sz w:val="32"/>
          <w:szCs w:val="32"/>
        </w:rPr>
        <w:t>三是充分发挥政企联动优势。</w:t>
      </w:r>
      <w:r>
        <w:rPr>
          <w:rFonts w:hint="eastAsia" w:ascii="仿宋_GB2312" w:hAnsi="仿宋" w:eastAsia="仿宋_GB2312"/>
          <w:sz w:val="32"/>
          <w:szCs w:val="32"/>
        </w:rPr>
        <w:t>全面落实稳岗就业、财金互动等领域政策，加大中小微企业政府采购份额，支持金融机构向小微企业发放信用贷款，银、政、企之间互信互利、共谋发展的新型关系进一步深化。全年向金融机构推荐企业50家，协调融资超8亿元，有效缓解企业融资难问题。帮助企业获得“园保贷”2,025万元，有力支持了森田新能源、构美科技、泓岩科技等企业发展，促进经济企稳回升。</w:t>
      </w:r>
    </w:p>
    <w:p w14:paraId="33B9E3FA">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（2）多措并举挖潜增收，确保财政稳健运行</w:t>
      </w:r>
    </w:p>
    <w:p w14:paraId="155913B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坚持依法理财，将强化征管、争取支持作为重要抓手，全力以赴做大财力规模。</w:t>
      </w:r>
      <w:r>
        <w:rPr>
          <w:rFonts w:hint="eastAsia" w:ascii="仿宋_GB2312" w:hAnsi="仿宋" w:eastAsia="仿宋_GB2312"/>
          <w:b/>
          <w:bCs/>
          <w:sz w:val="32"/>
          <w:szCs w:val="32"/>
        </w:rPr>
        <w:t>一是抓收入。</w:t>
      </w:r>
      <w:r>
        <w:rPr>
          <w:rFonts w:hint="eastAsia" w:ascii="仿宋_GB2312" w:hAnsi="仿宋" w:eastAsia="仿宋_GB2312"/>
          <w:sz w:val="32"/>
          <w:szCs w:val="32"/>
        </w:rPr>
        <w:t>围绕全年收入目标，紧盯重点行业、重点税源、重点项目，靠前服务，协助做好“转企升规”，找准税源增收点，全年实现税收收入8,702万元。全方位、多层次挖掘非税财源，充分利用辖区富裕水资源，成功出让攀枝花格里坪特色产业园区企业生产用水供水特许经营权，非税收入渠道不断拓展，全年实现非税收入18,363万元，同比增长94.2%。全区一般公共预算收入大幅上升，同比增长29.9%。</w:t>
      </w:r>
      <w:r>
        <w:rPr>
          <w:rFonts w:hint="eastAsia" w:ascii="仿宋_GB2312" w:hAnsi="仿宋" w:eastAsia="仿宋_GB2312"/>
          <w:b/>
          <w:bCs/>
          <w:sz w:val="32"/>
          <w:szCs w:val="32"/>
        </w:rPr>
        <w:t>二是强争取。</w:t>
      </w:r>
      <w:r>
        <w:rPr>
          <w:rFonts w:hint="eastAsia" w:ascii="仿宋_GB2312" w:hAnsi="仿宋" w:eastAsia="仿宋_GB2312"/>
          <w:sz w:val="32"/>
          <w:szCs w:val="32"/>
        </w:rPr>
        <w:t>深入研究宏观政策投向及上级产业政策，梳理争取重点，明确工作目标，落实责任分工，完善考核激励机制，加大对均衡性转移支付、补充县区财力转移支付等补助资金争取力度，全年争取财力性补助资金总量达5.7亿元，同比增长10%，其中计入财力基数0.5亿元；全力做好项目储备、申报、争取和资金管理，成功申报中央预算内投资项目8个，全年争取到位各类上级资金10.9亿元，同比增长9%，为全区经济社会发展提供有力保障。</w:t>
      </w:r>
    </w:p>
    <w:p w14:paraId="79C16E2C">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（3）统筹整合聚焦重点，着力保障改善民生</w:t>
      </w:r>
    </w:p>
    <w:p w14:paraId="3EE906A1">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坚持两个“优先”，切实落实好保障责任，多措并举足额安排“三保”支出，兜牢兜实“三保”底线。</w:t>
      </w:r>
      <w:r>
        <w:rPr>
          <w:rFonts w:hint="eastAsia" w:ascii="仿宋_GB2312" w:hAnsi="仿宋" w:eastAsia="仿宋_GB2312"/>
          <w:b/>
          <w:bCs/>
          <w:sz w:val="32"/>
          <w:szCs w:val="32"/>
        </w:rPr>
        <w:t>一是资金保障机制进一步完善。</w:t>
      </w:r>
      <w:r>
        <w:rPr>
          <w:rFonts w:hint="eastAsia" w:ascii="仿宋_GB2312" w:hAnsi="仿宋" w:eastAsia="仿宋_GB2312"/>
          <w:sz w:val="32"/>
          <w:szCs w:val="32"/>
        </w:rPr>
        <w:t>围绕基层人员保障、国有企业移交资产管理等群众关切问题开展支出需求调研工作，重点就基层一线人员工资、日常运转、民生补贴等29个类别进行了深度梳理、精确划分，优化财政资金优先保障序列。</w:t>
      </w:r>
      <w:r>
        <w:rPr>
          <w:rFonts w:hint="eastAsia" w:ascii="仿宋_GB2312" w:hAnsi="仿宋" w:eastAsia="仿宋_GB2312"/>
          <w:b/>
          <w:bCs/>
          <w:sz w:val="32"/>
          <w:szCs w:val="32"/>
        </w:rPr>
        <w:t>二是民生实事效益进一步显现。</w:t>
      </w:r>
      <w:r>
        <w:rPr>
          <w:rFonts w:hint="eastAsia" w:ascii="仿宋_GB2312" w:hAnsi="仿宋" w:eastAsia="仿宋_GB2312"/>
          <w:sz w:val="32"/>
          <w:szCs w:val="32"/>
        </w:rPr>
        <w:t>围绕民生民本，持续巩固“一卡通”成果，将涉农补贴、城乡低保、高龄补贴等50项惠民惠农补贴项目全部纳入“一卡通”发放，共发放资金3,973万元。全力保障省、市、区57件民生实事高质量完成。聚焦就业创业、困难群众救助、医疗保障、教育助学等重点领域，持续加大民生投入，全年民生支出占一般公共预算支出的比重达到71%。</w:t>
      </w:r>
      <w:r>
        <w:rPr>
          <w:rFonts w:hint="eastAsia" w:ascii="仿宋_GB2312" w:hAnsi="仿宋" w:eastAsia="仿宋_GB2312"/>
          <w:b/>
          <w:bCs/>
          <w:sz w:val="32"/>
          <w:szCs w:val="32"/>
        </w:rPr>
        <w:t>三是财政支出结构进一步优化。</w:t>
      </w:r>
      <w:r>
        <w:rPr>
          <w:rFonts w:hint="eastAsia" w:ascii="仿宋_GB2312" w:hAnsi="仿宋" w:eastAsia="仿宋_GB2312"/>
          <w:sz w:val="32"/>
          <w:szCs w:val="32"/>
        </w:rPr>
        <w:t>坚持有保有压，全面实行财政资金“三项清理”制度，共清理盘活财政存量资金11,490万元，统筹用于疫情防控、森林草原防灭火、安全生产、环境保护、文明城市创建等重点领域支出，切实提高资金使用效益。</w:t>
      </w:r>
    </w:p>
    <w:p w14:paraId="3D2A3D6B">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（4）细化管理开拓创新，纵深推进改革发展</w:t>
      </w:r>
    </w:p>
    <w:p w14:paraId="5948FC56">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坚持把贯彻落实《中华人民共和国预算法》《四川省预算审查监督条例》作为财税体制改革的着力点。</w:t>
      </w:r>
      <w:r>
        <w:rPr>
          <w:rFonts w:hint="eastAsia" w:ascii="仿宋_GB2312" w:hAnsi="仿宋" w:eastAsia="仿宋_GB2312"/>
          <w:b/>
          <w:bCs/>
          <w:sz w:val="32"/>
          <w:szCs w:val="32"/>
        </w:rPr>
        <w:t>一是绩效管理水平稳步提升。</w:t>
      </w:r>
      <w:r>
        <w:rPr>
          <w:rFonts w:hint="eastAsia" w:ascii="仿宋_GB2312" w:hAnsi="仿宋" w:eastAsia="仿宋_GB2312"/>
          <w:sz w:val="32"/>
          <w:szCs w:val="32"/>
        </w:rPr>
        <w:t>开展全覆盖的绩效目标管理考核和业务培训，强化财政支出绩效目标前置引领作用，对区级314个项目8,715万元开展绩效目标审核，实现绩效目标与预算“同步编制、同步上会、同步批复、同步公开”，绩效管理理念有效地融入部门。将预算绩效管理纳入政府年度绩效评估范围，建立有效的激励约束机制，严格考核考评、问责问效，实现绩效管理水平和质量稳步提升。</w:t>
      </w:r>
      <w:r>
        <w:rPr>
          <w:rFonts w:hint="eastAsia" w:ascii="仿宋_GB2312" w:hAnsi="仿宋" w:eastAsia="仿宋_GB2312"/>
          <w:b/>
          <w:bCs/>
          <w:sz w:val="32"/>
          <w:szCs w:val="32"/>
        </w:rPr>
        <w:t>二是资金使用效益持续增强。</w:t>
      </w:r>
      <w:r>
        <w:rPr>
          <w:rFonts w:hint="eastAsia" w:ascii="仿宋_GB2312" w:hAnsi="仿宋" w:eastAsia="仿宋_GB2312"/>
          <w:sz w:val="32"/>
          <w:szCs w:val="32"/>
        </w:rPr>
        <w:t>严格实施财政直达资金管理制度，17,279万元直达资金直达基层，推动惠企利民政策精准落实。强化项目资金管理，全年财政投资评审项目38个，审减资金2,373万元，审减率11.5%，提高政府投资效益。加强政府采购监管，严格把关标书编制和合同履约验收，全年节约资金241万元，资金节约率5.9%，有效避免了财政资金浪费。</w:t>
      </w:r>
      <w:r>
        <w:rPr>
          <w:rFonts w:hint="eastAsia" w:ascii="仿宋_GB2312" w:hAnsi="仿宋" w:eastAsia="仿宋_GB2312"/>
          <w:b/>
          <w:bCs/>
          <w:sz w:val="32"/>
          <w:szCs w:val="32"/>
        </w:rPr>
        <w:t>三是一体化建设扎实推进。</w:t>
      </w:r>
      <w:r>
        <w:rPr>
          <w:rFonts w:hint="eastAsia" w:ascii="仿宋_GB2312" w:hAnsi="仿宋" w:eastAsia="仿宋_GB2312"/>
          <w:sz w:val="32"/>
          <w:szCs w:val="32"/>
        </w:rPr>
        <w:t>按照上级财政部门统一制定的《预算管理一体化规范》和系统技术标准，依托预算管理一体化系统，将预算编制、预算执行、决算和财务报告、资产管理等财政业务环节进行整合，全区所有预算单位均实现预算管理一体化系统上线运行，为财政资源统筹、调整优化支出结构和完善常态化财政资金直达机制提供了有力抓手，预算管理科学化、规范化、信息化水平全面提升。</w:t>
      </w:r>
      <w:r>
        <w:rPr>
          <w:rFonts w:hint="eastAsia" w:ascii="仿宋_GB2312" w:hAnsi="仿宋" w:eastAsia="仿宋_GB2312"/>
          <w:b/>
          <w:bCs/>
          <w:sz w:val="32"/>
          <w:szCs w:val="32"/>
        </w:rPr>
        <w:t>四是国资国企改革谋深做实。</w:t>
      </w:r>
      <w:r>
        <w:rPr>
          <w:rFonts w:hint="eastAsia" w:ascii="仿宋_GB2312" w:hAnsi="仿宋" w:eastAsia="仿宋_GB2312"/>
          <w:sz w:val="32"/>
          <w:szCs w:val="32"/>
        </w:rPr>
        <w:t>推进区属国有企业重组改革，对管理体制和组织架构进行优化调整，围绕市场需求，做实经营业务，促进国有企业实体化、市场化转型发展。加强国有资产资源盘活利用，全面清理全区国有资产，摸清全区资产底数，完善国有资产管理制度，推进经营性资产集中管理。</w:t>
      </w:r>
    </w:p>
    <w:p w14:paraId="02090670">
      <w:pPr>
        <w:spacing w:line="630" w:lineRule="exact"/>
        <w:ind w:firstLine="643"/>
        <w:rPr>
          <w:rFonts w:ascii="楷体" w:hAnsi="楷体" w:eastAsia="楷体" w:cs="楷体"/>
          <w:b/>
          <w:color w:val="000000"/>
          <w:sz w:val="32"/>
          <w:szCs w:val="32"/>
        </w:rPr>
      </w:pPr>
      <w:r>
        <w:rPr>
          <w:rFonts w:hint="eastAsia" w:ascii="楷体" w:hAnsi="楷体" w:eastAsia="楷体" w:cs="楷体"/>
          <w:b/>
          <w:color w:val="000000"/>
          <w:sz w:val="32"/>
          <w:szCs w:val="32"/>
        </w:rPr>
        <w:t>（5）稳妥审慎疏堵结合，切实筑牢风险底线</w:t>
      </w:r>
    </w:p>
    <w:p w14:paraId="3A83EC46">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坚持把防范化解财政风险作为确保财政稳健运行的基本保证。</w:t>
      </w:r>
      <w:r>
        <w:rPr>
          <w:rFonts w:hint="eastAsia" w:ascii="仿宋_GB2312" w:hAnsi="仿宋" w:eastAsia="仿宋_GB2312"/>
          <w:b/>
          <w:bCs/>
          <w:sz w:val="32"/>
          <w:szCs w:val="32"/>
        </w:rPr>
        <w:t>一是及时履行政府偿债责任。</w:t>
      </w:r>
      <w:r>
        <w:rPr>
          <w:rFonts w:hint="eastAsia" w:ascii="仿宋_GB2312" w:hAnsi="仿宋" w:eastAsia="仿宋_GB2312"/>
          <w:sz w:val="32"/>
          <w:szCs w:val="32"/>
        </w:rPr>
        <w:t>将政府债务纳入预算管理，科学编制债务化解计划，统筹安排资金24,764万元用于偿还到期债务本息，债务风险总体可控。充分利用省厅置换债券、再融资债券政策，成功争取再融资债券17,590万元，债务结构进一步优化，偿债压力得到缓释。统筹好债务与发展的关系，聚焦省级发展重点，结合西区实际，着力梳理包装重点项目争取债券资金4,406万元，为辖区重点基础项目建设提供资金保障。</w:t>
      </w:r>
      <w:r>
        <w:rPr>
          <w:rFonts w:hint="eastAsia" w:ascii="仿宋_GB2312" w:hAnsi="仿宋" w:eastAsia="仿宋_GB2312"/>
          <w:b/>
          <w:bCs/>
          <w:sz w:val="32"/>
          <w:szCs w:val="32"/>
        </w:rPr>
        <w:t>二是金融风险防范意识增强。</w:t>
      </w:r>
      <w:r>
        <w:rPr>
          <w:rFonts w:hint="eastAsia" w:ascii="仿宋_GB2312" w:hAnsi="仿宋" w:eastAsia="仿宋_GB2312"/>
          <w:sz w:val="32"/>
          <w:szCs w:val="32"/>
        </w:rPr>
        <w:t>严厉打击各类非法金融活动，深入开展防范和打击非法集资及互联网金融风险专项整治工作。全年组织开展金融风险宣传活动5次，开展地方金融组织合规性经营检查3次，切实规范企业经营行为，提高辖区群众风险防范意识。</w:t>
      </w:r>
      <w:r>
        <w:rPr>
          <w:rFonts w:hint="eastAsia" w:ascii="仿宋_GB2312" w:hAnsi="仿宋" w:eastAsia="仿宋_GB2312"/>
          <w:b/>
          <w:bCs/>
          <w:sz w:val="32"/>
          <w:szCs w:val="32"/>
        </w:rPr>
        <w:t>三是财经秩序不断规范。</w:t>
      </w:r>
      <w:r>
        <w:rPr>
          <w:rFonts w:hint="eastAsia" w:ascii="仿宋_GB2312" w:hAnsi="仿宋" w:eastAsia="仿宋_GB2312"/>
          <w:sz w:val="32"/>
          <w:szCs w:val="32"/>
        </w:rPr>
        <w:t>强化财政监督监管职能，全年开展地方财经秩序、债务风险管理情况、会计信息质量、预决算公开、内部监督、“三公”经费等专项监督检查12次，发现并督促整改资金8,013万元。</w:t>
      </w:r>
    </w:p>
    <w:p w14:paraId="585724C5">
      <w:pPr>
        <w:numPr>
          <w:ilvl w:val="0"/>
          <w:numId w:val="7"/>
        </w:numPr>
        <w:spacing w:line="630" w:lineRule="exact"/>
        <w:ind w:firstLine="640"/>
        <w:rPr>
          <w:rFonts w:ascii="楷体" w:hAnsi="楷体" w:eastAsia="楷体" w:cs="楷体"/>
          <w:b/>
          <w:spacing w:val="-4"/>
          <w:sz w:val="30"/>
          <w:szCs w:val="30"/>
        </w:rPr>
      </w:pPr>
      <w:r>
        <w:rPr>
          <w:rFonts w:hint="eastAsia" w:ascii="楷体" w:hAnsi="楷体" w:eastAsia="楷体" w:cs="楷体"/>
          <w:b/>
          <w:color w:val="000000"/>
          <w:sz w:val="32"/>
          <w:szCs w:val="32"/>
        </w:rPr>
        <w:t>重点支出情况</w:t>
      </w:r>
    </w:p>
    <w:p w14:paraId="5D9BC6C2">
      <w:pPr>
        <w:spacing w:line="630" w:lineRule="exact"/>
        <w:ind w:firstLine="643"/>
        <w:rPr>
          <w:rFonts w:ascii="楷体" w:hAnsi="楷体" w:eastAsia="楷体" w:cs="楷体"/>
          <w:color w:val="000000"/>
          <w:sz w:val="30"/>
          <w:szCs w:val="30"/>
        </w:rPr>
      </w:pPr>
      <w:r>
        <w:rPr>
          <w:rFonts w:hint="eastAsia" w:ascii="仿宋_GB2312" w:hAnsi="仿宋" w:eastAsia="仿宋_GB2312"/>
          <w:sz w:val="32"/>
          <w:szCs w:val="32"/>
        </w:rPr>
        <w:t>2022年，地方财政支出实现90,201万元，经济社会事业发展得到有力保障。全区实现教育支出17,000万元、科学技术支出170万元、文化旅游体育与传媒支出628万元、社会保障和就业支出12,782万元、卫生健康支出7,843万元、节能环保支出1,051万元、城乡社区支出13,776万元、农林水支出5,530万元、住房保障支出5,238万元，有力促进经济社会协调发展。</w:t>
      </w:r>
    </w:p>
    <w:p w14:paraId="7A487BBD">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14:paraId="0EB16EAA">
      <w:pPr>
        <w:widowControl/>
        <w:adjustRightInd w:val="0"/>
        <w:snapToGrid w:val="0"/>
        <w:spacing w:line="600" w:lineRule="exact"/>
        <w:ind w:firstLine="640" w:firstLineChars="200"/>
        <w:contextualSpacing/>
        <w:rPr>
          <w:lang w:val="zh-CN"/>
        </w:rPr>
      </w:pPr>
      <w:r>
        <w:rPr>
          <w:rFonts w:hint="eastAsia" w:ascii="仿宋_GB2312" w:hAnsi="宋体" w:eastAsia="仿宋_GB2312"/>
          <w:kern w:val="0"/>
          <w:sz w:val="32"/>
          <w:szCs w:val="32"/>
          <w:shd w:val="clear" w:color="auto" w:fill="FFFFFF"/>
          <w:lang w:val="zh-CN"/>
        </w:rPr>
        <w:t>2022年区财政局部门整体支出绩效自查自评结果良好，全年贯彻</w:t>
      </w:r>
      <w:r>
        <w:rPr>
          <w:rFonts w:ascii="仿宋_GB2312" w:hAnsi="宋体" w:eastAsia="仿宋_GB2312"/>
          <w:kern w:val="0"/>
          <w:sz w:val="32"/>
          <w:szCs w:val="32"/>
          <w:shd w:val="clear" w:color="auto" w:fill="FFFFFF"/>
          <w:lang w:val="zh-CN"/>
        </w:rPr>
        <w:t>落实过紧日子的要求，</w:t>
      </w:r>
      <w:r>
        <w:rPr>
          <w:rFonts w:hint="eastAsia" w:ascii="仿宋_GB2312" w:hAnsi="宋体" w:eastAsia="仿宋_GB2312"/>
          <w:kern w:val="0"/>
          <w:sz w:val="32"/>
          <w:szCs w:val="32"/>
          <w:shd w:val="clear" w:color="auto" w:fill="FFFFFF"/>
          <w:lang w:val="zh-CN"/>
        </w:rPr>
        <w:t>公用支出保证了部门的正常运转，项目支出保障了重点工作的开展</w:t>
      </w:r>
      <w:r>
        <w:rPr>
          <w:rFonts w:eastAsia="仿宋_GB2312"/>
          <w:sz w:val="32"/>
          <w:szCs w:val="32"/>
        </w:rPr>
        <w:t>。</w:t>
      </w:r>
      <w:r>
        <w:rPr>
          <w:rFonts w:hint="eastAsia" w:ascii="仿宋_GB2312" w:hAnsi="宋体" w:eastAsia="仿宋_GB2312" w:cs="仿宋_GB2312"/>
          <w:kern w:val="0"/>
          <w:sz w:val="32"/>
          <w:szCs w:val="32"/>
          <w:shd w:val="clear" w:color="auto" w:fill="FFFFFF"/>
          <w:lang w:val="zh-CN"/>
        </w:rPr>
        <w:t>2022年</w:t>
      </w:r>
      <w:r>
        <w:rPr>
          <w:rFonts w:ascii="仿宋_GB2312" w:hAnsi="宋体" w:eastAsia="仿宋_GB2312" w:cs="仿宋_GB2312"/>
          <w:kern w:val="0"/>
          <w:sz w:val="32"/>
          <w:szCs w:val="32"/>
          <w:shd w:val="clear" w:color="auto" w:fill="FFFFFF"/>
          <w:lang w:val="zh-CN"/>
        </w:rPr>
        <w:t>在职人员控制率为</w:t>
      </w:r>
      <w:r>
        <w:rPr>
          <w:rFonts w:hint="eastAsia" w:ascii="仿宋_GB2312" w:hAnsi="宋体" w:eastAsia="仿宋_GB2312" w:cs="仿宋_GB2312"/>
          <w:kern w:val="0"/>
          <w:sz w:val="32"/>
          <w:szCs w:val="32"/>
          <w:shd w:val="clear" w:color="auto" w:fill="FFFFFF"/>
          <w:lang w:val="zh-CN"/>
        </w:rPr>
        <w:t>94.59</w:t>
      </w:r>
      <w:r>
        <w:rPr>
          <w:rFonts w:ascii="仿宋_GB2312" w:hAnsi="宋体" w:eastAsia="仿宋_GB2312" w:cs="仿宋_GB2312"/>
          <w:kern w:val="0"/>
          <w:sz w:val="32"/>
          <w:szCs w:val="32"/>
          <w:shd w:val="clear" w:color="auto" w:fill="FFFFFF"/>
          <w:lang w:val="zh-CN"/>
        </w:rPr>
        <w:t>%，在编制控制范围内。</w:t>
      </w:r>
      <w:r>
        <w:rPr>
          <w:rFonts w:hint="eastAsia" w:ascii="仿宋_GB2312" w:hAnsi="仿宋_GB2312" w:eastAsia="仿宋_GB2312" w:cs="仿宋_GB2312"/>
          <w:color w:val="000000"/>
          <w:kern w:val="0"/>
          <w:sz w:val="32"/>
          <w:szCs w:val="32"/>
          <w:shd w:val="clear" w:color="auto" w:fill="FFFFFF"/>
          <w:lang w:val="zh-CN"/>
        </w:rPr>
        <w:t>2022年日常公用经费支出42.14万元，较2021年下降7.66万元，机关落实过紧日子的要求，按期支付日常公用经费，鼓励使用公务卡结算，严控会务、培训、差旅等公务事项审批，加强内部控制管理，推行无纸化办公，开展能耗分析，节约水电费，各项公用经费得到了大幅压减。</w:t>
      </w:r>
      <w:r>
        <w:rPr>
          <w:rFonts w:hint="eastAsia" w:ascii="仿宋_GB2312" w:hAnsi="仿宋_GB2312" w:eastAsia="仿宋_GB2312" w:cs="仿宋_GB2312"/>
          <w:kern w:val="0"/>
          <w:sz w:val="32"/>
          <w:szCs w:val="32"/>
          <w:shd w:val="clear" w:color="auto" w:fill="FFFFFF"/>
          <w:lang w:val="zh-CN"/>
        </w:rPr>
        <w:t>区财政局均衡安排各个项目资金的执行进度，贯彻落实过紧日子的要求，压减（延缓）</w:t>
      </w:r>
      <w:r>
        <w:rPr>
          <w:rFonts w:hint="eastAsia" w:ascii="仿宋_GB2312" w:hAnsi="仿宋_GB2312" w:eastAsia="仿宋_GB2312" w:cs="仿宋_GB2312"/>
          <w:sz w:val="32"/>
          <w:szCs w:val="32"/>
        </w:rPr>
        <w:t>项目评审服务费项目</w:t>
      </w:r>
      <w:r>
        <w:rPr>
          <w:rFonts w:hint="eastAsia" w:ascii="仿宋_GB2312" w:hAnsi="仿宋_GB2312" w:eastAsia="仿宋_GB2312" w:cs="仿宋_GB2312"/>
          <w:kern w:val="0"/>
          <w:sz w:val="32"/>
          <w:szCs w:val="32"/>
          <w:shd w:val="clear" w:color="auto" w:fill="FFFFFF"/>
          <w:lang w:val="zh-CN"/>
        </w:rPr>
        <w:t>、预算管理一体化、国有资产评估和法律尽调服务费、</w:t>
      </w:r>
      <w:r>
        <w:rPr>
          <w:rFonts w:hint="eastAsia" w:ascii="仿宋_GB2312" w:hAnsi="仿宋_GB2312" w:eastAsia="仿宋_GB2312" w:cs="仿宋_GB2312"/>
          <w:sz w:val="32"/>
          <w:szCs w:val="32"/>
        </w:rPr>
        <w:t>财评业务经费项目</w:t>
      </w:r>
      <w:r>
        <w:rPr>
          <w:rFonts w:hint="eastAsia" w:ascii="仿宋_GB2312" w:hAnsi="仿宋_GB2312" w:eastAsia="仿宋_GB2312" w:cs="仿宋_GB2312"/>
          <w:kern w:val="0"/>
          <w:sz w:val="32"/>
          <w:szCs w:val="32"/>
          <w:shd w:val="clear" w:color="auto" w:fill="FFFFFF"/>
          <w:lang w:val="zh-CN"/>
        </w:rPr>
        <w:t>等支出，年初下达项目经费450万元，</w:t>
      </w:r>
      <w:r>
        <w:rPr>
          <w:rFonts w:hint="eastAsia" w:ascii="仿宋_GB2312" w:hAnsi="仿宋_GB2312" w:eastAsia="仿宋_GB2312" w:cs="仿宋_GB2312"/>
          <w:sz w:val="32"/>
          <w:szCs w:val="32"/>
        </w:rPr>
        <w:t>上年结转结余115.9万元，</w:t>
      </w:r>
      <w:r>
        <w:rPr>
          <w:rFonts w:hint="eastAsia" w:ascii="仿宋_GB2312" w:hAnsi="仿宋_GB2312" w:eastAsia="仿宋_GB2312" w:cs="仿宋_GB2312"/>
          <w:kern w:val="0"/>
          <w:sz w:val="32"/>
          <w:szCs w:val="32"/>
          <w:shd w:val="clear" w:color="auto" w:fill="FFFFFF"/>
          <w:lang w:val="zh-CN"/>
        </w:rPr>
        <w:t>年度预算执行项目经费支出</w:t>
      </w:r>
      <w:r>
        <w:rPr>
          <w:rFonts w:hint="eastAsia" w:ascii="仿宋_GB2312" w:hAnsi="仿宋_GB2312" w:eastAsia="仿宋_GB2312" w:cs="仿宋_GB2312"/>
          <w:sz w:val="32"/>
          <w:szCs w:val="32"/>
        </w:rPr>
        <w:t>348.83</w:t>
      </w:r>
      <w:r>
        <w:rPr>
          <w:rFonts w:hint="eastAsia" w:ascii="仿宋_GB2312" w:hAnsi="仿宋_GB2312" w:eastAsia="仿宋_GB2312" w:cs="仿宋_GB2312"/>
          <w:kern w:val="0"/>
          <w:sz w:val="32"/>
          <w:szCs w:val="32"/>
          <w:shd w:val="clear" w:color="auto" w:fill="FFFFFF"/>
          <w:lang w:val="zh-CN"/>
        </w:rPr>
        <w:t>万元，年末项目资金全部统一收回，没有财政结余资金</w:t>
      </w:r>
      <w:r>
        <w:rPr>
          <w:rFonts w:hint="eastAsia" w:eastAsia="仿宋_GB2312"/>
          <w:sz w:val="32"/>
          <w:szCs w:val="32"/>
        </w:rPr>
        <w:t>。自有</w:t>
      </w:r>
      <w:r>
        <w:rPr>
          <w:rFonts w:eastAsia="仿宋_GB2312"/>
          <w:sz w:val="32"/>
          <w:szCs w:val="32"/>
        </w:rPr>
        <w:t>资结余</w:t>
      </w:r>
      <w:r>
        <w:rPr>
          <w:rFonts w:hint="eastAsia" w:eastAsia="仿宋_GB2312"/>
          <w:sz w:val="32"/>
          <w:szCs w:val="32"/>
        </w:rPr>
        <w:t>0.2</w:t>
      </w:r>
      <w:r>
        <w:rPr>
          <w:rFonts w:eastAsia="仿宋_GB2312"/>
          <w:sz w:val="32"/>
          <w:szCs w:val="32"/>
        </w:rPr>
        <w:t>7</w:t>
      </w:r>
      <w:r>
        <w:rPr>
          <w:rFonts w:hint="eastAsia" w:eastAsia="仿宋_GB2312"/>
          <w:sz w:val="32"/>
          <w:szCs w:val="32"/>
        </w:rPr>
        <w:t>万元</w:t>
      </w:r>
      <w:r>
        <w:rPr>
          <w:rFonts w:eastAsia="仿宋_GB2312"/>
          <w:sz w:val="32"/>
          <w:szCs w:val="32"/>
        </w:rPr>
        <w:t>，预算控制</w:t>
      </w:r>
      <w:r>
        <w:rPr>
          <w:rFonts w:hint="eastAsia" w:eastAsia="仿宋_GB2312"/>
          <w:sz w:val="32"/>
          <w:szCs w:val="32"/>
        </w:rPr>
        <w:t>较好。</w:t>
      </w:r>
    </w:p>
    <w:p w14:paraId="2D8A42D9">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14:paraId="0B1CD473">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14:paraId="0FD86242">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14:paraId="55D69224">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 w:hAnsi="仿宋" w:eastAsia="仿宋"/>
          <w:sz w:val="32"/>
          <w:szCs w:val="32"/>
        </w:rPr>
        <w:t>20</w:t>
      </w:r>
      <w:r>
        <w:rPr>
          <w:rFonts w:hint="eastAsia" w:ascii="仿宋" w:hAnsi="仿宋" w:eastAsia="仿宋"/>
          <w:sz w:val="32"/>
          <w:szCs w:val="32"/>
        </w:rPr>
        <w:t>22年本年收入合计818.88万元，其中：一般公共预算财政拨款收入617.76万元，占75</w:t>
      </w:r>
      <w:r>
        <w:rPr>
          <w:rFonts w:ascii="仿宋" w:hAnsi="仿宋" w:eastAsia="仿宋"/>
          <w:sz w:val="32"/>
          <w:szCs w:val="32"/>
        </w:rPr>
        <w:t>%</w:t>
      </w:r>
      <w:r>
        <w:rPr>
          <w:rFonts w:hint="eastAsia" w:ascii="仿宋" w:hAnsi="仿宋" w:eastAsia="仿宋"/>
          <w:sz w:val="32"/>
          <w:szCs w:val="32"/>
        </w:rPr>
        <w:t>；政府性基金预算财政拨款收入201.07万元，占25</w:t>
      </w:r>
      <w:r>
        <w:rPr>
          <w:rFonts w:ascii="仿宋" w:hAnsi="仿宋" w:eastAsia="仿宋"/>
          <w:sz w:val="32"/>
          <w:szCs w:val="32"/>
        </w:rPr>
        <w:t>%</w:t>
      </w:r>
      <w:r>
        <w:rPr>
          <w:rFonts w:hint="eastAsia" w:ascii="仿宋" w:hAnsi="仿宋" w:eastAsia="仿宋"/>
          <w:sz w:val="32"/>
          <w:szCs w:val="32"/>
        </w:rPr>
        <w:t>；其他收入0.05万元，占0</w:t>
      </w:r>
      <w:r>
        <w:rPr>
          <w:rFonts w:ascii="仿宋" w:hAnsi="仿宋" w:eastAsia="仿宋"/>
          <w:sz w:val="32"/>
          <w:szCs w:val="32"/>
        </w:rPr>
        <w:t>%</w:t>
      </w:r>
      <w:r>
        <w:rPr>
          <w:rFonts w:hint="eastAsia" w:ascii="仿宋" w:hAnsi="仿宋" w:eastAsia="仿宋"/>
          <w:sz w:val="32"/>
          <w:szCs w:val="32"/>
        </w:rPr>
        <w:t>。</w:t>
      </w:r>
    </w:p>
    <w:p w14:paraId="133967A8">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14:paraId="79FF5BB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ascii="仿宋" w:hAnsi="仿宋" w:eastAsia="仿宋"/>
          <w:sz w:val="32"/>
          <w:szCs w:val="32"/>
        </w:rPr>
        <w:t>20</w:t>
      </w:r>
      <w:r>
        <w:rPr>
          <w:rFonts w:hint="eastAsia" w:ascii="仿宋" w:hAnsi="仿宋" w:eastAsia="仿宋"/>
          <w:sz w:val="32"/>
          <w:szCs w:val="32"/>
        </w:rPr>
        <w:t>22年本年支出合计1122.21万元，其中：</w:t>
      </w:r>
      <w:r>
        <w:rPr>
          <w:rFonts w:hint="eastAsia" w:ascii="仿宋_GB2312" w:hAnsi="宋体" w:eastAsia="仿宋_GB2312" w:cs="宋体"/>
          <w:color w:val="000000"/>
          <w:kern w:val="0"/>
          <w:sz w:val="32"/>
          <w:szCs w:val="32"/>
          <w:shd w:val="clear" w:color="auto" w:fill="FFFFFF"/>
        </w:rPr>
        <w:t>一般公共预算财政拨款支出921.14万元，占82%；政府性基金预算财政拨款支出201.07万元，占18%。</w:t>
      </w:r>
    </w:p>
    <w:p w14:paraId="125331AE">
      <w:pPr>
        <w:widowControl/>
        <w:adjustRightInd w:val="0"/>
        <w:snapToGrid w:val="0"/>
        <w:spacing w:line="560" w:lineRule="exact"/>
        <w:ind w:left="420" w:leftChars="200" w:firstLine="320" w:firstLineChars="1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14:paraId="659887F3">
      <w:pPr>
        <w:widowControl/>
        <w:adjustRightInd w:val="0"/>
        <w:snapToGrid w:val="0"/>
        <w:spacing w:line="560" w:lineRule="exact"/>
        <w:ind w:left="420" w:left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年初结转和结余303.60万元，年末结转和结余0.27万元。</w:t>
      </w:r>
    </w:p>
    <w:p w14:paraId="2E288977">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14:paraId="17A83B0A">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14:paraId="135A4108">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w:t>
      </w:r>
      <w:r>
        <w:rPr>
          <w:rFonts w:hint="eastAsia" w:ascii="仿宋_GB2312" w:hAnsi="仿宋_GB2312" w:eastAsia="仿宋_GB2312" w:cs="仿宋_GB2312"/>
          <w:kern w:val="0"/>
          <w:sz w:val="32"/>
          <w:szCs w:val="32"/>
          <w:shd w:val="clear" w:color="auto" w:fill="FFFFFF"/>
          <w:lang w:val="zh-CN"/>
        </w:rPr>
        <w:t>财政拨款收入</w:t>
      </w:r>
      <w:r>
        <w:rPr>
          <w:rFonts w:hint="eastAsia" w:ascii="仿宋_GB2312" w:hAnsi="仿宋_GB2312" w:eastAsia="仿宋_GB2312" w:cs="仿宋_GB2312"/>
          <w:kern w:val="0"/>
          <w:sz w:val="32"/>
          <w:szCs w:val="32"/>
          <w:shd w:val="clear" w:color="auto" w:fill="FFFFFF"/>
        </w:rPr>
        <w:t>818.83万元，其中：一般公共预算财政拨款收入617.76万元，占75%；政府性基金预算财政拨款收入201.07万元，占25%。</w:t>
      </w:r>
    </w:p>
    <w:p w14:paraId="6793F175">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14:paraId="5C480A61">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2022年</w:t>
      </w:r>
      <w:r>
        <w:rPr>
          <w:rFonts w:hint="eastAsia" w:ascii="仿宋_GB2312" w:hAnsi="宋体" w:eastAsia="仿宋_GB2312" w:cs="宋体"/>
          <w:color w:val="000000"/>
          <w:kern w:val="0"/>
          <w:sz w:val="32"/>
          <w:szCs w:val="32"/>
          <w:shd w:val="clear" w:color="auto" w:fill="FFFFFF"/>
          <w:lang w:val="zh-CN"/>
        </w:rPr>
        <w:t>财政拨款支出</w:t>
      </w:r>
      <w:r>
        <w:rPr>
          <w:rFonts w:hint="eastAsia" w:ascii="仿宋_GB2312" w:hAnsi="宋体" w:eastAsia="仿宋_GB2312" w:cs="宋体"/>
          <w:color w:val="000000"/>
          <w:kern w:val="0"/>
          <w:sz w:val="32"/>
          <w:szCs w:val="32"/>
          <w:shd w:val="clear" w:color="auto" w:fill="FFFFFF"/>
        </w:rPr>
        <w:t>1122.21万元，其中：一般公共预算财政拨款支出921.14万元，占82%；政府性基金预算财政拨款支出201.07万元，占18%。</w:t>
      </w:r>
    </w:p>
    <w:p w14:paraId="21592486">
      <w:pPr>
        <w:widowControl/>
        <w:adjustRightInd w:val="0"/>
        <w:snapToGrid w:val="0"/>
        <w:spacing w:line="560" w:lineRule="exact"/>
        <w:ind w:left="672"/>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14:paraId="52B53CF6">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财政拨款年初结转和结余303.38万元，年末结转和结余0万元。</w:t>
      </w:r>
    </w:p>
    <w:p w14:paraId="2D8343D2">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14:paraId="78962971">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14:paraId="310D3CAE">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14:paraId="65D11B39">
      <w:pPr>
        <w:widowControl/>
        <w:adjustRightInd w:val="0"/>
        <w:snapToGrid w:val="0"/>
        <w:spacing w:line="56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绩效目标依据机构职能制定，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2022年人员经费支出731.24万元，较2021年下降</w:t>
      </w:r>
      <w:r>
        <w:rPr>
          <w:rFonts w:hint="eastAsia" w:ascii="仿宋_GB2312" w:hAnsi="仿宋_GB2312" w:eastAsia="仿宋_GB2312" w:cs="仿宋_GB2312"/>
          <w:sz w:val="32"/>
          <w:szCs w:val="32"/>
        </w:rPr>
        <w:t>4.82</w:t>
      </w:r>
      <w:r>
        <w:rPr>
          <w:rFonts w:hint="eastAsia" w:ascii="仿宋_GB2312" w:hAnsi="仿宋_GB2312" w:eastAsia="仿宋_GB2312" w:cs="仿宋_GB2312"/>
          <w:color w:val="000000"/>
          <w:sz w:val="32"/>
          <w:szCs w:val="32"/>
        </w:rPr>
        <w:t>万元。以上支出依法依规按月或按年定期发放，全年支出控制、执行进度、预算完成100%，年末人员类资金无结余，无违规情况。</w:t>
      </w:r>
    </w:p>
    <w:p w14:paraId="4B8F1C6F">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14:paraId="2DB32132">
      <w:pPr>
        <w:widowControl/>
        <w:adjustRightInd w:val="0"/>
        <w:snapToGrid w:val="0"/>
        <w:spacing w:line="60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运转类项目主要是维持单位基本运转的各类商品服务，包括水电费、三公经费、差旅费、办公费等。2022年日常公用经费支出42.14万元，较2021年下降7.66万元，机关落实过紧日子的要求，按期支付日常公用经费，鼓励使用公务卡结算，严控会务、培训、差旅等公务事项审批，加强内部控制管理，推行无纸化办公，开展能耗分析，节约水电费，各项公用经费得到了大幅压减，年末运转类资金无结余，无违规情况。</w:t>
      </w:r>
    </w:p>
    <w:p w14:paraId="20C5AF3D">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14:paraId="4C26E83B">
      <w:pPr>
        <w:widowControl/>
        <w:adjustRightInd w:val="0"/>
        <w:snapToGrid w:val="0"/>
        <w:spacing w:line="58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特定目标类项目主要有全区金财网建设经费项目、绩效评价体系建设经费项目、财政软件及业务费项目、财评业务经费项目、项目评审服务费项目、国库支付管理业务、财政监督检查业务</w:t>
      </w:r>
      <w:r>
        <w:rPr>
          <w:rFonts w:hint="eastAsia" w:ascii="仿宋_GB2312" w:hAnsi="仿宋_GB2312" w:eastAsia="仿宋_GB2312" w:cs="仿宋_GB2312"/>
          <w:kern w:val="0"/>
          <w:sz w:val="32"/>
          <w:szCs w:val="32"/>
          <w:shd w:val="clear" w:color="auto" w:fill="FFFFFF"/>
          <w:lang w:val="zh-CN"/>
        </w:rPr>
        <w:t>等。年初下达项目经费450万元，</w:t>
      </w:r>
      <w:r>
        <w:rPr>
          <w:rFonts w:hint="eastAsia" w:ascii="仿宋_GB2312" w:hAnsi="仿宋_GB2312" w:eastAsia="仿宋_GB2312" w:cs="仿宋_GB2312"/>
          <w:sz w:val="32"/>
          <w:szCs w:val="32"/>
        </w:rPr>
        <w:t>上年结转结余115.9万元，</w:t>
      </w:r>
      <w:r>
        <w:rPr>
          <w:rFonts w:hint="eastAsia" w:ascii="仿宋_GB2312" w:hAnsi="仿宋_GB2312" w:eastAsia="仿宋_GB2312" w:cs="仿宋_GB2312"/>
          <w:kern w:val="0"/>
          <w:sz w:val="32"/>
          <w:szCs w:val="32"/>
          <w:shd w:val="clear" w:color="auto" w:fill="FFFFFF"/>
          <w:lang w:val="zh-CN"/>
        </w:rPr>
        <w:t>年度预算执行项目经费支出</w:t>
      </w:r>
      <w:r>
        <w:rPr>
          <w:rFonts w:hint="eastAsia" w:ascii="仿宋_GB2312" w:hAnsi="仿宋_GB2312" w:eastAsia="仿宋_GB2312" w:cs="仿宋_GB2312"/>
          <w:sz w:val="32"/>
          <w:szCs w:val="32"/>
        </w:rPr>
        <w:t>348.83</w:t>
      </w:r>
      <w:r>
        <w:rPr>
          <w:rFonts w:hint="eastAsia" w:ascii="仿宋_GB2312" w:hAnsi="仿宋_GB2312" w:eastAsia="仿宋_GB2312" w:cs="仿宋_GB2312"/>
          <w:kern w:val="0"/>
          <w:sz w:val="32"/>
          <w:szCs w:val="32"/>
          <w:shd w:val="clear" w:color="auto" w:fill="FFFFFF"/>
          <w:lang w:val="zh-CN"/>
        </w:rPr>
        <w:t>万元。区财政局均衡安排各个项目资金的执行进度，贯彻落实过紧日子的要求，压减（延缓）</w:t>
      </w:r>
      <w:r>
        <w:rPr>
          <w:rFonts w:hint="eastAsia" w:ascii="仿宋_GB2312" w:hAnsi="仿宋_GB2312" w:eastAsia="仿宋_GB2312" w:cs="仿宋_GB2312"/>
          <w:sz w:val="32"/>
          <w:szCs w:val="32"/>
        </w:rPr>
        <w:t>项目评审服务费项目</w:t>
      </w:r>
      <w:r>
        <w:rPr>
          <w:rFonts w:hint="eastAsia" w:ascii="仿宋_GB2312" w:hAnsi="仿宋_GB2312" w:eastAsia="仿宋_GB2312" w:cs="仿宋_GB2312"/>
          <w:kern w:val="0"/>
          <w:sz w:val="32"/>
          <w:szCs w:val="32"/>
          <w:shd w:val="clear" w:color="auto" w:fill="FFFFFF"/>
          <w:lang w:val="zh-CN"/>
        </w:rPr>
        <w:t>、预算管理一体化、国有资产评估和法律尽调服务费、</w:t>
      </w:r>
      <w:r>
        <w:rPr>
          <w:rFonts w:hint="eastAsia" w:ascii="仿宋_GB2312" w:hAnsi="仿宋_GB2312" w:eastAsia="仿宋_GB2312" w:cs="仿宋_GB2312"/>
          <w:sz w:val="32"/>
          <w:szCs w:val="32"/>
        </w:rPr>
        <w:t>财评业务经费项目</w:t>
      </w:r>
      <w:r>
        <w:rPr>
          <w:rFonts w:hint="eastAsia" w:ascii="仿宋_GB2312" w:hAnsi="仿宋_GB2312" w:eastAsia="仿宋_GB2312" w:cs="仿宋_GB2312"/>
          <w:kern w:val="0"/>
          <w:sz w:val="32"/>
          <w:szCs w:val="32"/>
          <w:shd w:val="clear" w:color="auto" w:fill="FFFFFF"/>
          <w:lang w:val="zh-CN"/>
        </w:rPr>
        <w:t>等支出，年末项目资金全部统一收回，没有财政结余资金。自有资结余0.27万元，预算控制较好。</w:t>
      </w:r>
    </w:p>
    <w:p w14:paraId="624FA919">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14:paraId="097841D0">
      <w:pPr>
        <w:pStyle w:val="6"/>
        <w:spacing w:before="93"/>
        <w:ind w:firstLine="640" w:firstLineChars="200"/>
        <w:rPr>
          <w:sz w:val="32"/>
          <w:szCs w:val="32"/>
          <w:lang w:val="zh-CN"/>
        </w:rPr>
      </w:pPr>
      <w:r>
        <w:rPr>
          <w:rFonts w:hint="eastAsia"/>
          <w:sz w:val="32"/>
          <w:szCs w:val="32"/>
          <w:lang w:val="zh-CN"/>
        </w:rPr>
        <w:t>在过</w:t>
      </w:r>
      <w:r>
        <w:rPr>
          <w:sz w:val="32"/>
          <w:szCs w:val="32"/>
          <w:lang w:val="zh-CN"/>
        </w:rPr>
        <w:t>去的</w:t>
      </w:r>
      <w:r>
        <w:rPr>
          <w:rFonts w:hint="eastAsia"/>
          <w:sz w:val="32"/>
          <w:szCs w:val="32"/>
          <w:lang w:val="zh-CN"/>
        </w:rPr>
        <w:t>2022年</w:t>
      </w:r>
      <w:r>
        <w:rPr>
          <w:sz w:val="32"/>
          <w:szCs w:val="32"/>
          <w:lang w:val="zh-CN"/>
        </w:rPr>
        <w:t>中，</w:t>
      </w:r>
      <w:r>
        <w:rPr>
          <w:rFonts w:hint="eastAsia"/>
          <w:sz w:val="32"/>
          <w:szCs w:val="32"/>
          <w:lang w:val="zh-CN"/>
        </w:rPr>
        <w:t>区财政局顺利</w:t>
      </w:r>
      <w:r>
        <w:rPr>
          <w:sz w:val="32"/>
          <w:szCs w:val="32"/>
          <w:lang w:val="zh-CN"/>
        </w:rPr>
        <w:t>完</w:t>
      </w:r>
      <w:r>
        <w:rPr>
          <w:rFonts w:hint="eastAsia"/>
          <w:sz w:val="32"/>
          <w:szCs w:val="32"/>
          <w:lang w:val="zh-CN"/>
        </w:rPr>
        <w:t>成</w:t>
      </w:r>
      <w:r>
        <w:rPr>
          <w:sz w:val="32"/>
          <w:szCs w:val="32"/>
          <w:lang w:val="zh-CN"/>
        </w:rPr>
        <w:t>了项目预算执行任务</w:t>
      </w:r>
      <w:r>
        <w:rPr>
          <w:rFonts w:hint="eastAsia"/>
          <w:sz w:val="32"/>
          <w:szCs w:val="32"/>
          <w:lang w:val="zh-CN"/>
        </w:rPr>
        <w:t>。</w:t>
      </w:r>
      <w:r>
        <w:rPr>
          <w:sz w:val="32"/>
          <w:szCs w:val="32"/>
          <w:lang w:val="zh-CN"/>
        </w:rPr>
        <w:t>通</w:t>
      </w:r>
      <w:r>
        <w:rPr>
          <w:rFonts w:hint="eastAsia"/>
          <w:sz w:val="32"/>
          <w:szCs w:val="32"/>
          <w:lang w:val="zh-CN"/>
        </w:rPr>
        <w:t>过</w:t>
      </w:r>
      <w:r>
        <w:rPr>
          <w:sz w:val="32"/>
          <w:szCs w:val="32"/>
          <w:lang w:val="zh-CN"/>
        </w:rPr>
        <w:t>各项指标的监</w:t>
      </w:r>
      <w:r>
        <w:rPr>
          <w:rFonts w:hint="eastAsia"/>
          <w:sz w:val="32"/>
          <w:szCs w:val="32"/>
          <w:lang w:val="zh-CN"/>
        </w:rPr>
        <w:t>测</w:t>
      </w:r>
      <w:r>
        <w:rPr>
          <w:sz w:val="32"/>
          <w:szCs w:val="32"/>
          <w:lang w:val="zh-CN"/>
        </w:rPr>
        <w:t>和分析，工作效率</w:t>
      </w:r>
      <w:r>
        <w:rPr>
          <w:rFonts w:hint="eastAsia"/>
          <w:sz w:val="32"/>
          <w:szCs w:val="32"/>
          <w:lang w:val="zh-CN"/>
        </w:rPr>
        <w:t>得</w:t>
      </w:r>
      <w:r>
        <w:rPr>
          <w:sz w:val="32"/>
          <w:szCs w:val="32"/>
          <w:lang w:val="zh-CN"/>
        </w:rPr>
        <w:t>到了</w:t>
      </w:r>
      <w:r>
        <w:rPr>
          <w:rFonts w:hint="eastAsia"/>
          <w:sz w:val="32"/>
          <w:szCs w:val="32"/>
          <w:lang w:val="zh-CN"/>
        </w:rPr>
        <w:t>提</w:t>
      </w:r>
      <w:r>
        <w:rPr>
          <w:sz w:val="32"/>
          <w:szCs w:val="32"/>
          <w:lang w:val="zh-CN"/>
        </w:rPr>
        <w:t>高，例如财务处理速度加快、资金使用率提高等</w:t>
      </w:r>
      <w:r>
        <w:rPr>
          <w:rFonts w:hint="eastAsia"/>
          <w:sz w:val="32"/>
          <w:szCs w:val="32"/>
          <w:lang w:val="zh-CN"/>
        </w:rPr>
        <w:t>，</w:t>
      </w:r>
      <w:r>
        <w:rPr>
          <w:sz w:val="32"/>
          <w:szCs w:val="32"/>
          <w:lang w:val="zh-CN"/>
        </w:rPr>
        <w:t>通过对过去一年的工作进行分析和</w:t>
      </w:r>
      <w:r>
        <w:rPr>
          <w:rFonts w:hint="eastAsia"/>
          <w:sz w:val="32"/>
          <w:szCs w:val="32"/>
          <w:lang w:val="zh-CN"/>
        </w:rPr>
        <w:t>评</w:t>
      </w:r>
      <w:r>
        <w:rPr>
          <w:sz w:val="32"/>
          <w:szCs w:val="32"/>
          <w:lang w:val="zh-CN"/>
        </w:rPr>
        <w:t>估，我们认为自己</w:t>
      </w:r>
      <w:r>
        <w:rPr>
          <w:rFonts w:hint="eastAsia"/>
          <w:sz w:val="32"/>
          <w:szCs w:val="32"/>
          <w:lang w:val="zh-CN"/>
        </w:rPr>
        <w:t>在</w:t>
      </w:r>
      <w:r>
        <w:rPr>
          <w:sz w:val="32"/>
          <w:szCs w:val="32"/>
          <w:lang w:val="zh-CN"/>
        </w:rPr>
        <w:t>部门整体履职绩效方面表现良好</w:t>
      </w:r>
      <w:r>
        <w:rPr>
          <w:rFonts w:hint="eastAsia"/>
          <w:sz w:val="32"/>
          <w:szCs w:val="32"/>
          <w:lang w:val="zh-CN"/>
        </w:rPr>
        <w:t>。但是，</w:t>
      </w:r>
      <w:r>
        <w:rPr>
          <w:sz w:val="32"/>
          <w:szCs w:val="32"/>
          <w:lang w:val="zh-CN"/>
        </w:rPr>
        <w:t>我们也意识到还有一些需要改进的地方</w:t>
      </w:r>
      <w:r>
        <w:rPr>
          <w:rFonts w:hint="eastAsia"/>
          <w:sz w:val="32"/>
          <w:szCs w:val="32"/>
          <w:lang w:val="zh-CN"/>
        </w:rPr>
        <w:t>。</w:t>
      </w:r>
      <w:r>
        <w:rPr>
          <w:sz w:val="32"/>
          <w:szCs w:val="32"/>
          <w:lang w:val="zh-CN"/>
        </w:rPr>
        <w:t>需</w:t>
      </w:r>
      <w:r>
        <w:rPr>
          <w:rFonts w:hint="eastAsia"/>
          <w:sz w:val="32"/>
          <w:szCs w:val="32"/>
          <w:lang w:val="zh-CN"/>
        </w:rPr>
        <w:t>要进</w:t>
      </w:r>
      <w:r>
        <w:rPr>
          <w:sz w:val="32"/>
          <w:szCs w:val="32"/>
          <w:lang w:val="zh-CN"/>
        </w:rPr>
        <w:t>一步加强</w:t>
      </w:r>
      <w:r>
        <w:rPr>
          <w:rFonts w:hint="eastAsia"/>
          <w:sz w:val="32"/>
          <w:szCs w:val="32"/>
          <w:lang w:val="zh-CN"/>
        </w:rPr>
        <w:t>预</w:t>
      </w:r>
      <w:r>
        <w:rPr>
          <w:sz w:val="32"/>
          <w:szCs w:val="32"/>
          <w:lang w:val="zh-CN"/>
        </w:rPr>
        <w:t>算执行的管理</w:t>
      </w:r>
      <w:r>
        <w:rPr>
          <w:rFonts w:hint="eastAsia"/>
          <w:sz w:val="32"/>
          <w:szCs w:val="32"/>
          <w:lang w:val="zh-CN"/>
        </w:rPr>
        <w:t>和</w:t>
      </w:r>
      <w:r>
        <w:rPr>
          <w:sz w:val="32"/>
          <w:szCs w:val="32"/>
          <w:lang w:val="zh-CN"/>
        </w:rPr>
        <w:t>监督，确保预算资金使</w:t>
      </w:r>
      <w:r>
        <w:rPr>
          <w:rFonts w:hint="eastAsia"/>
          <w:sz w:val="32"/>
          <w:szCs w:val="32"/>
          <w:lang w:val="zh-CN"/>
        </w:rPr>
        <w:t>用的</w:t>
      </w:r>
      <w:r>
        <w:rPr>
          <w:sz w:val="32"/>
          <w:szCs w:val="32"/>
          <w:lang w:val="zh-CN"/>
        </w:rPr>
        <w:t>合规性和效益性</w:t>
      </w:r>
      <w:r>
        <w:rPr>
          <w:rFonts w:hint="eastAsia"/>
          <w:sz w:val="32"/>
          <w:szCs w:val="32"/>
          <w:lang w:val="zh-CN"/>
        </w:rPr>
        <w:t>；</w:t>
      </w:r>
      <w:r>
        <w:rPr>
          <w:sz w:val="32"/>
          <w:szCs w:val="32"/>
          <w:lang w:val="zh-CN"/>
        </w:rPr>
        <w:t>进一步提高工作</w:t>
      </w:r>
      <w:r>
        <w:rPr>
          <w:rFonts w:hint="eastAsia"/>
          <w:sz w:val="32"/>
          <w:szCs w:val="32"/>
          <w:lang w:val="zh-CN"/>
        </w:rPr>
        <w:t>效</w:t>
      </w:r>
      <w:r>
        <w:rPr>
          <w:sz w:val="32"/>
          <w:szCs w:val="32"/>
          <w:lang w:val="zh-CN"/>
        </w:rPr>
        <w:t>率和质量，优化工作流程和服务流程；加强合作能力，更好地协调</w:t>
      </w:r>
      <w:r>
        <w:rPr>
          <w:rFonts w:hint="eastAsia"/>
          <w:sz w:val="32"/>
          <w:szCs w:val="32"/>
          <w:lang w:val="zh-CN"/>
        </w:rPr>
        <w:t>各</w:t>
      </w:r>
      <w:r>
        <w:rPr>
          <w:sz w:val="32"/>
          <w:szCs w:val="32"/>
          <w:lang w:val="zh-CN"/>
        </w:rPr>
        <w:t>部门之间工作关系和信息共享</w:t>
      </w:r>
      <w:r>
        <w:rPr>
          <w:rFonts w:hint="eastAsia"/>
          <w:sz w:val="32"/>
          <w:szCs w:val="32"/>
          <w:lang w:val="zh-CN"/>
        </w:rPr>
        <w:t>。</w:t>
      </w:r>
      <w:r>
        <w:rPr>
          <w:sz w:val="32"/>
          <w:szCs w:val="32"/>
          <w:lang w:val="zh-CN"/>
        </w:rPr>
        <w:t>我们将在</w:t>
      </w:r>
      <w:r>
        <w:rPr>
          <w:rFonts w:hint="eastAsia"/>
          <w:sz w:val="32"/>
          <w:szCs w:val="32"/>
          <w:lang w:val="zh-CN"/>
        </w:rPr>
        <w:t>今</w:t>
      </w:r>
      <w:r>
        <w:rPr>
          <w:sz w:val="32"/>
          <w:szCs w:val="32"/>
          <w:lang w:val="zh-CN"/>
        </w:rPr>
        <w:t>后的工作中更加</w:t>
      </w:r>
      <w:r>
        <w:rPr>
          <w:rFonts w:hint="eastAsia"/>
          <w:sz w:val="32"/>
          <w:szCs w:val="32"/>
          <w:lang w:val="zh-CN"/>
        </w:rPr>
        <w:t>注重</w:t>
      </w:r>
      <w:r>
        <w:rPr>
          <w:sz w:val="32"/>
          <w:szCs w:val="32"/>
          <w:lang w:val="zh-CN"/>
        </w:rPr>
        <w:t>效率和质量，努力提高履职绩效，不断提升综合素质和</w:t>
      </w:r>
      <w:r>
        <w:rPr>
          <w:rFonts w:hint="eastAsia"/>
          <w:sz w:val="32"/>
          <w:szCs w:val="32"/>
          <w:lang w:val="zh-CN"/>
        </w:rPr>
        <w:t>能</w:t>
      </w:r>
      <w:r>
        <w:rPr>
          <w:sz w:val="32"/>
          <w:szCs w:val="32"/>
          <w:lang w:val="zh-CN"/>
        </w:rPr>
        <w:t>力。</w:t>
      </w:r>
    </w:p>
    <w:p w14:paraId="1F42E9A3">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14:paraId="7A25253D">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财政局将支出单位预算项目绩效目标编制情况、全年预算执行情况和年中项目预算金额调整情况纳入局机关绩效管理考评。同时，按照财政部门统一部署安排，于2023年1月随同2023年部门预算编制说明公开了部门项目绩效目标设置情况，于2022年9月随同2021年部门决算公开部门整体支出绩效自评报告和项目绩效目标管理情况，自觉接受公众监督，进一步提高财政资金管理透明度。</w:t>
      </w:r>
    </w:p>
    <w:p w14:paraId="4B19A3AA">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14:paraId="16DDD0C3">
      <w:pPr>
        <w:widowControl/>
        <w:adjustRightInd w:val="0"/>
        <w:snapToGrid w:val="0"/>
        <w:spacing w:line="58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2022年区财政局部门整体支出绩效自查得分较为客观，</w:t>
      </w:r>
      <w:r>
        <w:rPr>
          <w:rFonts w:hint="eastAsia" w:ascii="仿宋_GB2312" w:hAnsi="仿宋_GB2312" w:eastAsia="仿宋_GB2312" w:cs="仿宋_GB2312"/>
          <w:sz w:val="32"/>
          <w:szCs w:val="32"/>
        </w:rPr>
        <w:t>全年无超预算、无预算支出，无违规违纪的问题。</w:t>
      </w:r>
      <w:r>
        <w:rPr>
          <w:rFonts w:hint="eastAsia" w:ascii="仿宋_GB2312" w:hAnsi="仿宋_GB2312" w:eastAsia="仿宋_GB2312" w:cs="仿宋_GB2312"/>
          <w:kern w:val="0"/>
          <w:sz w:val="32"/>
          <w:szCs w:val="32"/>
          <w:shd w:val="clear" w:color="auto" w:fill="FFFFFF"/>
        </w:rPr>
        <w:t>区财政局2022年无财政专项预算项目绩效评价工作，自行组织了其他涉及一般公共预算项目自评，共选取2个项目形成自评报告并和整体支出绩效报告一并上报。</w:t>
      </w:r>
    </w:p>
    <w:p w14:paraId="4D8141EB">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14:paraId="2AC31AAB">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14:paraId="302DED40">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1.本单位整体支出绩效目标实现情况。</w:t>
      </w:r>
    </w:p>
    <w:p w14:paraId="504D8381">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全年通过</w:t>
      </w:r>
      <w:r>
        <w:rPr>
          <w:rFonts w:ascii="仿宋_GB2312" w:hAnsi="仿宋" w:eastAsia="仿宋_GB2312"/>
          <w:sz w:val="32"/>
          <w:szCs w:val="32"/>
        </w:rPr>
        <w:t>加强预算收支管理，健全内部管理制度，严格内部管理流程，部门整体支出</w:t>
      </w:r>
      <w:r>
        <w:rPr>
          <w:rFonts w:hint="eastAsia" w:ascii="仿宋_GB2312" w:hAnsi="仿宋" w:eastAsia="仿宋_GB2312"/>
          <w:sz w:val="32"/>
          <w:szCs w:val="32"/>
        </w:rPr>
        <w:t>控制在预算范围内，财务收支平衡，有效保障了单位各项工作有序开展。</w:t>
      </w:r>
    </w:p>
    <w:p w14:paraId="7576DDB7">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2.项目绩效目标完成情况。</w:t>
      </w:r>
    </w:p>
    <w:p w14:paraId="3A8A2E2C">
      <w:pPr>
        <w:snapToGrid w:val="0"/>
        <w:spacing w:line="588" w:lineRule="exact"/>
        <w:ind w:firstLine="640" w:firstLineChars="200"/>
        <w:rPr>
          <w:lang w:val="zh-CN"/>
        </w:rPr>
      </w:pPr>
      <w:r>
        <w:rPr>
          <w:rFonts w:hint="eastAsia" w:ascii="仿宋_GB2312" w:hAnsi="仿宋" w:eastAsia="仿宋_GB2312"/>
          <w:sz w:val="32"/>
          <w:szCs w:val="32"/>
        </w:rPr>
        <w:t>全年各项目按照工作计划顺利推进，数量、质量、时效、社会效益和服务对象满意度指标均达标。随着功能科目细化，直接支付业务增加，继续加强完善支付流程，保障全区预算单位财政资金正常、规范、有序支付。</w:t>
      </w:r>
    </w:p>
    <w:p w14:paraId="26F013EA">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14:paraId="36D73982">
      <w:pPr>
        <w:pStyle w:val="2"/>
        <w:ind w:firstLine="640" w:firstLineChars="200"/>
        <w:rPr>
          <w:lang w:val="zh-CN"/>
        </w:rPr>
      </w:pPr>
      <w:r>
        <w:rPr>
          <w:rFonts w:hint="eastAsia" w:hAnsi="仿宋_GB2312" w:eastAsia="仿宋_GB2312" w:cs="仿宋_GB2312"/>
          <w:sz w:val="32"/>
        </w:rPr>
        <w:t>无</w:t>
      </w:r>
    </w:p>
    <w:p w14:paraId="7CB26C5A">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14:paraId="5E2431D9">
      <w:pPr>
        <w:pStyle w:val="2"/>
        <w:ind w:firstLine="640" w:firstLineChars="200"/>
        <w:rPr>
          <w:lang w:val="zh-CN"/>
        </w:rPr>
      </w:pPr>
      <w:r>
        <w:rPr>
          <w:rFonts w:hint="eastAsia" w:hAnsi="仿宋_GB2312" w:eastAsia="仿宋_GB2312" w:cs="仿宋_GB2312"/>
          <w:sz w:val="32"/>
        </w:rPr>
        <w:t>无</w:t>
      </w:r>
    </w:p>
    <w:p w14:paraId="4E8B1704">
      <w:pPr>
        <w:pStyle w:val="2"/>
        <w:rPr>
          <w:lang w:val="zh-CN"/>
        </w:rPr>
      </w:pPr>
    </w:p>
    <w:p w14:paraId="1538FACF">
      <w:pPr>
        <w:rPr>
          <w:lang w:val="zh-CN"/>
        </w:rPr>
      </w:pPr>
    </w:p>
    <w:p w14:paraId="5252871A">
      <w:pPr>
        <w:pStyle w:val="2"/>
        <w:rPr>
          <w:lang w:val="zh-CN"/>
        </w:rPr>
      </w:pPr>
    </w:p>
    <w:p w14:paraId="618E6B0F">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p>
    <w:p w14:paraId="51EBE700">
      <w:pPr>
        <w:pStyle w:val="15"/>
        <w:spacing w:line="560" w:lineRule="exact"/>
        <w:ind w:left="0" w:leftChars="0" w:firstLine="0" w:firstLineChars="0"/>
        <w:rPr>
          <w:rFonts w:hAnsi="Calibri" w:eastAsia="仿宋_GB2312" w:cs="仿宋"/>
          <w:kern w:val="0"/>
          <w:sz w:val="32"/>
        </w:rPr>
      </w:pPr>
    </w:p>
    <w:p w14:paraId="0CD5581B">
      <w:pPr>
        <w:pStyle w:val="15"/>
        <w:spacing w:line="560" w:lineRule="exact"/>
        <w:ind w:left="0" w:leftChars="0" w:firstLine="0" w:firstLineChars="0"/>
        <w:rPr>
          <w:rFonts w:hAnsi="Calibri" w:eastAsia="仿宋_GB2312" w:cs="仿宋"/>
          <w:kern w:val="0"/>
          <w:sz w:val="32"/>
        </w:rPr>
      </w:pPr>
    </w:p>
    <w:p w14:paraId="528398EA">
      <w:pPr>
        <w:pStyle w:val="15"/>
        <w:spacing w:line="560" w:lineRule="exact"/>
        <w:ind w:left="0" w:leftChars="0" w:firstLine="0" w:firstLineChars="0"/>
        <w:rPr>
          <w:rFonts w:hAnsi="Calibri" w:eastAsia="仿宋_GB2312" w:cs="仿宋"/>
          <w:kern w:val="0"/>
          <w:sz w:val="32"/>
        </w:rPr>
      </w:pPr>
    </w:p>
    <w:p w14:paraId="73435CAC">
      <w:pPr>
        <w:pStyle w:val="15"/>
        <w:spacing w:line="560" w:lineRule="exact"/>
        <w:ind w:left="0" w:leftChars="0" w:firstLine="0" w:firstLineChars="0"/>
        <w:rPr>
          <w:rFonts w:hAnsi="Calibri" w:eastAsia="仿宋_GB2312" w:cs="仿宋"/>
          <w:kern w:val="0"/>
          <w:sz w:val="32"/>
        </w:rPr>
      </w:pPr>
    </w:p>
    <w:p w14:paraId="3FABB331">
      <w:pPr>
        <w:pStyle w:val="15"/>
        <w:spacing w:line="560" w:lineRule="exact"/>
        <w:ind w:left="0" w:leftChars="0" w:firstLine="0" w:firstLineChars="0"/>
        <w:rPr>
          <w:rFonts w:hAnsi="Calibri" w:eastAsia="仿宋_GB2312" w:cs="仿宋"/>
          <w:kern w:val="0"/>
          <w:sz w:val="32"/>
        </w:rPr>
      </w:pPr>
    </w:p>
    <w:p w14:paraId="4C0A4838">
      <w:pPr>
        <w:pStyle w:val="15"/>
        <w:spacing w:line="560" w:lineRule="exact"/>
        <w:ind w:left="0" w:leftChars="0" w:firstLine="0" w:firstLineChars="0"/>
        <w:rPr>
          <w:rFonts w:hAnsi="Calibri" w:eastAsia="仿宋_GB2312" w:cs="仿宋"/>
          <w:kern w:val="0"/>
          <w:sz w:val="32"/>
        </w:rPr>
      </w:pPr>
    </w:p>
    <w:p w14:paraId="576303EF">
      <w:pPr>
        <w:pStyle w:val="15"/>
        <w:spacing w:line="560" w:lineRule="exact"/>
        <w:ind w:left="0" w:leftChars="0" w:firstLine="0" w:firstLineChars="0"/>
        <w:rPr>
          <w:rFonts w:hAnsi="Calibri" w:eastAsia="仿宋_GB2312" w:cs="仿宋"/>
          <w:kern w:val="0"/>
          <w:sz w:val="32"/>
        </w:rPr>
      </w:pPr>
    </w:p>
    <w:p w14:paraId="06843F40">
      <w:pPr>
        <w:pStyle w:val="15"/>
        <w:spacing w:line="560" w:lineRule="exact"/>
        <w:ind w:left="0" w:leftChars="0" w:firstLine="0" w:firstLineChars="0"/>
        <w:rPr>
          <w:rFonts w:hAnsi="Calibri" w:eastAsia="仿宋_GB2312" w:cs="仿宋"/>
          <w:kern w:val="0"/>
          <w:sz w:val="32"/>
        </w:rPr>
      </w:pPr>
    </w:p>
    <w:p w14:paraId="79A79E9F">
      <w:pPr>
        <w:pStyle w:val="15"/>
        <w:spacing w:line="560" w:lineRule="exact"/>
        <w:ind w:left="0" w:leftChars="0" w:firstLine="0" w:firstLineChars="0"/>
        <w:rPr>
          <w:rFonts w:hAnsi="Calibri" w:eastAsia="仿宋_GB2312" w:cs="仿宋"/>
          <w:kern w:val="0"/>
          <w:sz w:val="32"/>
        </w:rPr>
      </w:pPr>
    </w:p>
    <w:p w14:paraId="19418D50">
      <w:pPr>
        <w:pStyle w:val="15"/>
        <w:spacing w:line="560" w:lineRule="exact"/>
        <w:ind w:left="0" w:leftChars="0" w:firstLine="0" w:firstLineChars="0"/>
        <w:rPr>
          <w:rFonts w:hAnsi="Calibri" w:eastAsia="仿宋_GB2312" w:cs="仿宋"/>
          <w:kern w:val="0"/>
          <w:sz w:val="32"/>
        </w:rPr>
      </w:pPr>
    </w:p>
    <w:p w14:paraId="557A14E8">
      <w:pPr>
        <w:pStyle w:val="15"/>
        <w:spacing w:line="560" w:lineRule="exact"/>
        <w:ind w:left="0" w:leftChars="0" w:firstLine="0" w:firstLineChars="0"/>
        <w:rPr>
          <w:rFonts w:hAnsi="Calibri" w:eastAsia="仿宋_GB2312" w:cs="仿宋"/>
          <w:kern w:val="0"/>
          <w:sz w:val="32"/>
        </w:rPr>
      </w:pPr>
    </w:p>
    <w:p w14:paraId="7F0D1CA8">
      <w:pPr>
        <w:pStyle w:val="15"/>
        <w:spacing w:line="560" w:lineRule="exact"/>
        <w:ind w:left="0" w:leftChars="0" w:firstLine="0" w:firstLineChars="0"/>
        <w:rPr>
          <w:rFonts w:hAnsi="Calibri" w:eastAsia="仿宋_GB2312" w:cs="仿宋"/>
          <w:kern w:val="0"/>
          <w:sz w:val="32"/>
        </w:rPr>
      </w:pPr>
    </w:p>
    <w:p w14:paraId="3FF360C1">
      <w:pPr>
        <w:pStyle w:val="15"/>
        <w:spacing w:line="560" w:lineRule="exact"/>
        <w:ind w:left="0" w:leftChars="0" w:firstLine="0" w:firstLineChars="0"/>
        <w:rPr>
          <w:rFonts w:hAnsi="Calibri" w:eastAsia="仿宋_GB2312" w:cs="仿宋"/>
          <w:kern w:val="0"/>
          <w:sz w:val="32"/>
        </w:rPr>
      </w:pPr>
    </w:p>
    <w:p w14:paraId="437ED984">
      <w:pPr>
        <w:pStyle w:val="15"/>
        <w:spacing w:line="560" w:lineRule="exact"/>
        <w:ind w:left="0" w:leftChars="0" w:firstLine="0" w:firstLineChars="0"/>
        <w:rPr>
          <w:rFonts w:hAnsi="Calibri" w:eastAsia="仿宋_GB2312" w:cs="仿宋"/>
          <w:kern w:val="0"/>
          <w:sz w:val="32"/>
        </w:rPr>
      </w:pPr>
    </w:p>
    <w:p w14:paraId="5DA18E35">
      <w:pPr>
        <w:pStyle w:val="15"/>
        <w:spacing w:line="560" w:lineRule="exact"/>
        <w:ind w:left="0" w:leftChars="0" w:firstLine="0" w:firstLineChars="0"/>
        <w:rPr>
          <w:rFonts w:hAnsi="Calibri" w:eastAsia="仿宋_GB2312" w:cs="仿宋"/>
          <w:kern w:val="0"/>
          <w:sz w:val="32"/>
        </w:rPr>
      </w:pPr>
    </w:p>
    <w:p w14:paraId="2FF1B335">
      <w:pPr>
        <w:pStyle w:val="15"/>
        <w:spacing w:line="560" w:lineRule="exact"/>
        <w:ind w:left="0" w:leftChars="0" w:firstLine="0" w:firstLineChars="0"/>
        <w:rPr>
          <w:rFonts w:hAnsi="Calibri" w:eastAsia="仿宋_GB2312" w:cs="仿宋"/>
          <w:kern w:val="0"/>
          <w:sz w:val="32"/>
        </w:rPr>
      </w:pPr>
    </w:p>
    <w:p w14:paraId="23D0DE6C">
      <w:pPr>
        <w:pStyle w:val="15"/>
        <w:spacing w:line="560" w:lineRule="exact"/>
        <w:ind w:left="0" w:leftChars="0" w:firstLine="0" w:firstLineChars="0"/>
        <w:rPr>
          <w:sz w:val="32"/>
          <w:lang w:val="zh-CN"/>
        </w:rPr>
      </w:pPr>
    </w:p>
    <w:p w14:paraId="5BB5513C">
      <w:pPr>
        <w:pStyle w:val="6"/>
        <w:spacing w:before="93"/>
        <w:rPr>
          <w:rFonts w:hAnsi="宋体" w:cs="宋体"/>
          <w:sz w:val="32"/>
          <w:szCs w:val="32"/>
          <w:shd w:val="clear" w:color="auto" w:fill="FFFFFF"/>
          <w:lang w:val="zh-CN"/>
        </w:rPr>
      </w:pPr>
    </w:p>
    <w:p w14:paraId="50A61DAE">
      <w:pPr>
        <w:pStyle w:val="6"/>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14:paraId="654DB501">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2022年全区金财网建设专项资金预算项目绩效自评报告</w:t>
      </w:r>
    </w:p>
    <w:p w14:paraId="016FFB78">
      <w:pPr>
        <w:pStyle w:val="36"/>
        <w:spacing w:line="578" w:lineRule="exact"/>
        <w:ind w:firstLine="640"/>
        <w:jc w:val="center"/>
        <w:rPr>
          <w:rFonts w:ascii="宋体" w:hAnsi="宋体"/>
          <w:color w:val="auto"/>
          <w:kern w:val="2"/>
          <w:sz w:val="32"/>
          <w:szCs w:val="32"/>
        </w:rPr>
      </w:pPr>
    </w:p>
    <w:p w14:paraId="61F10C46">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7065480D">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75F3C57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14:paraId="033EB63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2．项目立项、资金申报的依据：保障全区预算单位金财网络正常运行，提高金财网络安全性。</w:t>
      </w:r>
    </w:p>
    <w:p w14:paraId="7DE5E96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3．资金管理办法制定情况，资金支持具体项目的条件、范围与支持方式概况：全区预算单位金财网络正常运行，无网络安全事故。</w:t>
      </w:r>
    </w:p>
    <w:p w14:paraId="5A35D04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4．资金分配的原则及考虑因素：全区预算单位金财网络正常运行，无网络安全事故。</w:t>
      </w:r>
    </w:p>
    <w:p w14:paraId="241359A1">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7DED7E6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1．项目主要内容：金财网络设备维护，保证金财网络正常运转。</w:t>
      </w:r>
    </w:p>
    <w:p w14:paraId="53FE60B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2．项目应实现的具体绩效目标：全区预算单位金财网络正常运行，无网络安全事故。</w:t>
      </w:r>
    </w:p>
    <w:p w14:paraId="5228DBC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14:paraId="689C5BA8">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76A0355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14:paraId="2553CA0D">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12CFD706">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43FA1FB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14:paraId="55DC422D">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14:paraId="430F46C3">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14:paraId="7FD182E2">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30万项目资金年初已经全部到位。</w:t>
      </w:r>
    </w:p>
    <w:p w14:paraId="1DD294D0">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该项目资金在2022年内按照合同条件支付30万元，资金支付范围、标准、依据合法合规，与预算相符。</w:t>
      </w:r>
    </w:p>
    <w:p w14:paraId="2BB7F26C">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C28903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14:paraId="73C2D785">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14:paraId="4FB92776">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14:paraId="51C37339">
      <w:pPr>
        <w:pStyle w:val="29"/>
        <w:numPr>
          <w:ilvl w:val="0"/>
          <w:numId w:val="9"/>
        </w:numPr>
        <w:adjustRightInd w:val="0"/>
        <w:snapToGrid w:val="0"/>
        <w:spacing w:line="578"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14:paraId="57C4549D">
      <w:pPr>
        <w:pStyle w:val="6"/>
        <w:spacing w:before="93"/>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1.根据区财政预算项目批复，下达项目经费指标，预算单位进行项目实施。</w:t>
      </w:r>
    </w:p>
    <w:p w14:paraId="6848573D">
      <w:pPr>
        <w:pStyle w:val="2"/>
        <w:ind w:firstLine="640" w:firstLineChars="200"/>
        <w:rPr>
          <w:rFonts w:ascii="仿宋_GB2312" w:hAnsi="仿宋_GB2312" w:eastAsia="仿宋_GB2312" w:cs="仿宋_GB2312"/>
          <w:color w:val="auto"/>
          <w:kern w:val="0"/>
          <w:sz w:val="32"/>
          <w:szCs w:val="32"/>
          <w:shd w:val="clear" w:color="auto" w:fill="FFFFFF"/>
          <w:lang w:val="zh-CN"/>
        </w:rPr>
      </w:pPr>
      <w:r>
        <w:rPr>
          <w:rFonts w:hint="eastAsia" w:ascii="仿宋_GB2312" w:hAnsi="仿宋_GB2312" w:eastAsia="仿宋_GB2312" w:cs="仿宋_GB2312"/>
          <w:color w:val="auto"/>
          <w:kern w:val="0"/>
          <w:sz w:val="32"/>
          <w:szCs w:val="32"/>
          <w:shd w:val="clear" w:color="auto" w:fill="FFFFFF"/>
          <w:lang w:val="zh-CN"/>
        </w:rPr>
        <w:t>2.资金支付根据项目进度情况，报分管领导审批同意后呈报主要负责人审核并同意支付。</w:t>
      </w:r>
    </w:p>
    <w:p w14:paraId="5DC6877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14:paraId="4CEE615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项目是区财政局纳入年度预算，财政局严格按照项目要求及财经法律法规等要求落实。</w:t>
      </w:r>
    </w:p>
    <w:p w14:paraId="3B9063EF">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39A4DA7C">
      <w:pPr>
        <w:adjustRightInd w:val="0"/>
        <w:snapToGrid w:val="0"/>
        <w:spacing w:line="578"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项目完成情况每年要填绩效分析报告，并上报相关对口管理部门检查。</w:t>
      </w:r>
    </w:p>
    <w:p w14:paraId="5103EB26">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14:paraId="2476B6DE">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203594E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1.数量指标：保障全区88家以上区级预算单位金财网络正常运转。</w:t>
      </w:r>
    </w:p>
    <w:p w14:paraId="41947D1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2.质量指标：金财网络运转良好。</w:t>
      </w:r>
    </w:p>
    <w:p w14:paraId="11B4978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3.时效指标：出现网络故障或者网络维护不超过48小时。</w:t>
      </w:r>
    </w:p>
    <w:p w14:paraId="3450509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4.成本指标：支付30万元，支付项目经费的100%。</w:t>
      </w:r>
    </w:p>
    <w:p w14:paraId="03EDEDAD">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571C9BC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1.社会效益指标：保证金财系统正常运行，预算单位资金支付业务正常开展。</w:t>
      </w:r>
    </w:p>
    <w:p w14:paraId="62A4952D">
      <w:pPr>
        <w:pStyle w:val="6"/>
        <w:spacing w:before="93"/>
        <w:ind w:firstLine="640" w:firstLineChars="200"/>
        <w:rPr>
          <w:rFonts w:hAnsi="宋体"/>
          <w:kern w:val="2"/>
          <w:sz w:val="32"/>
          <w:szCs w:val="32"/>
          <w:lang w:val="zh-CN"/>
        </w:rPr>
      </w:pPr>
      <w:r>
        <w:rPr>
          <w:rFonts w:hint="eastAsia" w:hAnsi="宋体"/>
          <w:kern w:val="2"/>
          <w:sz w:val="32"/>
          <w:szCs w:val="32"/>
          <w:lang w:val="zh-CN"/>
        </w:rPr>
        <w:t>2.满意度指标：让各预算单位基本满意。</w:t>
      </w:r>
    </w:p>
    <w:p w14:paraId="5BD8042E">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14:paraId="0EDAC5CB">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4522693D">
      <w:pPr>
        <w:adjustRightInd w:val="0"/>
        <w:snapToGrid w:val="0"/>
        <w:spacing w:line="578"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本项目经费主要用于全区金财网系统维护和保养，保证了全区88家预算单位金财网络正常使用，资金支付业务正常开展。</w:t>
      </w:r>
    </w:p>
    <w:p w14:paraId="7B4DA163">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347D0290">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p>
    <w:p w14:paraId="35E35ED0">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260F30C6">
      <w:pPr>
        <w:widowControl/>
        <w:adjustRightInd w:val="0"/>
        <w:snapToGrid w:val="0"/>
        <w:spacing w:line="578" w:lineRule="exact"/>
        <w:ind w:firstLine="640" w:firstLineChars="200"/>
        <w:contextualSpacing/>
        <w:jc w:val="left"/>
        <w:rPr>
          <w:rStyle w:val="30"/>
          <w:rFonts w:ascii="黑体" w:hAnsi="黑体" w:eastAsia="黑体"/>
          <w:b w:val="0"/>
          <w:sz w:val="32"/>
          <w:szCs w:val="32"/>
        </w:rPr>
      </w:pPr>
      <w:r>
        <w:rPr>
          <w:rFonts w:hint="eastAsia" w:ascii="仿宋_GB2312" w:hAnsi="仿宋_GB2312" w:eastAsia="仿宋_GB2312" w:cs="仿宋_GB2312"/>
          <w:kern w:val="0"/>
          <w:sz w:val="32"/>
          <w:szCs w:val="32"/>
          <w:shd w:val="clear" w:color="auto" w:fill="FFFFFF"/>
          <w:lang w:val="zh-CN"/>
        </w:rPr>
        <w:t>无</w:t>
      </w:r>
    </w:p>
    <w:p w14:paraId="5E8D73F4">
      <w:pPr>
        <w:spacing w:line="600" w:lineRule="exact"/>
        <w:jc w:val="center"/>
        <w:rPr>
          <w:rFonts w:ascii="方正小标宋简体" w:hAnsi="方正小标宋简体" w:eastAsia="方正小标宋简体" w:cs="方正小标宋简体"/>
          <w:sz w:val="40"/>
          <w:szCs w:val="40"/>
          <w:lang w:val="zh-CN"/>
        </w:rPr>
      </w:pPr>
    </w:p>
    <w:p w14:paraId="3DEE130B">
      <w:pPr>
        <w:spacing w:line="600" w:lineRule="exact"/>
        <w:jc w:val="center"/>
        <w:rPr>
          <w:rFonts w:ascii="方正小标宋简体" w:hAnsi="方正小标宋简体" w:eastAsia="方正小标宋简体" w:cs="方正小标宋简体"/>
          <w:sz w:val="40"/>
          <w:szCs w:val="40"/>
          <w:lang w:val="zh-CN"/>
        </w:rPr>
      </w:pPr>
    </w:p>
    <w:p w14:paraId="6331C136">
      <w:pPr>
        <w:spacing w:line="600" w:lineRule="exact"/>
        <w:jc w:val="center"/>
        <w:rPr>
          <w:rFonts w:ascii="方正小标宋简体" w:hAnsi="方正小标宋简体" w:eastAsia="方正小标宋简体" w:cs="方正小标宋简体"/>
          <w:sz w:val="40"/>
          <w:szCs w:val="40"/>
          <w:lang w:val="zh-CN"/>
        </w:rPr>
      </w:pPr>
    </w:p>
    <w:p w14:paraId="0C9CEBB5">
      <w:pPr>
        <w:spacing w:line="600" w:lineRule="exact"/>
        <w:jc w:val="center"/>
        <w:rPr>
          <w:rFonts w:ascii="方正小标宋简体" w:hAnsi="方正小标宋简体" w:eastAsia="方正小标宋简体" w:cs="方正小标宋简体"/>
          <w:sz w:val="40"/>
          <w:szCs w:val="40"/>
          <w:lang w:val="zh-CN"/>
        </w:rPr>
      </w:pPr>
    </w:p>
    <w:p w14:paraId="31417EDF">
      <w:pPr>
        <w:spacing w:line="600" w:lineRule="exact"/>
        <w:jc w:val="center"/>
        <w:rPr>
          <w:rFonts w:ascii="方正小标宋简体" w:hAnsi="方正小标宋简体" w:eastAsia="方正小标宋简体" w:cs="方正小标宋简体"/>
          <w:sz w:val="40"/>
          <w:szCs w:val="40"/>
          <w:lang w:val="zh-CN"/>
        </w:rPr>
      </w:pPr>
    </w:p>
    <w:p w14:paraId="23B8E6D2">
      <w:pPr>
        <w:spacing w:line="600" w:lineRule="exact"/>
        <w:jc w:val="center"/>
        <w:rPr>
          <w:rFonts w:ascii="方正小标宋简体" w:hAnsi="方正小标宋简体" w:eastAsia="方正小标宋简体" w:cs="方正小标宋简体"/>
          <w:sz w:val="40"/>
          <w:szCs w:val="40"/>
          <w:lang w:val="zh-CN"/>
        </w:rPr>
      </w:pPr>
    </w:p>
    <w:p w14:paraId="458F03AF">
      <w:pPr>
        <w:spacing w:line="600" w:lineRule="exact"/>
        <w:jc w:val="center"/>
        <w:rPr>
          <w:rFonts w:ascii="方正小标宋简体" w:hAnsi="方正小标宋简体" w:eastAsia="方正小标宋简体" w:cs="方正小标宋简体"/>
          <w:sz w:val="40"/>
          <w:szCs w:val="40"/>
          <w:lang w:val="zh-CN"/>
        </w:rPr>
      </w:pPr>
    </w:p>
    <w:p w14:paraId="713A7104">
      <w:pPr>
        <w:spacing w:line="600" w:lineRule="exact"/>
        <w:jc w:val="center"/>
        <w:rPr>
          <w:rFonts w:ascii="方正小标宋简体" w:hAnsi="方正小标宋简体" w:eastAsia="方正小标宋简体" w:cs="方正小标宋简体"/>
          <w:sz w:val="40"/>
          <w:szCs w:val="40"/>
          <w:lang w:val="zh-CN"/>
        </w:rPr>
      </w:pPr>
    </w:p>
    <w:p w14:paraId="72B1E3D6">
      <w:pPr>
        <w:spacing w:line="600" w:lineRule="exact"/>
        <w:jc w:val="center"/>
        <w:rPr>
          <w:rFonts w:ascii="方正小标宋简体" w:hAnsi="方正小标宋简体" w:eastAsia="方正小标宋简体" w:cs="方正小标宋简体"/>
          <w:sz w:val="40"/>
          <w:szCs w:val="40"/>
          <w:lang w:val="zh-CN"/>
        </w:rPr>
      </w:pPr>
    </w:p>
    <w:p w14:paraId="399F2516">
      <w:pPr>
        <w:pStyle w:val="2"/>
        <w:rPr>
          <w:lang w:val="zh-CN"/>
        </w:rPr>
      </w:pPr>
    </w:p>
    <w:p w14:paraId="7FBFCC2E">
      <w:pPr>
        <w:rPr>
          <w:lang w:val="zh-CN"/>
        </w:rPr>
      </w:pPr>
    </w:p>
    <w:p w14:paraId="57D14FD6">
      <w:pPr>
        <w:pStyle w:val="2"/>
        <w:rPr>
          <w:lang w:val="zh-CN"/>
        </w:rPr>
      </w:pPr>
    </w:p>
    <w:p w14:paraId="3730FC40">
      <w:pPr>
        <w:rPr>
          <w:lang w:val="zh-CN"/>
        </w:rPr>
      </w:pPr>
    </w:p>
    <w:p w14:paraId="0427B3A1">
      <w:pPr>
        <w:pStyle w:val="2"/>
        <w:rPr>
          <w:lang w:val="zh-CN"/>
        </w:rPr>
      </w:pPr>
    </w:p>
    <w:p w14:paraId="4F093C7C">
      <w:pPr>
        <w:rPr>
          <w:lang w:val="zh-CN"/>
        </w:rPr>
      </w:pPr>
    </w:p>
    <w:p w14:paraId="51A24E5D">
      <w:pPr>
        <w:pStyle w:val="2"/>
        <w:rPr>
          <w:lang w:val="zh-CN"/>
        </w:rPr>
      </w:pPr>
    </w:p>
    <w:p w14:paraId="73128A94">
      <w:pPr>
        <w:rPr>
          <w:lang w:val="zh-CN"/>
        </w:rPr>
      </w:pPr>
    </w:p>
    <w:p w14:paraId="75EFE6D7">
      <w:pPr>
        <w:pStyle w:val="2"/>
        <w:rPr>
          <w:lang w:val="zh-CN"/>
        </w:rPr>
      </w:pPr>
    </w:p>
    <w:p w14:paraId="779EEF0F">
      <w:pPr>
        <w:rPr>
          <w:lang w:val="zh-CN"/>
        </w:rPr>
      </w:pPr>
    </w:p>
    <w:p w14:paraId="6CAAF8F6">
      <w:pPr>
        <w:pStyle w:val="2"/>
        <w:rPr>
          <w:lang w:val="zh-CN"/>
        </w:rPr>
      </w:pPr>
    </w:p>
    <w:p w14:paraId="1B427435">
      <w:pPr>
        <w:rPr>
          <w:lang w:val="zh-CN"/>
        </w:rPr>
      </w:pPr>
    </w:p>
    <w:p w14:paraId="4B909608">
      <w:pPr>
        <w:pStyle w:val="2"/>
        <w:rPr>
          <w:lang w:val="zh-CN"/>
        </w:rPr>
      </w:pPr>
    </w:p>
    <w:p w14:paraId="10E8BBEC">
      <w:pPr>
        <w:rPr>
          <w:lang w:val="zh-CN"/>
        </w:rPr>
      </w:pPr>
    </w:p>
    <w:p w14:paraId="0727BB1C">
      <w:pPr>
        <w:pStyle w:val="2"/>
        <w:rPr>
          <w:lang w:val="zh-CN"/>
        </w:rPr>
      </w:pPr>
    </w:p>
    <w:p w14:paraId="54A34E28">
      <w:pPr>
        <w:rPr>
          <w:lang w:val="zh-CN"/>
        </w:rPr>
      </w:pPr>
    </w:p>
    <w:p w14:paraId="134BD162">
      <w:pPr>
        <w:pStyle w:val="2"/>
        <w:rPr>
          <w:lang w:val="zh-CN"/>
        </w:rPr>
      </w:pPr>
    </w:p>
    <w:p w14:paraId="6FF2DA0C">
      <w:pPr>
        <w:spacing w:line="600" w:lineRule="exact"/>
        <w:jc w:val="center"/>
        <w:rPr>
          <w:rFonts w:ascii="方正小标宋简体" w:hAnsi="方正小标宋简体" w:eastAsia="方正小标宋简体" w:cs="方正小标宋简体"/>
          <w:sz w:val="40"/>
          <w:szCs w:val="40"/>
          <w:lang w:val="zh-CN"/>
        </w:rPr>
      </w:pPr>
    </w:p>
    <w:p w14:paraId="30423AC3">
      <w:pPr>
        <w:spacing w:line="600" w:lineRule="exact"/>
        <w:jc w:val="center"/>
        <w:rPr>
          <w:rFonts w:ascii="方正小标宋简体" w:hAnsi="方正小标宋简体" w:eastAsia="方正小标宋简体" w:cs="方正小标宋简体"/>
          <w:sz w:val="40"/>
          <w:szCs w:val="40"/>
          <w:lang w:val="zh-CN"/>
        </w:rPr>
      </w:pPr>
    </w:p>
    <w:p w14:paraId="2497843C">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2022年残疾人就业保障金项目支出</w:t>
      </w:r>
    </w:p>
    <w:p w14:paraId="55C9C013">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14:paraId="003044D5">
      <w:pPr>
        <w:spacing w:line="600" w:lineRule="exact"/>
        <w:ind w:firstLine="640"/>
        <w:jc w:val="center"/>
        <w:rPr>
          <w:rFonts w:ascii="宋体" w:hAnsi="宋体"/>
          <w:sz w:val="32"/>
          <w:szCs w:val="32"/>
          <w:lang w:val="zh-CN"/>
        </w:rPr>
      </w:pPr>
    </w:p>
    <w:p w14:paraId="611364DD">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54CCD5A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4F2A29C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1．攀枝花市西区财政局是该项目具体实施主体。</w:t>
      </w:r>
    </w:p>
    <w:p w14:paraId="5F4F57A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2．项目立项、资金申报的依据：全区所有预算单位残疾人就业保障金发放。</w:t>
      </w:r>
    </w:p>
    <w:p w14:paraId="0C45068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3．资金管理办法制定情况，资金支持具体项目的条件、范围与支持方式概况：通过资格条件审核的残疾人。</w:t>
      </w:r>
    </w:p>
    <w:p w14:paraId="4B61F9C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4．资金分配的原则及考虑因素：符合条件的残疾人。</w:t>
      </w:r>
    </w:p>
    <w:p w14:paraId="4B79378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0B45DDF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1．项目主要内容：符合条件的残疾人就业保障金发放。</w:t>
      </w:r>
    </w:p>
    <w:p w14:paraId="48D0BC4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2.项目应实现的具体绩效目标：完成全区所有预算单位残疾人就业保障金发放。</w:t>
      </w:r>
    </w:p>
    <w:p w14:paraId="05EFCBA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14:paraId="67B5F9A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16FB91BC">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14:paraId="638761DB">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467B07D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7D26F6A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该项目在符合资格申报的残疾人统计完成后追加预算，经过区政府领导同意追加资金，财政批复下达拨付经费。</w:t>
      </w:r>
    </w:p>
    <w:p w14:paraId="61A98DF5">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1E270741">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14:paraId="2C8D3764">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187.48万项目资金追加预算批复后已经全部到位。</w:t>
      </w:r>
    </w:p>
    <w:p w14:paraId="422DC3AA">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该项目资金在2022年内按照合同条件支付187.48万元，资金支付范围、标准、依据合法合规，与预算相符。</w:t>
      </w:r>
    </w:p>
    <w:p w14:paraId="5DB9BF3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6A105AC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14:paraId="75BC034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091A301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12D42088">
      <w:pPr>
        <w:pStyle w:val="6"/>
        <w:spacing w:before="93"/>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14:paraId="70898DA2">
      <w:pPr>
        <w:pStyle w:val="6"/>
        <w:spacing w:before="93"/>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14:paraId="3F70BE1B">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项目是区财政局纳入年度预算，财政局严格按照项目要求及财经法律法规等要求落实。</w:t>
      </w:r>
    </w:p>
    <w:p w14:paraId="79F6783E">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14:paraId="58FFBA15">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0EF7645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6335DEA5">
      <w:pPr>
        <w:adjustRightInd w:val="0"/>
        <w:snapToGrid w:val="0"/>
        <w:spacing w:line="600" w:lineRule="exact"/>
        <w:ind w:firstLine="720"/>
        <w:rPr>
          <w:rFonts w:ascii="仿宋_GB2312" w:hAnsi="仿宋_GB2312" w:eastAsia="仿宋_GB2312" w:cs="仿宋_GB2312"/>
          <w:sz w:val="28"/>
          <w:szCs w:val="28"/>
        </w:rPr>
      </w:pPr>
      <w:r>
        <w:rPr>
          <w:rFonts w:hint="eastAsia" w:ascii="仿宋_GB2312" w:hAnsi="宋体" w:eastAsia="仿宋_GB2312"/>
          <w:sz w:val="32"/>
          <w:szCs w:val="32"/>
          <w:lang w:val="zh-CN"/>
        </w:rPr>
        <w:t>1.数量指标：完成88家预算单位残疾人就业保障金发放。</w:t>
      </w:r>
    </w:p>
    <w:p w14:paraId="2F67043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2.时效指标：按照工作进度3个月内完成，实际1个月内完成。</w:t>
      </w:r>
    </w:p>
    <w:p w14:paraId="006CCE8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3.成本指标：支付187.48万元，支付项目经费的100%。</w:t>
      </w:r>
    </w:p>
    <w:p w14:paraId="7E7C7B4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0D08649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1.经济效益指标：支持残疾人积极就业，提高西区就业率。</w:t>
      </w:r>
    </w:p>
    <w:p w14:paraId="5B8F7211">
      <w:pPr>
        <w:pStyle w:val="6"/>
        <w:spacing w:before="93"/>
        <w:ind w:firstLine="640" w:firstLineChars="200"/>
        <w:rPr>
          <w:rFonts w:hAnsi="宋体"/>
          <w:kern w:val="2"/>
          <w:sz w:val="32"/>
          <w:szCs w:val="32"/>
          <w:lang w:val="zh-CN"/>
        </w:rPr>
      </w:pPr>
      <w:r>
        <w:rPr>
          <w:rFonts w:hint="eastAsia" w:hAnsi="宋体"/>
          <w:kern w:val="2"/>
          <w:sz w:val="32"/>
          <w:szCs w:val="32"/>
          <w:lang w:val="zh-CN"/>
        </w:rPr>
        <w:t>2.满意度指标：让残疾人基本满意。</w:t>
      </w:r>
    </w:p>
    <w:p w14:paraId="114500BB">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6FC334D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275E6CC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本项目经费主要用于全区88家预算单位残疾人就业保障金发放，预期3个月发放完成，实际1个月内成功发放，积极支持残疾人就业，提高西区残疾人就业率。</w:t>
      </w:r>
    </w:p>
    <w:p w14:paraId="4C16FBA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0F5A6076">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14:paraId="7E28D31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179339FC">
      <w:pPr>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14:paraId="51D62A5E">
      <w:pPr>
        <w:spacing w:line="600" w:lineRule="exact"/>
        <w:jc w:val="center"/>
        <w:rPr>
          <w:rFonts w:ascii="方正小标宋简体" w:hAnsi="方正小标宋简体" w:eastAsia="方正小标宋简体" w:cs="方正小标宋简体"/>
          <w:sz w:val="40"/>
          <w:szCs w:val="40"/>
          <w:lang w:val="zh-CN"/>
        </w:rPr>
      </w:pPr>
    </w:p>
    <w:p w14:paraId="13D6F0DE">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项目评审结算费用项目支出</w:t>
      </w:r>
    </w:p>
    <w:p w14:paraId="5EF599F3">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14:paraId="75A743D7">
      <w:pPr>
        <w:spacing w:line="600" w:lineRule="exact"/>
        <w:ind w:firstLine="640"/>
        <w:jc w:val="center"/>
        <w:rPr>
          <w:rFonts w:ascii="宋体" w:hAnsi="宋体"/>
          <w:sz w:val="32"/>
          <w:szCs w:val="32"/>
          <w:lang w:val="zh-CN"/>
        </w:rPr>
      </w:pPr>
    </w:p>
    <w:p w14:paraId="54C1B1FC">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03A2D56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5E6A7A0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1．攀枝花市西区财政投资评审中心是该项目具体实施主体。</w:t>
      </w:r>
    </w:p>
    <w:p w14:paraId="44984F1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2．项目立项、资金申报的依据：全区项目评审及结算工作顺利推进。2022年预计发生招标控制价、增加工程量评审服务费、新增竣工结算评审费用。</w:t>
      </w:r>
    </w:p>
    <w:p w14:paraId="4582874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3．资金管理办法制定情况，资金支持具体项目的条件、范围与支持方式概况：组织开展招标控制价、增加工程量评审服务费、新增竣工结算。</w:t>
      </w:r>
    </w:p>
    <w:p w14:paraId="73CE44A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4．资金分配的原则及考虑因素：组织开展招标控制价、增加工程量评审服务费、新增竣工结算。</w:t>
      </w:r>
    </w:p>
    <w:p w14:paraId="782E3AC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3FFC795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1．项目主要内容：全区项目评审及结算工作顺利推进。2022年预计发生招标控制价、增加工程量评审服务费、新增竣工结算评审费用。</w:t>
      </w:r>
    </w:p>
    <w:p w14:paraId="6600A44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2．项目应实现的具体绩效目标：预算控制价项目送审审减率10%以上。</w:t>
      </w:r>
    </w:p>
    <w:p w14:paraId="58EC86D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14:paraId="612AB12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4EEDE14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14:paraId="4D7B86BC">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129BD3E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369801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项目是区财政投资评审中心纳入年度预算，财政局严格按照项目要求及财经法律法规等要求落实。</w:t>
      </w:r>
    </w:p>
    <w:p w14:paraId="2486FFCD">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27457D20">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14:paraId="3445EF3B">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300万项目资金年初已经拨付到位。</w:t>
      </w:r>
    </w:p>
    <w:p w14:paraId="71EAD974">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该项目资金在2022年内按照合同条件支付66.37万元，资金支付范围、标准、依据合法合规，与预算相符。</w:t>
      </w:r>
    </w:p>
    <w:p w14:paraId="66FDA2F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7DD935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政投资评审中心根据单位实际情况建立健全了各项财务管理制度和约束机制，项目预算、资金拨付等严格执行财务管理制度，保证专款专用。财务人员按照相关规定进行了资金的审核、支付、核算，财务处理及时、规范。</w:t>
      </w:r>
    </w:p>
    <w:p w14:paraId="33DE1140">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7EEC068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5D9ECED2">
      <w:pPr>
        <w:pStyle w:val="6"/>
        <w:spacing w:before="93"/>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14:paraId="2EB8FAE8">
      <w:pPr>
        <w:pStyle w:val="6"/>
        <w:spacing w:before="93"/>
        <w:ind w:firstLine="640" w:firstLineChars="200"/>
        <w:rPr>
          <w:rFonts w:hAnsi="宋体"/>
          <w:kern w:val="2"/>
          <w:sz w:val="32"/>
          <w:szCs w:val="32"/>
          <w:lang w:val="zh-CN"/>
        </w:rPr>
      </w:pPr>
      <w:r>
        <w:rPr>
          <w:rFonts w:hint="eastAsia" w:hAnsi="宋体"/>
          <w:kern w:val="2"/>
          <w:sz w:val="32"/>
          <w:szCs w:val="32"/>
          <w:lang w:val="zh-CN"/>
        </w:rPr>
        <w:t>2.资金支付根据项目进度情况，报分管领导审批同意后呈报主要负责人审核并同意支付。</w:t>
      </w:r>
    </w:p>
    <w:p w14:paraId="77A815DF">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项目是财政投资评审中心纳入年度预算，财政投资评审中心严格按照项目要求及财经法律法规等要求落实。</w:t>
      </w:r>
    </w:p>
    <w:p w14:paraId="3F9812AB">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14:paraId="0CB77821">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5E5C4B2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418EA7E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1.数量指标：2022年预计发生招标控制价、增加工程量评审服务费、新增竣工结算评审费用。</w:t>
      </w:r>
    </w:p>
    <w:p w14:paraId="4A3BDA71">
      <w:pPr>
        <w:adjustRightInd w:val="0"/>
        <w:snapToGrid w:val="0"/>
        <w:spacing w:line="600" w:lineRule="exact"/>
        <w:ind w:firstLine="720"/>
        <w:rPr>
          <w:rFonts w:ascii="仿宋_GB2312" w:hAnsi="仿宋_GB2312" w:eastAsia="仿宋_GB2312" w:cs="仿宋_GB2312"/>
          <w:sz w:val="18"/>
          <w:szCs w:val="18"/>
        </w:rPr>
      </w:pPr>
      <w:r>
        <w:rPr>
          <w:rFonts w:hint="eastAsia" w:ascii="仿宋_GB2312" w:hAnsi="宋体" w:eastAsia="仿宋_GB2312"/>
          <w:sz w:val="32"/>
          <w:szCs w:val="32"/>
          <w:lang w:val="zh-CN"/>
        </w:rPr>
        <w:t>2.质量指标：评审合理，决算审计，竣工决算。</w:t>
      </w:r>
    </w:p>
    <w:p w14:paraId="5CDE42E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3.时效指标：按工作计划，完成时间。</w:t>
      </w:r>
    </w:p>
    <w:p w14:paraId="63916BE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4.成本指标：支付66.37万元，支付项目经费的22.12%。</w:t>
      </w:r>
    </w:p>
    <w:p w14:paraId="62B2037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97B139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1.社会效益指标：做好全区项目评审及结算；充分发挥财政评审职能，较好完成工作任务。</w:t>
      </w:r>
    </w:p>
    <w:p w14:paraId="0667687F">
      <w:pPr>
        <w:pStyle w:val="6"/>
        <w:spacing w:before="93"/>
        <w:ind w:firstLine="640" w:firstLineChars="200"/>
        <w:rPr>
          <w:lang w:val="zh-CN"/>
        </w:rPr>
      </w:pPr>
      <w:r>
        <w:rPr>
          <w:rFonts w:hint="eastAsia" w:hAnsi="宋体"/>
          <w:sz w:val="32"/>
          <w:szCs w:val="32"/>
          <w:lang w:val="zh-CN"/>
        </w:rPr>
        <w:t>2.经济效益指</w:t>
      </w:r>
      <w:r>
        <w:rPr>
          <w:rFonts w:hint="eastAsia" w:hAnsi="宋体"/>
          <w:kern w:val="2"/>
          <w:sz w:val="32"/>
          <w:szCs w:val="32"/>
          <w:lang w:val="zh-CN"/>
        </w:rPr>
        <w:t>标：项目审减率大于10%，实际审减率11.47%。</w:t>
      </w:r>
    </w:p>
    <w:p w14:paraId="3962476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3.满意度指标：让各项目业主单位基本满意。</w:t>
      </w:r>
    </w:p>
    <w:p w14:paraId="5AAE4A89">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5918495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77EA66C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本项目经费主要用于预算控制价项目送审38个，送审金额20690.05万元，审定金额18317.05万元，审减率11.47%。</w:t>
      </w:r>
    </w:p>
    <w:p w14:paraId="22BBCB4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54FB3C3E">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14:paraId="46BD2A0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08462559">
      <w:pPr>
        <w:pStyle w:val="6"/>
        <w:spacing w:before="93"/>
        <w:ind w:firstLine="640" w:firstLineChars="200"/>
        <w:rPr>
          <w:lang w:val="zh-CN"/>
        </w:rPr>
      </w:pPr>
      <w:r>
        <w:rPr>
          <w:rFonts w:hint="eastAsia" w:hAnsi="宋体"/>
          <w:sz w:val="32"/>
          <w:szCs w:val="32"/>
          <w:lang w:val="zh-CN"/>
        </w:rPr>
        <w:t>严格控制各项支出，提高经费使用效率，保障业务目标的顺利完成，达到保稳定、保运转的工作目标。</w:t>
      </w:r>
    </w:p>
    <w:p w14:paraId="5E71A408">
      <w:pPr>
        <w:pStyle w:val="2"/>
        <w:rPr>
          <w:lang w:val="zh-CN"/>
        </w:rPr>
      </w:pPr>
    </w:p>
    <w:p w14:paraId="7A203FE4">
      <w:pPr>
        <w:autoSpaceDE w:val="0"/>
        <w:autoSpaceDN w:val="0"/>
        <w:adjustRightInd w:val="0"/>
        <w:spacing w:line="600" w:lineRule="exact"/>
        <w:ind w:firstLine="640" w:firstLineChars="200"/>
        <w:rPr>
          <w:rFonts w:ascii="仿宋" w:hAnsi="仿宋" w:eastAsia="仿宋"/>
          <w:b/>
          <w:sz w:val="32"/>
          <w:szCs w:val="32"/>
        </w:rPr>
      </w:pPr>
      <w:r>
        <w:rPr>
          <w:rFonts w:hint="eastAsia" w:ascii="仿宋_GB2312" w:hAnsi="仿宋_GB2312" w:eastAsia="仿宋_GB2312" w:cs="仿宋_GB2312"/>
          <w:sz w:val="32"/>
          <w:szCs w:val="32"/>
        </w:rPr>
        <w:t>（以上绩效自评报告，除涉密敏感内容外，原则上都应予以公开。）</w:t>
      </w:r>
    </w:p>
    <w:p w14:paraId="75E26D16">
      <w:pPr>
        <w:pStyle w:val="2"/>
        <w:rPr>
          <w:lang w:val="zh-CN"/>
        </w:rPr>
      </w:pPr>
    </w:p>
    <w:p w14:paraId="61418DC6">
      <w:pPr>
        <w:spacing w:line="580" w:lineRule="exact"/>
        <w:rPr>
          <w:rStyle w:val="30"/>
          <w:rFonts w:ascii="黑体" w:hAnsi="黑体" w:eastAsia="黑体"/>
          <w:b w:val="0"/>
        </w:rPr>
      </w:pPr>
    </w:p>
    <w:p w14:paraId="75566117">
      <w:pPr>
        <w:widowControl/>
        <w:jc w:val="left"/>
        <w:rPr>
          <w:rStyle w:val="30"/>
          <w:rFonts w:ascii="黑体" w:hAnsi="黑体" w:eastAsia="黑体"/>
          <w:b w:val="0"/>
        </w:rPr>
      </w:pPr>
      <w:r>
        <w:rPr>
          <w:rStyle w:val="30"/>
          <w:rFonts w:ascii="黑体" w:hAnsi="黑体" w:eastAsia="黑体"/>
          <w:b w:val="0"/>
        </w:rPr>
        <w:br w:type="page"/>
      </w:r>
    </w:p>
    <w:p w14:paraId="42AD8B47">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0"/>
          <w:rFonts w:hint="eastAsia" w:ascii="黑体" w:hAnsi="黑体" w:eastAsia="黑体"/>
          <w:b w:val="0"/>
        </w:rPr>
        <w:t>五部分 附表</w:t>
      </w:r>
      <w:bookmarkEnd w:id="51"/>
      <w:bookmarkEnd w:id="53"/>
      <w:bookmarkStart w:id="54" w:name="_Toc15396619"/>
    </w:p>
    <w:p w14:paraId="7D1D627D">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4"/>
    </w:p>
    <w:p w14:paraId="571BA916">
      <w:pPr>
        <w:pStyle w:val="4"/>
        <w:rPr>
          <w:rFonts w:ascii="仿宋" w:hAnsi="仿宋" w:eastAsia="仿宋"/>
        </w:rPr>
      </w:pPr>
      <w:bookmarkStart w:id="55" w:name="_Toc15396620"/>
      <w:r>
        <w:rPr>
          <w:rFonts w:hint="eastAsia" w:ascii="仿宋" w:hAnsi="仿宋" w:eastAsia="仿宋"/>
          <w:b w:val="0"/>
        </w:rPr>
        <w:t>二、收</w:t>
      </w:r>
      <w:r>
        <w:rPr>
          <w:rStyle w:val="31"/>
          <w:rFonts w:hint="eastAsia" w:ascii="仿宋" w:hAnsi="仿宋" w:eastAsia="仿宋"/>
          <w:b w:val="0"/>
          <w:bCs w:val="0"/>
        </w:rPr>
        <w:t>入决算表</w:t>
      </w:r>
      <w:bookmarkEnd w:id="55"/>
    </w:p>
    <w:p w14:paraId="589CE807">
      <w:pPr>
        <w:pStyle w:val="4"/>
        <w:rPr>
          <w:rFonts w:ascii="仿宋" w:hAnsi="仿宋" w:eastAsia="仿宋"/>
        </w:rPr>
      </w:pPr>
      <w:bookmarkStart w:id="56"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6"/>
    </w:p>
    <w:p w14:paraId="2EFD37A3">
      <w:pPr>
        <w:pStyle w:val="4"/>
        <w:rPr>
          <w:rFonts w:ascii="仿宋" w:hAnsi="仿宋" w:eastAsia="仿宋"/>
          <w:b w:val="0"/>
        </w:rPr>
      </w:pPr>
      <w:bookmarkStart w:id="5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7"/>
    </w:p>
    <w:p w14:paraId="51B791BF">
      <w:pPr>
        <w:pStyle w:val="4"/>
        <w:rPr>
          <w:rStyle w:val="31"/>
          <w:rFonts w:ascii="仿宋" w:hAnsi="仿宋" w:eastAsia="仿宋"/>
          <w:b w:val="0"/>
          <w:bCs w:val="0"/>
        </w:rPr>
      </w:pPr>
      <w:bookmarkStart w:id="5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8"/>
      <w:bookmarkStart w:id="59" w:name="_Toc15396624"/>
    </w:p>
    <w:p w14:paraId="116B903D">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59"/>
    </w:p>
    <w:p w14:paraId="406B8A59">
      <w:pPr>
        <w:pStyle w:val="4"/>
        <w:rPr>
          <w:rFonts w:ascii="仿宋" w:hAnsi="仿宋" w:eastAsia="仿宋"/>
        </w:rPr>
      </w:pPr>
      <w:bookmarkStart w:id="60"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0"/>
    </w:p>
    <w:p w14:paraId="68C898D4">
      <w:pPr>
        <w:pStyle w:val="4"/>
        <w:rPr>
          <w:rFonts w:ascii="仿宋" w:hAnsi="仿宋" w:eastAsia="仿宋"/>
        </w:rPr>
      </w:pPr>
      <w:bookmarkStart w:id="61"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1"/>
    </w:p>
    <w:p w14:paraId="31D68670">
      <w:pPr>
        <w:pStyle w:val="4"/>
        <w:rPr>
          <w:rFonts w:ascii="仿宋" w:hAnsi="仿宋" w:eastAsia="仿宋"/>
        </w:rPr>
      </w:pPr>
      <w:bookmarkStart w:id="6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2"/>
    </w:p>
    <w:p w14:paraId="3298FEDF">
      <w:pPr>
        <w:pStyle w:val="4"/>
        <w:rPr>
          <w:rFonts w:ascii="仿宋" w:hAnsi="仿宋" w:eastAsia="仿宋"/>
        </w:rPr>
      </w:pPr>
      <w:bookmarkStart w:id="63" w:name="_Toc15396628"/>
      <w:r>
        <w:rPr>
          <w:rStyle w:val="31"/>
          <w:rFonts w:hint="eastAsia" w:ascii="仿宋" w:hAnsi="仿宋" w:eastAsia="仿宋"/>
          <w:b w:val="0"/>
          <w:bCs w:val="0"/>
        </w:rPr>
        <w:t>十、</w:t>
      </w:r>
      <w:bookmarkEnd w:id="63"/>
      <w:r>
        <w:rPr>
          <w:rFonts w:hint="eastAsia" w:ascii="仿宋" w:hAnsi="仿宋" w:eastAsia="仿宋"/>
          <w:b w:val="0"/>
        </w:rPr>
        <w:t>政</w:t>
      </w:r>
      <w:r>
        <w:rPr>
          <w:rStyle w:val="31"/>
          <w:rFonts w:hint="eastAsia" w:ascii="仿宋" w:hAnsi="仿宋" w:eastAsia="仿宋"/>
          <w:b w:val="0"/>
          <w:bCs w:val="0"/>
        </w:rPr>
        <w:t>府性基金预算财政拨款收入支出决算表</w:t>
      </w:r>
    </w:p>
    <w:p w14:paraId="1A906B04">
      <w:pPr>
        <w:pStyle w:val="4"/>
        <w:rPr>
          <w:rFonts w:ascii="仿宋" w:hAnsi="仿宋" w:eastAsia="仿宋"/>
        </w:rPr>
      </w:pPr>
      <w:bookmarkStart w:id="64" w:name="_Toc15396629"/>
      <w:r>
        <w:rPr>
          <w:rStyle w:val="31"/>
          <w:rFonts w:hint="eastAsia" w:ascii="仿宋" w:hAnsi="仿宋" w:eastAsia="仿宋"/>
          <w:b w:val="0"/>
          <w:bCs w:val="0"/>
        </w:rPr>
        <w:t>十一、</w:t>
      </w:r>
      <w:bookmarkEnd w:id="64"/>
      <w:r>
        <w:rPr>
          <w:rFonts w:hint="eastAsia" w:ascii="仿宋" w:hAnsi="仿宋" w:eastAsia="仿宋"/>
          <w:b w:val="0"/>
        </w:rPr>
        <w:t>国</w:t>
      </w:r>
      <w:r>
        <w:rPr>
          <w:rStyle w:val="31"/>
          <w:rFonts w:hint="eastAsia" w:ascii="仿宋" w:hAnsi="仿宋" w:eastAsia="仿宋"/>
          <w:b w:val="0"/>
          <w:bCs w:val="0"/>
        </w:rPr>
        <w:t>有资本经营预算财政拨款收入支出决算表</w:t>
      </w:r>
    </w:p>
    <w:p w14:paraId="08B17EC1">
      <w:pPr>
        <w:pStyle w:val="4"/>
        <w:rPr>
          <w:rFonts w:ascii="仿宋" w:hAnsi="仿宋" w:eastAsia="仿宋"/>
        </w:rPr>
      </w:pPr>
      <w:bookmarkStart w:id="65" w:name="_Toc15396630"/>
      <w:r>
        <w:rPr>
          <w:rStyle w:val="31"/>
          <w:rFonts w:hint="eastAsia" w:ascii="仿宋" w:hAnsi="仿宋" w:eastAsia="仿宋"/>
          <w:b w:val="0"/>
          <w:bCs w:val="0"/>
        </w:rPr>
        <w:t>十二、</w:t>
      </w:r>
      <w:bookmarkEnd w:id="65"/>
      <w:r>
        <w:rPr>
          <w:rStyle w:val="31"/>
          <w:rFonts w:hint="eastAsia" w:ascii="仿宋" w:hAnsi="仿宋" w:eastAsia="仿宋"/>
          <w:b w:val="0"/>
          <w:bCs w:val="0"/>
        </w:rPr>
        <w:t>国有资本经营预算财政拨款支出决算表</w:t>
      </w:r>
    </w:p>
    <w:p w14:paraId="5E138F87">
      <w:pPr>
        <w:pStyle w:val="4"/>
        <w:rPr>
          <w:rFonts w:eastAsia="仿宋"/>
        </w:rPr>
      </w:pPr>
      <w:bookmarkStart w:id="66" w:name="_Toc15396631"/>
      <w:r>
        <w:rPr>
          <w:rStyle w:val="31"/>
          <w:rFonts w:hint="eastAsia" w:ascii="仿宋" w:hAnsi="仿宋" w:eastAsia="仿宋"/>
          <w:b w:val="0"/>
          <w:bCs w:val="0"/>
        </w:rPr>
        <w:t>十三、</w:t>
      </w:r>
      <w:bookmarkEnd w:id="66"/>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5F435DB">
        <w:pPr>
          <w:pStyle w:val="11"/>
          <w:jc w:val="center"/>
        </w:pPr>
        <w:r>
          <w:fldChar w:fldCharType="begin"/>
        </w:r>
        <w:r>
          <w:instrText xml:space="preserve">PAGE   \* MERGEFORMAT</w:instrText>
        </w:r>
        <w:r>
          <w:fldChar w:fldCharType="separate"/>
        </w:r>
        <w:r>
          <w:rPr>
            <w:lang w:val="zh-CN"/>
          </w:rPr>
          <w:t>47</w:t>
        </w:r>
        <w:r>
          <w:fldChar w:fldCharType="end"/>
        </w:r>
      </w:p>
    </w:sdtContent>
  </w:sdt>
  <w:p w14:paraId="555D163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BB8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78B"/>
    <w:multiLevelType w:val="singleLevel"/>
    <w:tmpl w:val="87E0378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0C8439C"/>
    <w:multiLevelType w:val="multilevel"/>
    <w:tmpl w:val="50C8439C"/>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8">
    <w:nsid w:val="685FFF29"/>
    <w:multiLevelType w:val="singleLevel"/>
    <w:tmpl w:val="685FFF29"/>
    <w:lvl w:ilvl="0" w:tentative="0">
      <w:start w:val="1"/>
      <w:numFmt w:val="decimal"/>
      <w:suff w:val="space"/>
      <w:lvlText w:val="%1."/>
      <w:lvlJc w:val="left"/>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DBhMTg0NGQ0ZDhiYjZhYzkzMDkxY2NjOGVhMWEifQ=="/>
  </w:docVars>
  <w:rsids>
    <w:rsidRoot w:val="00172A27"/>
    <w:rsid w:val="000222C6"/>
    <w:rsid w:val="0002549F"/>
    <w:rsid w:val="000468DB"/>
    <w:rsid w:val="0005269E"/>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AA2"/>
    <w:rsid w:val="000C3CA6"/>
    <w:rsid w:val="000D1267"/>
    <w:rsid w:val="000D1D50"/>
    <w:rsid w:val="000D5782"/>
    <w:rsid w:val="000D760C"/>
    <w:rsid w:val="000E6613"/>
    <w:rsid w:val="000E7119"/>
    <w:rsid w:val="000F0134"/>
    <w:rsid w:val="00114E9B"/>
    <w:rsid w:val="00136D0C"/>
    <w:rsid w:val="001402CA"/>
    <w:rsid w:val="00142216"/>
    <w:rsid w:val="00144D6A"/>
    <w:rsid w:val="0014729F"/>
    <w:rsid w:val="00157BAB"/>
    <w:rsid w:val="001654D1"/>
    <w:rsid w:val="00172A27"/>
    <w:rsid w:val="001740CC"/>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52CC2"/>
    <w:rsid w:val="00260C38"/>
    <w:rsid w:val="002616C0"/>
    <w:rsid w:val="00265372"/>
    <w:rsid w:val="002662AA"/>
    <w:rsid w:val="0027651A"/>
    <w:rsid w:val="00280496"/>
    <w:rsid w:val="00292654"/>
    <w:rsid w:val="00294DC9"/>
    <w:rsid w:val="00295495"/>
    <w:rsid w:val="002A31DE"/>
    <w:rsid w:val="002B2613"/>
    <w:rsid w:val="002D6D05"/>
    <w:rsid w:val="002E363D"/>
    <w:rsid w:val="002E62F1"/>
    <w:rsid w:val="002F1818"/>
    <w:rsid w:val="002F567B"/>
    <w:rsid w:val="003107C6"/>
    <w:rsid w:val="003216A9"/>
    <w:rsid w:val="00332805"/>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90C"/>
    <w:rsid w:val="00406254"/>
    <w:rsid w:val="004223DE"/>
    <w:rsid w:val="00434489"/>
    <w:rsid w:val="00435B7A"/>
    <w:rsid w:val="00437085"/>
    <w:rsid w:val="00443880"/>
    <w:rsid w:val="004464F4"/>
    <w:rsid w:val="00446E63"/>
    <w:rsid w:val="0046044A"/>
    <w:rsid w:val="004646F3"/>
    <w:rsid w:val="00467094"/>
    <w:rsid w:val="00471401"/>
    <w:rsid w:val="00473F31"/>
    <w:rsid w:val="0048263A"/>
    <w:rsid w:val="00487E5D"/>
    <w:rsid w:val="00491023"/>
    <w:rsid w:val="004A663B"/>
    <w:rsid w:val="004A711F"/>
    <w:rsid w:val="004B199D"/>
    <w:rsid w:val="004B4690"/>
    <w:rsid w:val="004C30C3"/>
    <w:rsid w:val="004E0A2D"/>
    <w:rsid w:val="004E206B"/>
    <w:rsid w:val="004E6DF7"/>
    <w:rsid w:val="004F0FBD"/>
    <w:rsid w:val="00505A47"/>
    <w:rsid w:val="00512FDA"/>
    <w:rsid w:val="00520DA0"/>
    <w:rsid w:val="00525E15"/>
    <w:rsid w:val="005664BB"/>
    <w:rsid w:val="00566FFA"/>
    <w:rsid w:val="005727DE"/>
    <w:rsid w:val="0057481D"/>
    <w:rsid w:val="0058486E"/>
    <w:rsid w:val="00585B33"/>
    <w:rsid w:val="0059014D"/>
    <w:rsid w:val="005A4AB6"/>
    <w:rsid w:val="005B27DA"/>
    <w:rsid w:val="005B5C64"/>
    <w:rsid w:val="005B67C6"/>
    <w:rsid w:val="005C5337"/>
    <w:rsid w:val="005C6BD0"/>
    <w:rsid w:val="005D1C8B"/>
    <w:rsid w:val="005D468D"/>
    <w:rsid w:val="005D5CED"/>
    <w:rsid w:val="005D7D8C"/>
    <w:rsid w:val="005F1A4C"/>
    <w:rsid w:val="005F42DC"/>
    <w:rsid w:val="005F5BDD"/>
    <w:rsid w:val="00605688"/>
    <w:rsid w:val="006070AF"/>
    <w:rsid w:val="00607E6C"/>
    <w:rsid w:val="006101B1"/>
    <w:rsid w:val="00614E44"/>
    <w:rsid w:val="0062270A"/>
    <w:rsid w:val="00622830"/>
    <w:rsid w:val="00623DA0"/>
    <w:rsid w:val="00630AEF"/>
    <w:rsid w:val="006325F8"/>
    <w:rsid w:val="00633463"/>
    <w:rsid w:val="00634C9A"/>
    <w:rsid w:val="006440E4"/>
    <w:rsid w:val="00656FFF"/>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20C96"/>
    <w:rsid w:val="007362E8"/>
    <w:rsid w:val="007416B6"/>
    <w:rsid w:val="0074355C"/>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3608"/>
    <w:rsid w:val="00813348"/>
    <w:rsid w:val="008253BB"/>
    <w:rsid w:val="0083706E"/>
    <w:rsid w:val="008408F6"/>
    <w:rsid w:val="008423A5"/>
    <w:rsid w:val="00850625"/>
    <w:rsid w:val="00853718"/>
    <w:rsid w:val="00855221"/>
    <w:rsid w:val="00860645"/>
    <w:rsid w:val="008639DE"/>
    <w:rsid w:val="00871F71"/>
    <w:rsid w:val="00872FD8"/>
    <w:rsid w:val="00885AF4"/>
    <w:rsid w:val="008939CD"/>
    <w:rsid w:val="008B768C"/>
    <w:rsid w:val="008C4DB1"/>
    <w:rsid w:val="008C4EAF"/>
    <w:rsid w:val="008C5176"/>
    <w:rsid w:val="008C7855"/>
    <w:rsid w:val="008C7FD0"/>
    <w:rsid w:val="008E1DE7"/>
    <w:rsid w:val="008E707C"/>
    <w:rsid w:val="00900B08"/>
    <w:rsid w:val="00902155"/>
    <w:rsid w:val="00902FA3"/>
    <w:rsid w:val="00907432"/>
    <w:rsid w:val="00923564"/>
    <w:rsid w:val="0092392E"/>
    <w:rsid w:val="009315F9"/>
    <w:rsid w:val="00933499"/>
    <w:rsid w:val="00935C98"/>
    <w:rsid w:val="00943DCE"/>
    <w:rsid w:val="00946945"/>
    <w:rsid w:val="00950385"/>
    <w:rsid w:val="00951248"/>
    <w:rsid w:val="0095152F"/>
    <w:rsid w:val="00954C49"/>
    <w:rsid w:val="00955E37"/>
    <w:rsid w:val="00965BE9"/>
    <w:rsid w:val="0097099F"/>
    <w:rsid w:val="00971997"/>
    <w:rsid w:val="00971FFC"/>
    <w:rsid w:val="0098660A"/>
    <w:rsid w:val="009931C3"/>
    <w:rsid w:val="00995A14"/>
    <w:rsid w:val="009B2C43"/>
    <w:rsid w:val="009B4EAE"/>
    <w:rsid w:val="009B7573"/>
    <w:rsid w:val="009C22F4"/>
    <w:rsid w:val="009C2A4B"/>
    <w:rsid w:val="009C2E98"/>
    <w:rsid w:val="009C76EE"/>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52A"/>
    <w:rsid w:val="00A40A00"/>
    <w:rsid w:val="00A4142F"/>
    <w:rsid w:val="00A422EB"/>
    <w:rsid w:val="00A45BB7"/>
    <w:rsid w:val="00A56DF2"/>
    <w:rsid w:val="00A56E6E"/>
    <w:rsid w:val="00A66B08"/>
    <w:rsid w:val="00A67AB5"/>
    <w:rsid w:val="00A67F06"/>
    <w:rsid w:val="00A733B2"/>
    <w:rsid w:val="00A741C2"/>
    <w:rsid w:val="00A8628F"/>
    <w:rsid w:val="00A91760"/>
    <w:rsid w:val="00A92831"/>
    <w:rsid w:val="00A93B00"/>
    <w:rsid w:val="00A93C21"/>
    <w:rsid w:val="00AA259D"/>
    <w:rsid w:val="00AA572F"/>
    <w:rsid w:val="00AB4F1D"/>
    <w:rsid w:val="00AB64C9"/>
    <w:rsid w:val="00AC3C6A"/>
    <w:rsid w:val="00AD5620"/>
    <w:rsid w:val="00AD656B"/>
    <w:rsid w:val="00AD7C1B"/>
    <w:rsid w:val="00AE16BA"/>
    <w:rsid w:val="00AE1EBE"/>
    <w:rsid w:val="00AF0A50"/>
    <w:rsid w:val="00AF6A32"/>
    <w:rsid w:val="00B03C9D"/>
    <w:rsid w:val="00B060AE"/>
    <w:rsid w:val="00B10517"/>
    <w:rsid w:val="00B14E76"/>
    <w:rsid w:val="00B161B8"/>
    <w:rsid w:val="00B17D7E"/>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6614"/>
    <w:rsid w:val="00BC289F"/>
    <w:rsid w:val="00BC2D50"/>
    <w:rsid w:val="00BC5361"/>
    <w:rsid w:val="00BC5460"/>
    <w:rsid w:val="00BC6B50"/>
    <w:rsid w:val="00BD0E25"/>
    <w:rsid w:val="00BF5887"/>
    <w:rsid w:val="00BF5BD6"/>
    <w:rsid w:val="00BF6CE2"/>
    <w:rsid w:val="00C03E31"/>
    <w:rsid w:val="00C17F6C"/>
    <w:rsid w:val="00C33E72"/>
    <w:rsid w:val="00C354B2"/>
    <w:rsid w:val="00C35554"/>
    <w:rsid w:val="00C36A2F"/>
    <w:rsid w:val="00C42709"/>
    <w:rsid w:val="00C476A7"/>
    <w:rsid w:val="00C52575"/>
    <w:rsid w:val="00C533CC"/>
    <w:rsid w:val="00C5751C"/>
    <w:rsid w:val="00C61BFC"/>
    <w:rsid w:val="00C62B85"/>
    <w:rsid w:val="00C65438"/>
    <w:rsid w:val="00C87FD8"/>
    <w:rsid w:val="00C91381"/>
    <w:rsid w:val="00C91CBB"/>
    <w:rsid w:val="00CB17E7"/>
    <w:rsid w:val="00CB4E70"/>
    <w:rsid w:val="00CC09B6"/>
    <w:rsid w:val="00CC666F"/>
    <w:rsid w:val="00CC6BAC"/>
    <w:rsid w:val="00CD1E3F"/>
    <w:rsid w:val="00CE44F6"/>
    <w:rsid w:val="00CE49DA"/>
    <w:rsid w:val="00CE7B61"/>
    <w:rsid w:val="00D00095"/>
    <w:rsid w:val="00D114F0"/>
    <w:rsid w:val="00D1654E"/>
    <w:rsid w:val="00D20620"/>
    <w:rsid w:val="00D20B29"/>
    <w:rsid w:val="00D254F7"/>
    <w:rsid w:val="00D26091"/>
    <w:rsid w:val="00D2685C"/>
    <w:rsid w:val="00D34E7C"/>
    <w:rsid w:val="00D34F17"/>
    <w:rsid w:val="00D35489"/>
    <w:rsid w:val="00D36AFE"/>
    <w:rsid w:val="00D51276"/>
    <w:rsid w:val="00D7035F"/>
    <w:rsid w:val="00DA634F"/>
    <w:rsid w:val="00DA65AC"/>
    <w:rsid w:val="00DB1913"/>
    <w:rsid w:val="00DB2167"/>
    <w:rsid w:val="00DC410D"/>
    <w:rsid w:val="00DC4B63"/>
    <w:rsid w:val="00DC5A81"/>
    <w:rsid w:val="00DC68CA"/>
    <w:rsid w:val="00DC7CBA"/>
    <w:rsid w:val="00DD73B7"/>
    <w:rsid w:val="00DF06E2"/>
    <w:rsid w:val="00DF28BC"/>
    <w:rsid w:val="00DF34B9"/>
    <w:rsid w:val="00E01053"/>
    <w:rsid w:val="00E07ACF"/>
    <w:rsid w:val="00E07BA5"/>
    <w:rsid w:val="00E22135"/>
    <w:rsid w:val="00E331A1"/>
    <w:rsid w:val="00E33202"/>
    <w:rsid w:val="00E336A9"/>
    <w:rsid w:val="00E472B1"/>
    <w:rsid w:val="00E50624"/>
    <w:rsid w:val="00E5285B"/>
    <w:rsid w:val="00E568DF"/>
    <w:rsid w:val="00E64269"/>
    <w:rsid w:val="00E65CE5"/>
    <w:rsid w:val="00E82267"/>
    <w:rsid w:val="00E853CE"/>
    <w:rsid w:val="00E867B6"/>
    <w:rsid w:val="00E87C83"/>
    <w:rsid w:val="00EA010F"/>
    <w:rsid w:val="00ED1B63"/>
    <w:rsid w:val="00ED3C1F"/>
    <w:rsid w:val="00ED4085"/>
    <w:rsid w:val="00ED420E"/>
    <w:rsid w:val="00ED6FBE"/>
    <w:rsid w:val="00EE2F57"/>
    <w:rsid w:val="00EF39C0"/>
    <w:rsid w:val="00EF4C34"/>
    <w:rsid w:val="00EF77C6"/>
    <w:rsid w:val="00F01F2C"/>
    <w:rsid w:val="00F05438"/>
    <w:rsid w:val="00F06EE3"/>
    <w:rsid w:val="00F1361C"/>
    <w:rsid w:val="00F156F0"/>
    <w:rsid w:val="00F160C7"/>
    <w:rsid w:val="00F2408F"/>
    <w:rsid w:val="00F240E9"/>
    <w:rsid w:val="00F25247"/>
    <w:rsid w:val="00F36D8F"/>
    <w:rsid w:val="00F417B1"/>
    <w:rsid w:val="00F45853"/>
    <w:rsid w:val="00F602DF"/>
    <w:rsid w:val="00F754A1"/>
    <w:rsid w:val="00F81FD9"/>
    <w:rsid w:val="00F841AA"/>
    <w:rsid w:val="00F84A94"/>
    <w:rsid w:val="00F87E96"/>
    <w:rsid w:val="00F93C5F"/>
    <w:rsid w:val="00F94FE9"/>
    <w:rsid w:val="00FA23E8"/>
    <w:rsid w:val="00FD3CC1"/>
    <w:rsid w:val="00FD4D4B"/>
    <w:rsid w:val="00FF1E02"/>
    <w:rsid w:val="00FF30B4"/>
    <w:rsid w:val="015975B8"/>
    <w:rsid w:val="02143E91"/>
    <w:rsid w:val="04ED3D5F"/>
    <w:rsid w:val="066E0107"/>
    <w:rsid w:val="07996F6E"/>
    <w:rsid w:val="0A2032A3"/>
    <w:rsid w:val="0F98263C"/>
    <w:rsid w:val="101860EC"/>
    <w:rsid w:val="101C2529"/>
    <w:rsid w:val="10C055FF"/>
    <w:rsid w:val="118107EC"/>
    <w:rsid w:val="13D50BC4"/>
    <w:rsid w:val="16BB723D"/>
    <w:rsid w:val="178D7D38"/>
    <w:rsid w:val="1BE8440E"/>
    <w:rsid w:val="1D155CEE"/>
    <w:rsid w:val="1DB829A2"/>
    <w:rsid w:val="1EC7098C"/>
    <w:rsid w:val="1FF35744"/>
    <w:rsid w:val="23860B96"/>
    <w:rsid w:val="240371BF"/>
    <w:rsid w:val="28B1550E"/>
    <w:rsid w:val="29FD04D3"/>
    <w:rsid w:val="2C8A61B5"/>
    <w:rsid w:val="2D464860"/>
    <w:rsid w:val="2DE47B54"/>
    <w:rsid w:val="2DF04E50"/>
    <w:rsid w:val="2F040D46"/>
    <w:rsid w:val="2F6B3D97"/>
    <w:rsid w:val="319F7F4E"/>
    <w:rsid w:val="3304709D"/>
    <w:rsid w:val="36AA5135"/>
    <w:rsid w:val="376D39B2"/>
    <w:rsid w:val="37E16F03"/>
    <w:rsid w:val="38D469F0"/>
    <w:rsid w:val="396666FA"/>
    <w:rsid w:val="3C803EB9"/>
    <w:rsid w:val="3D98207C"/>
    <w:rsid w:val="3E200566"/>
    <w:rsid w:val="3E78745D"/>
    <w:rsid w:val="412A5093"/>
    <w:rsid w:val="44E268DA"/>
    <w:rsid w:val="4A627F82"/>
    <w:rsid w:val="4B0E749A"/>
    <w:rsid w:val="4B4F25DA"/>
    <w:rsid w:val="4BE068DB"/>
    <w:rsid w:val="4D577224"/>
    <w:rsid w:val="4EAB630A"/>
    <w:rsid w:val="4ECE2238"/>
    <w:rsid w:val="537E6D0A"/>
    <w:rsid w:val="5AF92295"/>
    <w:rsid w:val="5CD71FC4"/>
    <w:rsid w:val="66AB7FE0"/>
    <w:rsid w:val="6C4A05C8"/>
    <w:rsid w:val="6D8276B5"/>
    <w:rsid w:val="6E636341"/>
    <w:rsid w:val="6E7E3605"/>
    <w:rsid w:val="6FF5CC65"/>
    <w:rsid w:val="715C0E4B"/>
    <w:rsid w:val="72734D90"/>
    <w:rsid w:val="72BA0857"/>
    <w:rsid w:val="73AD73D5"/>
    <w:rsid w:val="73B6EB34"/>
    <w:rsid w:val="744731E5"/>
    <w:rsid w:val="76E3355F"/>
    <w:rsid w:val="778769C8"/>
    <w:rsid w:val="79B167CE"/>
    <w:rsid w:val="79EE5BA4"/>
    <w:rsid w:val="7A894339"/>
    <w:rsid w:val="7D502DEE"/>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默认"/>
    <w:basedOn w:val="1"/>
    <w:next w:val="1"/>
    <w:qFormat/>
    <w:uiPriority w:val="0"/>
    <w:pPr>
      <w:widowControl/>
    </w:pPr>
    <w:rPr>
      <w:rFonts w:ascii="Helvetica Neue" w:hAnsi="Helvetica Neue" w:cs="Arial Unicode MS"/>
      <w:color w:val="000000"/>
      <w:sz w:val="22"/>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2"/>
    <w:qFormat/>
    <w:uiPriority w:val="0"/>
    <w:rPr>
      <w:rFonts w:ascii="宋体" w:hAnsi="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7"/>
    <w:link w:val="9"/>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DC54-259B-4788-8979-4D99E0B1D74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17762</Words>
  <Characters>19010</Characters>
  <Lines>14</Lines>
  <Paragraphs>39</Paragraphs>
  <TotalTime>1</TotalTime>
  <ScaleCrop>false</ScaleCrop>
  <LinksUpToDate>false</LinksUpToDate>
  <CharactersWithSpaces>19104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2024-05-29T02:08:00Z</dcterms:created>
  <dc:creator>曹颖</dc:creator>
  <cp:lastModifiedBy>Administrator</cp:lastModifiedBy>
  <cp:lastPrinted>2023-10-30T02:30:00Z</cp:lastPrinted>
  <dcterms:modified xsi:type="dcterms:W3CDTF">2024-07-19T09:34:24Z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40CA7BF307CD41378E07AF1A643AE9FF_13</vt:lpwstr>
  </property>
</Properties>
</file>