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425"/>
      <w:bookmarkStart w:id="2" w:name="_Toc15377193"/>
      <w:bookmarkStart w:id="3" w:name="_Toc15396597"/>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Start w:id="6" w:name="_Toc15396598"/>
      <w:bookmarkStart w:id="7" w:name="_Toc15396476"/>
      <w:bookmarkStart w:id="8" w:name="_Toc15377194"/>
      <w:bookmarkStart w:id="9" w:name="_Toc15378442"/>
      <w:bookmarkStart w:id="10" w:name="_Toc15377426"/>
      <w:r>
        <w:rPr>
          <w:rFonts w:hint="eastAsia" w:ascii="方正小标宋简体" w:hAnsi="方正小标宋简体" w:eastAsia="方正小标宋简体" w:cs="方正小标宋简体"/>
          <w:sz w:val="72"/>
          <w:szCs w:val="72"/>
        </w:rPr>
        <w:t>攀枝花市西区</w:t>
      </w:r>
      <w:bookmarkEnd w:id="5"/>
      <w:bookmarkStart w:id="11" w:name="_Toc15306268"/>
      <w:r>
        <w:rPr>
          <w:rFonts w:hint="eastAsia" w:ascii="方正小标宋简体" w:hAnsi="方正小标宋简体" w:eastAsia="方正小标宋简体" w:cs="方正小标宋简体"/>
          <w:sz w:val="72"/>
          <w:szCs w:val="72"/>
        </w:rPr>
        <w:t>公务服务中心部门决算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方正小标宋简体" w:hAnsi="宋体" w:eastAsia="方正小标宋简体"/>
          <w:sz w:val="36"/>
          <w:szCs w:val="36"/>
        </w:rPr>
      </w:pPr>
    </w:p>
    <w:p>
      <w:pPr>
        <w:bidi w:val="0"/>
        <w:rPr>
          <w:rFonts w:ascii="方正小标宋简体" w:hAnsi="宋体" w:eastAsia="方正小标宋简体"/>
          <w:sz w:val="36"/>
          <w:szCs w:val="36"/>
        </w:rPr>
      </w:pPr>
    </w:p>
    <w:p>
      <w:pPr>
        <w:bidi w:val="0"/>
        <w:rPr>
          <w:rFonts w:ascii="方正小标宋简体" w:hAnsi="宋体" w:eastAsia="方正小标宋简体"/>
          <w:sz w:val="36"/>
          <w:szCs w:val="36"/>
        </w:rPr>
      </w:pPr>
    </w:p>
    <w:p>
      <w:pPr>
        <w:bidi w:val="0"/>
        <w:rPr>
          <w:rFonts w:ascii="方正小标宋简体" w:hAnsi="宋体" w:eastAsia="方正小标宋简体"/>
          <w:sz w:val="36"/>
          <w:szCs w:val="36"/>
        </w:rPr>
      </w:pPr>
    </w:p>
    <w:p>
      <w:pPr>
        <w:bidi w:val="0"/>
        <w:rPr>
          <w:rFonts w:ascii="方正小标宋简体" w:hAnsi="宋体" w:eastAsia="方正小标宋简体"/>
          <w:sz w:val="36"/>
          <w:szCs w:val="36"/>
        </w:rPr>
      </w:pPr>
    </w:p>
    <w:p>
      <w:pPr>
        <w:bidi w:val="0"/>
        <w:rPr>
          <w:rFonts w:ascii="方正小标宋简体" w:hAnsi="宋体" w:eastAsia="方正小标宋简体"/>
          <w:sz w:val="36"/>
          <w:szCs w:val="36"/>
        </w:rPr>
      </w:pPr>
    </w:p>
    <w:p>
      <w:pPr>
        <w:bidi w:val="0"/>
        <w:rPr>
          <w:rFonts w:ascii="方正小标宋简体" w:hAnsi="宋体" w:eastAsia="方正小标宋简体"/>
          <w:sz w:val="36"/>
          <w:szCs w:val="36"/>
        </w:rPr>
      </w:pPr>
    </w:p>
    <w:p>
      <w:pPr>
        <w:bidi w:val="0"/>
        <w:rPr>
          <w:rFonts w:ascii="方正小标宋简体" w:hAnsi="宋体" w:eastAsia="方正小标宋简体"/>
          <w:sz w:val="36"/>
          <w:szCs w:val="36"/>
        </w:rPr>
      </w:pPr>
    </w:p>
    <w:p>
      <w:pPr>
        <w:bidi w:val="0"/>
        <w:jc w:val="left"/>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10</w:t>
      </w:r>
      <w:r>
        <w:rPr>
          <w:rFonts w:hint="eastAsia"/>
        </w:rPr>
        <w:t>月2</w:t>
      </w:r>
      <w:r>
        <w:rPr>
          <w:rFonts w:hint="eastAsia"/>
          <w:lang w:val="en-US" w:eastAsia="zh-CN"/>
        </w:rPr>
        <w:t>5</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第一部分部门概况</w:t>
      </w:r>
      <w:r>
        <w:rPr>
          <w:rFonts w:cstheme="minorBidi"/>
          <w:sz w:val="24"/>
          <w:szCs w:val="24"/>
        </w:rPr>
        <w:tab/>
      </w:r>
      <w:r>
        <w:rPr>
          <w:rFonts w:hint="eastAsia" w:cstheme="minorBidi"/>
          <w:sz w:val="24"/>
          <w:szCs w:val="24"/>
        </w:rPr>
        <w:t>4</w:t>
      </w:r>
    </w:p>
    <w:p>
      <w:pPr>
        <w:pStyle w:val="13"/>
        <w:adjustRightInd w:val="0"/>
        <w:snapToGrid w:val="0"/>
        <w:spacing w:line="440" w:lineRule="exact"/>
        <w:jc w:val="left"/>
        <w:rPr>
          <w:rFonts w:ascii="仿宋" w:hAnsi="仿宋" w:eastAsia="仿宋"/>
          <w:sz w:val="24"/>
        </w:rPr>
      </w:pPr>
      <w:r>
        <w:rPr>
          <w:rFonts w:hint="eastAsia"/>
          <w:sz w:val="24"/>
        </w:rPr>
        <w:t>一、部门职责</w:t>
      </w:r>
      <w:r>
        <w:rPr>
          <w:rFonts w:cstheme="minorBidi"/>
          <w:sz w:val="24"/>
        </w:rPr>
        <w:tab/>
      </w:r>
      <w:r>
        <w:rPr>
          <w:rFonts w:hint="eastAsia" w:cstheme="minorBidi"/>
          <w:sz w:val="24"/>
        </w:rPr>
        <w:t>4</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r>
        <w:rPr>
          <w:rFonts w:cstheme="minorBidi"/>
          <w:sz w:val="24"/>
        </w:rPr>
        <w:tab/>
      </w:r>
      <w:r>
        <w:rPr>
          <w:rFonts w:hint="eastAsia" w:cstheme="minorBidi"/>
          <w:sz w:val="24"/>
        </w:rPr>
        <w:t>4</w:t>
      </w:r>
    </w:p>
    <w:p>
      <w:pPr>
        <w:pStyle w:val="12"/>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rPr>
        <w:tab/>
      </w:r>
      <w:r>
        <w:rPr>
          <w:rFonts w:hint="eastAsia" w:cstheme="minorBidi"/>
          <w:sz w:val="24"/>
        </w:rPr>
        <w:t>5</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5</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5</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9</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9</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12</w:t>
      </w:r>
    </w:p>
    <w:p>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12</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9"/>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其他重要事项的情况说明......................................12</w:t>
      </w:r>
    </w:p>
    <w:p>
      <w:pPr>
        <w:pStyle w:val="12"/>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rPr>
        <w:tab/>
      </w:r>
      <w:r>
        <w:rPr>
          <w:rFonts w:hint="eastAsia" w:cstheme="minorBidi"/>
          <w:sz w:val="24"/>
        </w:rPr>
        <w:t>14</w:t>
      </w:r>
    </w:p>
    <w:p>
      <w:pPr>
        <w:pStyle w:val="12"/>
        <w:adjustRightInd w:val="0"/>
        <w:snapToGrid w:val="0"/>
        <w:spacing w:before="0" w:line="440" w:lineRule="exact"/>
        <w:jc w:val="left"/>
        <w:rPr>
          <w:rFonts w:cstheme="minorBidi"/>
          <w:sz w:val="24"/>
          <w:szCs w:val="24"/>
        </w:rPr>
      </w:pPr>
      <w:r>
        <w:rPr>
          <w:rFonts w:hint="eastAsia"/>
          <w:sz w:val="24"/>
        </w:rPr>
        <w:t>第四部分附件</w:t>
      </w:r>
      <w:r>
        <w:rPr>
          <w:rFonts w:cstheme="minorBidi"/>
          <w:sz w:val="24"/>
        </w:rPr>
        <w:tab/>
      </w:r>
      <w:r>
        <w:rPr>
          <w:rFonts w:hint="eastAsia" w:cstheme="minorBidi"/>
          <w:sz w:val="24"/>
        </w:rPr>
        <w:t>17</w:t>
      </w:r>
    </w:p>
    <w:p>
      <w:pPr>
        <w:pStyle w:val="12"/>
        <w:adjustRightInd w:val="0"/>
        <w:snapToGrid w:val="0"/>
        <w:spacing w:before="0" w:line="440" w:lineRule="exact"/>
        <w:jc w:val="left"/>
        <w:rPr>
          <w:rFonts w:cstheme="minorBidi"/>
          <w:sz w:val="24"/>
          <w:szCs w:val="24"/>
        </w:rPr>
      </w:pPr>
      <w:r>
        <w:rPr>
          <w:rFonts w:hint="eastAsia"/>
          <w:sz w:val="24"/>
        </w:rPr>
        <w:t>第五部分附表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24</w:t>
      </w:r>
    </w:p>
    <w:p>
      <w:pPr>
        <w:pStyle w:val="13"/>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24</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r>
        <w:rPr>
          <w:rFonts w:cstheme="minorBidi"/>
          <w:sz w:val="24"/>
        </w:rPr>
        <w:tab/>
      </w:r>
      <w:r>
        <w:rPr>
          <w:rFonts w:hint="eastAsia" w:cstheme="minorBidi"/>
          <w:sz w:val="24"/>
        </w:rPr>
        <w:t>24</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Fonts w:ascii="黑体" w:hAnsi="黑体" w:eastAsia="黑体"/>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pStyle w:val="4"/>
        <w:numPr>
          <w:ilvl w:val="0"/>
          <w:numId w:val="1"/>
        </w:numPr>
        <w:rPr>
          <w:rFonts w:ascii="黑体" w:hAnsi="黑体" w:eastAsia="黑体"/>
          <w:b w:val="0"/>
        </w:rPr>
      </w:pPr>
      <w:r>
        <w:rPr>
          <w:rFonts w:hint="eastAsia" w:ascii="黑体" w:hAnsi="黑体" w:eastAsia="黑体"/>
          <w:b w:val="0"/>
        </w:rPr>
        <w:t>部门职责</w:t>
      </w:r>
    </w:p>
    <w:p>
      <w:pPr>
        <w:rPr>
          <w:rFonts w:ascii="仿宋" w:hAnsi="仿宋" w:eastAsia="仿宋"/>
          <w:sz w:val="32"/>
          <w:szCs w:val="32"/>
        </w:rPr>
      </w:pPr>
      <w:r>
        <w:rPr>
          <w:rFonts w:hint="eastAsia" w:ascii="仿宋" w:hAnsi="仿宋" w:eastAsia="仿宋"/>
          <w:sz w:val="32"/>
          <w:szCs w:val="32"/>
        </w:rPr>
        <w:t xml:space="preserve">    承办</w:t>
      </w:r>
      <w:r>
        <w:rPr>
          <w:rFonts w:ascii="仿宋" w:hAnsi="仿宋" w:eastAsia="仿宋"/>
          <w:sz w:val="32"/>
          <w:szCs w:val="32"/>
        </w:rPr>
        <w:t>区委、区政府领导有关公务服务工作的批示和决定，以及区委、区政府及有关部门转由公务服务中心办理的事项；完成区委、区人大、区政府、区政协四大班子及友邻市、县（区）来西区考察工作的公务服务工作；负责区内公务服务的组织、协调、指导、检查、督促，对区属各部门、各乡镇公务服务工作进行业务指导；协助落实在西区召开的省级及市内大型会议及各项大型重要活动的公务服务工作；负责安排到西区进行投资、洽谈业务等大型活动的服务工作</w:t>
      </w:r>
      <w:r>
        <w:rPr>
          <w:rFonts w:hint="eastAsia" w:ascii="仿宋" w:hAnsi="仿宋" w:eastAsia="仿宋"/>
          <w:sz w:val="32"/>
          <w:szCs w:val="32"/>
        </w:rPr>
        <w:t>。</w:t>
      </w:r>
    </w:p>
    <w:p>
      <w:pPr>
        <w:pStyle w:val="4"/>
        <w:rPr>
          <w:rStyle w:val="30"/>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rFonts w:hint="eastAsia" w:ascii="仿宋" w:hAnsi="仿宋" w:eastAsia="仿宋"/>
          <w:sz w:val="32"/>
          <w:szCs w:val="32"/>
        </w:rPr>
        <w:t>西区公务服务中心下属二级预算单位0个，其中行政单位0个，参照公务员法管理的事业单位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纳入西区公务服务中心无2022年度部门决算编制范围的二级预算单位。</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9"/>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29"/>
          <w:rFonts w:hint="eastAsia" w:ascii="黑体" w:hAnsi="黑体" w:eastAsia="黑体"/>
          <w:b w:val="0"/>
          <w:bCs/>
        </w:rPr>
        <w:t>部门决算情况说明</w:t>
      </w:r>
      <w:bookmarkEnd w:id="16"/>
      <w:bookmarkEnd w:id="17"/>
    </w:p>
    <w:p/>
    <w:p>
      <w:pPr>
        <w:pStyle w:val="28"/>
        <w:numPr>
          <w:ilvl w:val="0"/>
          <w:numId w:val="2"/>
        </w:numPr>
        <w:spacing w:line="600" w:lineRule="exact"/>
        <w:ind w:firstLineChars="0"/>
        <w:outlineLvl w:val="1"/>
        <w:rPr>
          <w:rStyle w:val="30"/>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2022年度收、支总计74.98万元。与2021年相比，收、支总计各减少22.27万元，下降23</w:t>
      </w:r>
      <w:r>
        <w:rPr>
          <w:rFonts w:ascii="仿宋" w:hAnsi="仿宋" w:eastAsia="仿宋"/>
          <w:sz w:val="32"/>
          <w:szCs w:val="32"/>
        </w:rPr>
        <w:t>%</w:t>
      </w:r>
      <w:r>
        <w:rPr>
          <w:rFonts w:hint="eastAsia" w:ascii="仿宋" w:hAnsi="仿宋" w:eastAsia="仿宋"/>
          <w:sz w:val="32"/>
          <w:szCs w:val="32"/>
        </w:rPr>
        <w:t>。主要变动原因是减少了公务接待费、项目经费减少。</w:t>
      </w:r>
    </w:p>
    <w:p>
      <w:pPr>
        <w:widowControl/>
        <w:jc w:val="left"/>
        <w:rPr>
          <w:rFonts w:ascii="宋体" w:hAnsi="宋体" w:cs="宋体"/>
          <w:kern w:val="0"/>
          <w:sz w:val="24"/>
        </w:rPr>
      </w:pPr>
      <w:r>
        <w:rPr>
          <w:rFonts w:ascii="宋体" w:hAnsi="宋体" w:cs="宋体"/>
          <w:kern w:val="0"/>
          <w:sz w:val="24"/>
        </w:rPr>
        <w:drawing>
          <wp:inline distT="0" distB="0" distL="0" distR="0">
            <wp:extent cx="3819525" cy="2657475"/>
            <wp:effectExtent l="19050" t="0" r="9525" b="0"/>
            <wp:docPr id="1" name="图片 1" descr="C:\Users\Administrator\AppData\Roaming\Tencent\Users\248301485\QQ\WinTemp\RichOle\`AQP%@LVLTH@G]XYYR@E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248301485\QQ\WinTemp\RichOle\`AQP%@LVLTH@G]XYYR@EYAN.png"/>
                    <pic:cNvPicPr>
                      <a:picLocks noChangeAspect="1" noChangeArrowheads="1"/>
                    </pic:cNvPicPr>
                  </pic:nvPicPr>
                  <pic:blipFill>
                    <a:blip r:embed="rId6"/>
                    <a:srcRect/>
                    <a:stretch>
                      <a:fillRect/>
                    </a:stretch>
                  </pic:blipFill>
                  <pic:spPr>
                    <a:xfrm>
                      <a:off x="0" y="0"/>
                      <a:ext cx="3819525" cy="26574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8"/>
        <w:numPr>
          <w:ilvl w:val="0"/>
          <w:numId w:val="2"/>
        </w:numPr>
        <w:spacing w:line="600" w:lineRule="exact"/>
        <w:ind w:firstLineChars="0"/>
        <w:outlineLvl w:val="1"/>
        <w:rPr>
          <w:rStyle w:val="30"/>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0"/>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22年本年收入合计74.98万元，其中：一般公共预算财政拨款收入73.54万元，占98</w:t>
      </w:r>
      <w:r>
        <w:rPr>
          <w:rFonts w:ascii="仿宋" w:hAnsi="仿宋" w:eastAsia="仿宋"/>
          <w:sz w:val="32"/>
          <w:szCs w:val="32"/>
        </w:rPr>
        <w:t>%</w:t>
      </w:r>
      <w:r>
        <w:rPr>
          <w:rFonts w:hint="eastAsia" w:ascii="仿宋" w:hAnsi="仿宋" w:eastAsia="仿宋"/>
          <w:sz w:val="32"/>
          <w:szCs w:val="32"/>
        </w:rPr>
        <w:t>；政府性基金预算财政拨款收入1.44万元，占2</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3790950" cy="2714625"/>
            <wp:effectExtent l="19050" t="0" r="0" b="0"/>
            <wp:docPr id="3" name="图片 3" descr="C:\Users\Administrator\AppData\Roaming\Tencent\Users\248301485\QQ\WinTemp\RichOle\2HQ4S[XM@HJ{Q2~~0S[$5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248301485\QQ\WinTemp\RichOle\2HQ4S[XM@HJ{Q2~~0S[$5EA.png"/>
                    <pic:cNvPicPr>
                      <a:picLocks noChangeAspect="1" noChangeArrowheads="1"/>
                    </pic:cNvPicPr>
                  </pic:nvPicPr>
                  <pic:blipFill>
                    <a:blip r:embed="rId7"/>
                    <a:srcRect/>
                    <a:stretch>
                      <a:fillRect/>
                    </a:stretch>
                  </pic:blipFill>
                  <pic:spPr>
                    <a:xfrm>
                      <a:off x="0" y="0"/>
                      <a:ext cx="3790950" cy="27146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8"/>
        <w:numPr>
          <w:ilvl w:val="0"/>
          <w:numId w:val="2"/>
        </w:numPr>
        <w:spacing w:line="600" w:lineRule="exact"/>
        <w:ind w:firstLineChars="0"/>
        <w:outlineLvl w:val="1"/>
        <w:rPr>
          <w:rStyle w:val="30"/>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0"/>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22年本年支出合计74.98万元，其中：基本支出73.54万元，占98</w:t>
      </w:r>
      <w:r>
        <w:rPr>
          <w:rFonts w:ascii="仿宋" w:hAnsi="仿宋" w:eastAsia="仿宋"/>
          <w:sz w:val="32"/>
          <w:szCs w:val="32"/>
        </w:rPr>
        <w:t>%</w:t>
      </w:r>
      <w:r>
        <w:rPr>
          <w:rFonts w:hint="eastAsia" w:ascii="仿宋" w:hAnsi="仿宋" w:eastAsia="仿宋"/>
          <w:sz w:val="32"/>
          <w:szCs w:val="32"/>
        </w:rPr>
        <w:t>；项目支出1.44万元，占2</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2847975" cy="2676525"/>
            <wp:effectExtent l="19050" t="0" r="9525" b="0"/>
            <wp:docPr id="5" name="图片 5" descr="C:\Users\Administrator\AppData\Roaming\Tencent\Users\248301485\QQ\WinTemp\RichOle\%[7L{)TCK48WMEA53X$P16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248301485\QQ\WinTemp\RichOle\%[7L{)TCK48WMEA53X$P16R.png"/>
                    <pic:cNvPicPr>
                      <a:picLocks noChangeAspect="1" noChangeArrowheads="1"/>
                    </pic:cNvPicPr>
                  </pic:nvPicPr>
                  <pic:blipFill>
                    <a:blip r:embed="rId8"/>
                    <a:srcRect/>
                    <a:stretch>
                      <a:fillRect/>
                    </a:stretch>
                  </pic:blipFill>
                  <pic:spPr>
                    <a:xfrm>
                      <a:off x="0" y="0"/>
                      <a:ext cx="2847975" cy="26765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30"/>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22年财政拨款收、支总计74.98万元。与</w:t>
      </w:r>
      <w:r>
        <w:rPr>
          <w:rFonts w:ascii="仿宋" w:hAnsi="仿宋" w:eastAsia="仿宋"/>
          <w:sz w:val="32"/>
          <w:szCs w:val="32"/>
        </w:rPr>
        <w:t>20</w:t>
      </w:r>
      <w:r>
        <w:rPr>
          <w:rFonts w:hint="eastAsia" w:ascii="仿宋" w:hAnsi="仿宋" w:eastAsia="仿宋"/>
          <w:sz w:val="32"/>
          <w:szCs w:val="32"/>
        </w:rPr>
        <w:t>21年相比，财政拨款收、支总计各减少22.27万元，下降23</w:t>
      </w:r>
      <w:r>
        <w:rPr>
          <w:rFonts w:ascii="仿宋" w:hAnsi="仿宋" w:eastAsia="仿宋"/>
          <w:sz w:val="32"/>
          <w:szCs w:val="32"/>
        </w:rPr>
        <w:t>%</w:t>
      </w:r>
      <w:r>
        <w:rPr>
          <w:rFonts w:hint="eastAsia" w:ascii="仿宋" w:hAnsi="仿宋" w:eastAsia="仿宋"/>
          <w:sz w:val="32"/>
          <w:szCs w:val="32"/>
        </w:rPr>
        <w:t>。主要变动原因是减少了公务接待费、项目经费减少。</w:t>
      </w:r>
    </w:p>
    <w:p>
      <w:pPr>
        <w:rPr>
          <w:rFonts w:ascii="宋体" w:hAnsi="宋体" w:cs="宋体"/>
          <w:kern w:val="0"/>
          <w:sz w:val="24"/>
        </w:rPr>
      </w:pPr>
      <w:r>
        <w:rPr>
          <w:rFonts w:hint="eastAsia" w:ascii="仿宋" w:hAnsi="仿宋" w:eastAsia="仿宋"/>
          <w:sz w:val="32"/>
          <w:szCs w:val="32"/>
        </w:rPr>
        <w:t xml:space="preserve">     </w:t>
      </w:r>
      <w:r>
        <w:rPr>
          <w:rFonts w:ascii="宋体" w:hAnsi="宋体" w:cs="宋体"/>
          <w:kern w:val="0"/>
          <w:sz w:val="24"/>
        </w:rPr>
        <w:drawing>
          <wp:inline distT="0" distB="0" distL="0" distR="0">
            <wp:extent cx="3657600" cy="2171700"/>
            <wp:effectExtent l="19050" t="0" r="0" b="0"/>
            <wp:docPr id="7" name="图片 7" descr="C:\Users\Administrator\AppData\Roaming\Tencent\Users\248301485\QQ\WinTemp\RichOle\R}@73NPECW])$K38K25Y42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248301485\QQ\WinTemp\RichOle\R}@73NPECW])$K38K25Y42K.png"/>
                    <pic:cNvPicPr>
                      <a:picLocks noChangeAspect="1" noChangeArrowheads="1"/>
                    </pic:cNvPicPr>
                  </pic:nvPicPr>
                  <pic:blipFill>
                    <a:blip r:embed="rId9"/>
                    <a:srcRect/>
                    <a:stretch>
                      <a:fillRect/>
                    </a:stretch>
                  </pic:blipFill>
                  <pic:spPr>
                    <a:xfrm>
                      <a:off x="0" y="0"/>
                      <a:ext cx="3657600" cy="2171700"/>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30"/>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22年一般公共预算财政拨款支出73.54万元，占本年支出合计的98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21年相比，一般公共预算财政拨款支出减少19.29万元，下降21</w:t>
      </w:r>
      <w:r>
        <w:rPr>
          <w:rFonts w:ascii="仿宋" w:hAnsi="仿宋" w:eastAsia="仿宋"/>
          <w:sz w:val="32"/>
          <w:szCs w:val="32"/>
        </w:rPr>
        <w:t>%</w:t>
      </w:r>
      <w:r>
        <w:rPr>
          <w:rFonts w:hint="eastAsia" w:ascii="仿宋" w:hAnsi="仿宋" w:eastAsia="仿宋"/>
          <w:sz w:val="32"/>
          <w:szCs w:val="32"/>
        </w:rPr>
        <w:t>。主要变动原因是减少了公务接待费、项目经费减少。</w:t>
      </w:r>
    </w:p>
    <w:p>
      <w:pPr>
        <w:widowControl/>
        <w:jc w:val="left"/>
        <w:rPr>
          <w:rFonts w:ascii="宋体" w:hAnsi="宋体" w:cs="宋体"/>
          <w:kern w:val="0"/>
          <w:sz w:val="24"/>
        </w:rPr>
      </w:pPr>
      <w:r>
        <w:rPr>
          <w:rFonts w:ascii="宋体" w:hAnsi="宋体" w:cs="宋体"/>
          <w:kern w:val="0"/>
          <w:sz w:val="24"/>
        </w:rPr>
        <w:drawing>
          <wp:inline distT="0" distB="0" distL="0" distR="0">
            <wp:extent cx="3152775" cy="2305050"/>
            <wp:effectExtent l="19050" t="0" r="9525" b="0"/>
            <wp:docPr id="11" name="图片 11" descr="C:\Users\Administrator\AppData\Roaming\Tencent\Users\248301485\QQ\WinTemp\RichOle\{58WX{XJ`9N4JU$7MM0KF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Roaming\Tencent\Users\248301485\QQ\WinTemp\RichOle\{58WX{XJ`9N4JU$7MM0KFTA.png"/>
                    <pic:cNvPicPr>
                      <a:picLocks noChangeAspect="1" noChangeArrowheads="1"/>
                    </pic:cNvPicPr>
                  </pic:nvPicPr>
                  <pic:blipFill>
                    <a:blip r:embed="rId10"/>
                    <a:srcRect/>
                    <a:stretch>
                      <a:fillRect/>
                    </a:stretch>
                  </pic:blipFill>
                  <pic:spPr>
                    <a:xfrm>
                      <a:off x="0" y="0"/>
                      <a:ext cx="3152775" cy="2305050"/>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22年一般公共预算财政拨款支出73.54万元，主要用于以下方面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66.03万元，占90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2.29万元，占3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2.31万元，占3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2.91万元，占4</w:t>
      </w:r>
      <w:r>
        <w:rPr>
          <w:rFonts w:ascii="仿宋" w:hAnsi="仿宋" w:eastAsia="仿宋"/>
          <w:sz w:val="32"/>
          <w:szCs w:val="32"/>
        </w:rPr>
        <w:t>%</w:t>
      </w:r>
      <w:r>
        <w:rPr>
          <w:rFonts w:hint="eastAsia" w:ascii="仿宋" w:hAnsi="仿宋" w:eastAsia="仿宋"/>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4019550" cy="2505075"/>
            <wp:effectExtent l="19050" t="0" r="0" b="0"/>
            <wp:docPr id="13" name="图片 13" descr="C:\Users\Administrator\AppData\Roaming\Tencent\Users\248301485\QQ\WinTemp\RichOle\VO$1U(ATX8R(MO1LSSB8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Roaming\Tencent\Users\248301485\QQ\WinTemp\RichOle\VO$1U(ATX8R(MO1LSSB8C@R.png"/>
                    <pic:cNvPicPr>
                      <a:picLocks noChangeAspect="1" noChangeArrowheads="1"/>
                    </pic:cNvPicPr>
                  </pic:nvPicPr>
                  <pic:blipFill>
                    <a:blip r:embed="rId11"/>
                    <a:srcRect/>
                    <a:stretch>
                      <a:fillRect/>
                    </a:stretch>
                  </pic:blipFill>
                  <pic:spPr>
                    <a:xfrm>
                      <a:off x="0" y="0"/>
                      <a:ext cx="4019550" cy="25050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2022年一般公共预算支出决算数为73.54万元</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一般公共服务支出（类）政府办公厅（室）及相关机构事务（款）事业运行（项）</w:t>
      </w:r>
      <w:r>
        <w:rPr>
          <w:rStyle w:val="17"/>
          <w:rFonts w:ascii="仿宋" w:hAnsi="仿宋" w:eastAsia="仿宋"/>
          <w:bCs/>
          <w:sz w:val="32"/>
          <w:szCs w:val="32"/>
        </w:rPr>
        <w:t>:</w:t>
      </w:r>
      <w:r>
        <w:rPr>
          <w:rStyle w:val="17"/>
          <w:rFonts w:hint="eastAsia" w:ascii="仿宋" w:hAnsi="仿宋" w:eastAsia="仿宋"/>
          <w:b w:val="0"/>
          <w:bCs/>
          <w:sz w:val="32"/>
          <w:szCs w:val="32"/>
        </w:rPr>
        <w:t>支出决算为66.03万元，完成预算100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社会保障和就业支出（类）行政事业单位养老支出（款）机关事业单位基本养老保险缴费支出（项）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支出决算为2.29万元，完成预算100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卫生健康支出（类）行政事业单位医疗（款）事业单位医疗（项）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支出决算为2.12万元，完成预算100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bCs/>
          <w:sz w:val="32"/>
          <w:szCs w:val="32"/>
        </w:rPr>
        <w:t>卫生健康支出（类）行政事业单位医疗（款）其他行政事业单位医疗支出（项）</w:t>
      </w:r>
      <w:r>
        <w:rPr>
          <w:rStyle w:val="17"/>
          <w:rFonts w:ascii="仿宋" w:hAnsi="仿宋" w:eastAsia="仿宋"/>
          <w:bCs/>
          <w:sz w:val="32"/>
          <w:szCs w:val="32"/>
        </w:rPr>
        <w:t>:</w:t>
      </w:r>
      <w:r>
        <w:rPr>
          <w:rStyle w:val="17"/>
          <w:rFonts w:hint="eastAsia" w:ascii="仿宋" w:hAnsi="仿宋" w:eastAsia="仿宋"/>
          <w:b w:val="0"/>
          <w:bCs/>
          <w:sz w:val="32"/>
          <w:szCs w:val="32"/>
        </w:rPr>
        <w:t>支出决算为0.19万元，完成预算100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b w:val="0"/>
        </w:rPr>
      </w:pPr>
      <w:r>
        <w:rPr>
          <w:rStyle w:val="17"/>
          <w:rFonts w:ascii="仿宋" w:hAnsi="仿宋" w:eastAsia="仿宋"/>
          <w:bCs/>
          <w:sz w:val="32"/>
          <w:szCs w:val="32"/>
        </w:rPr>
        <w:t>5.</w:t>
      </w:r>
      <w:r>
        <w:rPr>
          <w:rStyle w:val="17"/>
          <w:rFonts w:hint="eastAsia" w:ascii="仿宋" w:hAnsi="仿宋" w:eastAsia="仿宋"/>
          <w:bCs/>
          <w:sz w:val="32"/>
          <w:szCs w:val="32"/>
        </w:rPr>
        <w:t>住房保障支出（类）住房改革支出（款）住房公积金（项）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支出决算为2.91万元，完成预算100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tabs>
          <w:tab w:val="right" w:pos="8306"/>
        </w:tabs>
        <w:spacing w:line="600" w:lineRule="exact"/>
        <w:ind w:firstLine="640"/>
        <w:outlineLvl w:val="1"/>
        <w:rPr>
          <w:rStyle w:val="30"/>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4"/>
      <w:bookmarkEnd w:id="35"/>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22年一般公共预算财政拨款基本支出73.54万元，其中：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人员经费38.21万元，主要包括：基本工资、津贴补贴、绩效工资、机关事业单位基本养老保险缴费、职工基本医疗保险缴费、公务员医疗补助缴费、其他社会保障缴费、其他工资福利支出、住房公积金。</w:t>
      </w:r>
      <w:r>
        <w:rPr>
          <w:rFonts w:ascii="仿宋" w:hAnsi="仿宋" w:eastAsia="仿宋"/>
          <w:sz w:val="32"/>
          <w:szCs w:val="32"/>
        </w:rPr>
        <w:br w:type="textWrapping"/>
      </w:r>
      <w:r>
        <w:rPr>
          <w:rFonts w:hint="eastAsia" w:ascii="仿宋" w:hAnsi="仿宋" w:eastAsia="仿宋"/>
          <w:sz w:val="32"/>
          <w:szCs w:val="32"/>
        </w:rPr>
        <w:t>　　公用经费35.33万元，主要包括：办公费、咨询费、公务接待费、劳务费、委托业务费、工会经费、公务用车运行维护费、办公设备购置。</w:t>
      </w:r>
    </w:p>
    <w:p>
      <w:pPr>
        <w:spacing w:line="600" w:lineRule="exact"/>
        <w:ind w:firstLine="640"/>
        <w:outlineLvl w:val="1"/>
        <w:rPr>
          <w:rStyle w:val="30"/>
          <w:rFonts w:ascii="黑体" w:hAnsi="黑体" w:eastAsia="黑体"/>
          <w:b w:val="0"/>
        </w:rPr>
      </w:pPr>
      <w:bookmarkStart w:id="36" w:name="_Toc15396609"/>
      <w:bookmarkStart w:id="37"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22年“三公”经费财政拨款支出决算为20.2万元，完成预算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，较上年减少18.32万元，下降48%。决算数小于预算数的主要原因是严格公务接待费的管理，同时也保障公务服务专项经费的顺利推进。</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；公务用车购置及运行维护费支出决算0.83万元，占4.11</w:t>
      </w:r>
      <w:r>
        <w:rPr>
          <w:rFonts w:ascii="仿宋" w:hAnsi="仿宋" w:eastAsia="仿宋"/>
          <w:sz w:val="32"/>
          <w:szCs w:val="32"/>
        </w:rPr>
        <w:t>%</w:t>
      </w:r>
      <w:r>
        <w:rPr>
          <w:rFonts w:hint="eastAsia" w:ascii="仿宋" w:hAnsi="仿宋" w:eastAsia="仿宋"/>
          <w:sz w:val="32"/>
          <w:szCs w:val="32"/>
        </w:rPr>
        <w:t>；公务接待费支出决算19.37万元，占95.89</w:t>
      </w:r>
      <w:r>
        <w:rPr>
          <w:rFonts w:ascii="仿宋" w:hAnsi="仿宋" w:eastAsia="仿宋"/>
          <w:sz w:val="32"/>
          <w:szCs w:val="32"/>
        </w:rPr>
        <w:t>%</w:t>
      </w:r>
      <w:r>
        <w:rPr>
          <w:rFonts w:hint="eastAsia" w:ascii="仿宋" w:hAnsi="仿宋" w:eastAsia="仿宋"/>
          <w:sz w:val="32"/>
          <w:szCs w:val="32"/>
        </w:rPr>
        <w:t>。具体情况如下：</w:t>
      </w:r>
    </w:p>
    <w:p>
      <w:pPr>
        <w:widowControl/>
        <w:jc w:val="left"/>
        <w:rPr>
          <w:rFonts w:ascii="宋体" w:hAnsi="宋体" w:cs="宋体"/>
          <w:kern w:val="0"/>
          <w:sz w:val="24"/>
        </w:rPr>
      </w:pPr>
      <w:r>
        <w:rPr>
          <w:rFonts w:ascii="宋体" w:hAnsi="宋体" w:cs="宋体"/>
          <w:kern w:val="0"/>
          <w:sz w:val="24"/>
        </w:rPr>
        <w:drawing>
          <wp:inline distT="0" distB="0" distL="0" distR="0">
            <wp:extent cx="4219575" cy="2647950"/>
            <wp:effectExtent l="19050" t="0" r="9525" b="0"/>
            <wp:docPr id="15" name="图片 15" descr="C:\Users\Administrator\AppData\Roaming\Tencent\Users\248301485\QQ\WinTemp\RichOle\U{ACPK2AD6D9L{FDE8)253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Roaming\Tencent\Users\248301485\QQ\WinTemp\RichOle\U{ACPK2AD6D9L{FDE8)253U.png"/>
                    <pic:cNvPicPr>
                      <a:picLocks noChangeAspect="1" noChangeArrowheads="1"/>
                    </pic:cNvPicPr>
                  </pic:nvPicPr>
                  <pic:blipFill>
                    <a:blip r:embed="rId12"/>
                    <a:srcRect/>
                    <a:stretch>
                      <a:fillRect/>
                    </a:stretch>
                  </pic:blipFill>
                  <pic:spPr>
                    <a:xfrm>
                      <a:off x="0" y="0"/>
                      <a:ext cx="4219575" cy="2647950"/>
                    </a:xfrm>
                    <a:prstGeom prst="rect">
                      <a:avLst/>
                    </a:prstGeom>
                    <a:noFill/>
                    <a:ln w="9525">
                      <a:noFill/>
                      <a:miter lim="800000"/>
                      <a:headEnd/>
                      <a:tailEnd/>
                    </a:ln>
                  </pic:spPr>
                </pic:pic>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 w:hAnsi="仿宋" w:eastAsia="仿宋"/>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Style w:val="17"/>
          <w:rFonts w:hint="eastAsia" w:ascii="仿宋" w:hAnsi="仿宋" w:eastAsia="仿宋"/>
          <w:b w:val="0"/>
          <w:bCs/>
          <w:sz w:val="32"/>
          <w:szCs w:val="32"/>
        </w:rPr>
        <w:t>。</w:t>
      </w:r>
      <w:r>
        <w:rPr>
          <w:rFonts w:hint="eastAsia" w:ascii="仿宋" w:hAnsi="仿宋" w:eastAsia="仿宋"/>
          <w:sz w:val="32"/>
          <w:szCs w:val="32"/>
        </w:rPr>
        <w:t>全年安排因公出国（境）团组0次，出国（境）0人。</w:t>
      </w:r>
    </w:p>
    <w:p>
      <w:pPr>
        <w:spacing w:line="600" w:lineRule="exact"/>
        <w:ind w:firstLine="640"/>
        <w:rPr>
          <w:rFonts w:ascii="仿宋" w:hAnsi="仿宋" w:eastAsia="仿宋"/>
          <w:sz w:val="32"/>
          <w:szCs w:val="32"/>
        </w:rPr>
      </w:pPr>
      <w:r>
        <w:rPr>
          <w:rFonts w:hint="eastAsia" w:ascii="仿宋" w:hAnsi="仿宋" w:eastAsia="仿宋"/>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0.83万元,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 w:hAnsi="仿宋" w:eastAsia="仿宋"/>
          <w:sz w:val="32"/>
          <w:szCs w:val="32"/>
        </w:rPr>
        <w:t>公务用车购置及运行维护费支出决算比</w:t>
      </w:r>
      <w:r>
        <w:rPr>
          <w:rFonts w:ascii="仿宋" w:hAnsi="仿宋" w:eastAsia="仿宋"/>
          <w:sz w:val="32"/>
          <w:szCs w:val="32"/>
        </w:rPr>
        <w:t>20</w:t>
      </w:r>
      <w:r>
        <w:rPr>
          <w:rFonts w:hint="eastAsia" w:ascii="仿宋" w:hAnsi="仿宋" w:eastAsia="仿宋"/>
          <w:sz w:val="32"/>
          <w:szCs w:val="32"/>
        </w:rPr>
        <w:t>21年减少0.47万元，下降36.15</w:t>
      </w:r>
      <w:r>
        <w:rPr>
          <w:rFonts w:ascii="仿宋" w:hAnsi="仿宋" w:eastAsia="仿宋"/>
          <w:sz w:val="32"/>
          <w:szCs w:val="32"/>
        </w:rPr>
        <w:t>%</w:t>
      </w:r>
      <w:r>
        <w:rPr>
          <w:rFonts w:hint="eastAsia" w:ascii="仿宋" w:hAnsi="仿宋" w:eastAsia="仿宋"/>
          <w:sz w:val="32"/>
          <w:szCs w:val="32"/>
        </w:rPr>
        <w:t>。主要原因是本年度车辆修理费减少。</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 w:hAnsi="仿宋" w:eastAsia="仿宋"/>
          <w:sz w:val="32"/>
          <w:szCs w:val="32"/>
        </w:rPr>
        <w:t>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月底，单位共有公务用车1辆，其中：轿车0辆、越野车1辆、载客汽车0辆。</w:t>
      </w:r>
    </w:p>
    <w:p>
      <w:pPr>
        <w:spacing w:line="600" w:lineRule="exact"/>
        <w:ind w:firstLine="640"/>
        <w:rPr>
          <w:rFonts w:ascii="仿宋" w:hAnsi="仿宋" w:eastAsia="仿宋"/>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0.83万元。</w:t>
      </w:r>
      <w:r>
        <w:rPr>
          <w:rFonts w:hint="eastAsia" w:ascii="仿宋" w:hAnsi="仿宋" w:eastAsia="仿宋"/>
          <w:sz w:val="32"/>
          <w:szCs w:val="32"/>
        </w:rPr>
        <w:t>主要用于公务用车燃油、维修、保险等方面支出，主要保障公务接待任务、公务服务专项任务等工作开展。</w:t>
      </w:r>
    </w:p>
    <w:p>
      <w:pPr>
        <w:spacing w:line="600" w:lineRule="exact"/>
        <w:ind w:firstLine="640"/>
        <w:rPr>
          <w:rStyle w:val="17"/>
          <w:rFonts w:ascii="仿宋" w:hAnsi="仿宋" w:eastAsia="仿宋"/>
          <w:bCs/>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19.37万元，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。公务接待费支出决算比</w:t>
      </w:r>
      <w:r>
        <w:rPr>
          <w:rStyle w:val="17"/>
          <w:rFonts w:ascii="仿宋" w:hAnsi="仿宋" w:eastAsia="仿宋"/>
          <w:b w:val="0"/>
          <w:bCs/>
          <w:sz w:val="32"/>
          <w:szCs w:val="32"/>
        </w:rPr>
        <w:t>20</w:t>
      </w:r>
      <w:r>
        <w:rPr>
          <w:rStyle w:val="17"/>
          <w:rFonts w:hint="eastAsia" w:ascii="仿宋" w:hAnsi="仿宋" w:eastAsia="仿宋"/>
          <w:b w:val="0"/>
          <w:bCs/>
          <w:sz w:val="32"/>
          <w:szCs w:val="32"/>
        </w:rPr>
        <w:t>21年减少17.85万元，下降47.95</w:t>
      </w:r>
      <w:r>
        <w:rPr>
          <w:rStyle w:val="17"/>
          <w:rFonts w:ascii="仿宋" w:hAnsi="仿宋" w:eastAsia="仿宋"/>
          <w:b w:val="0"/>
          <w:bCs/>
          <w:sz w:val="32"/>
          <w:szCs w:val="32"/>
        </w:rPr>
        <w:t>%</w:t>
      </w:r>
      <w:r>
        <w:rPr>
          <w:rStyle w:val="17"/>
          <w:rFonts w:hint="eastAsia" w:ascii="仿宋" w:hAnsi="仿宋" w:eastAsia="仿宋"/>
          <w:b w:val="0"/>
          <w:bCs/>
          <w:sz w:val="32"/>
          <w:szCs w:val="32"/>
        </w:rPr>
        <w:t>。主要原因是</w:t>
      </w:r>
      <w:r>
        <w:rPr>
          <w:rFonts w:hint="eastAsia" w:ascii="仿宋" w:hAnsi="仿宋" w:eastAsia="仿宋"/>
          <w:sz w:val="32"/>
          <w:szCs w:val="32"/>
        </w:rPr>
        <w:t>严格公务接待费的管理，同时也保障公务服务专项经费的顺利推进</w:t>
      </w:r>
      <w:r>
        <w:rPr>
          <w:rStyle w:val="17"/>
          <w:rFonts w:hint="eastAsia" w:ascii="仿宋" w:hAnsi="仿宋" w:eastAsia="仿宋"/>
          <w:b w:val="0"/>
          <w:bCs/>
          <w:sz w:val="32"/>
          <w:szCs w:val="32"/>
        </w:rPr>
        <w:t>。其中：</w:t>
      </w:r>
    </w:p>
    <w:p>
      <w:pPr>
        <w:spacing w:line="600" w:lineRule="exact"/>
        <w:ind w:firstLine="640"/>
        <w:rPr>
          <w:rStyle w:val="17"/>
          <w:rFonts w:ascii="仿宋" w:hAnsi="仿宋" w:eastAsia="仿宋"/>
          <w:bCs/>
        </w:rPr>
      </w:pPr>
      <w:r>
        <w:rPr>
          <w:rFonts w:hint="eastAsia" w:ascii="仿宋" w:hAnsi="仿宋" w:eastAsia="仿宋"/>
          <w:b/>
          <w:sz w:val="32"/>
          <w:szCs w:val="32"/>
        </w:rPr>
        <w:t>国内公务接待支出</w:t>
      </w:r>
      <w:r>
        <w:rPr>
          <w:rFonts w:hint="eastAsia" w:ascii="仿宋" w:hAnsi="仿宋" w:eastAsia="仿宋"/>
          <w:sz w:val="32"/>
          <w:szCs w:val="32"/>
        </w:rPr>
        <w:t>19.37</w:t>
      </w:r>
      <w:r>
        <w:rPr>
          <w:rFonts w:hint="eastAsia" w:ascii="仿宋_GB2312" w:eastAsia="仿宋_GB2312"/>
          <w:sz w:val="32"/>
          <w:szCs w:val="32"/>
        </w:rPr>
        <w:t>万元，</w:t>
      </w:r>
      <w:r>
        <w:rPr>
          <w:rStyle w:val="17"/>
          <w:rFonts w:hint="eastAsia" w:ascii="仿宋" w:hAnsi="仿宋" w:eastAsia="仿宋"/>
          <w:b w:val="0"/>
          <w:bCs/>
          <w:sz w:val="32"/>
          <w:szCs w:val="32"/>
        </w:rPr>
        <w:t>主要用于</w:t>
      </w:r>
      <w:r>
        <w:rPr>
          <w:rFonts w:hint="eastAsia" w:ascii="仿宋" w:hAnsi="仿宋" w:eastAsia="仿宋"/>
          <w:sz w:val="32"/>
          <w:szCs w:val="32"/>
        </w:rPr>
        <w:t>区委、区政府</w:t>
      </w:r>
      <w:r>
        <w:rPr>
          <w:rStyle w:val="17"/>
          <w:rFonts w:hint="eastAsia" w:ascii="仿宋" w:hAnsi="仿宋" w:eastAsia="仿宋"/>
          <w:b w:val="0"/>
          <w:bCs/>
          <w:sz w:val="32"/>
          <w:szCs w:val="32"/>
        </w:rPr>
        <w:t>下达的公务接待任务。国内公务接待60批次，3230人次（不包括陪同人员），共计支出19.37万元，具体内容包括：</w:t>
      </w:r>
      <w:r>
        <w:rPr>
          <w:rStyle w:val="17"/>
          <w:rFonts w:ascii="仿宋" w:hAnsi="仿宋" w:eastAsia="仿宋"/>
          <w:b w:val="0"/>
          <w:bCs/>
          <w:sz w:val="32"/>
          <w:szCs w:val="32"/>
        </w:rPr>
        <w:t>协助落实在西区召开的省级及市内大型会议及各项大型重要活动的公务服务工作；负责安排到西区进行投资、洽谈业务等大型活动的服务工作</w:t>
      </w:r>
      <w:r>
        <w:rPr>
          <w:rStyle w:val="17"/>
          <w:rFonts w:hint="eastAsia" w:ascii="仿宋" w:hAnsi="仿宋" w:eastAsia="仿宋"/>
          <w:b w:val="0"/>
          <w:bCs/>
          <w:sz w:val="32"/>
          <w:szCs w:val="32"/>
        </w:rPr>
        <w:t>等。</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外事接待支出</w:t>
      </w:r>
      <w:r>
        <w:rPr>
          <w:rFonts w:hint="eastAsia" w:ascii="仿宋" w:hAnsi="仿宋" w:eastAsia="仿宋"/>
          <w:sz w:val="32"/>
          <w:szCs w:val="32"/>
        </w:rPr>
        <w:t>0万元。外事接待0批次，0人次（不包括陪同人员），共计支出0万元。</w:t>
      </w:r>
      <w:bookmarkStart w:id="40" w:name="_Toc15396610"/>
      <w:bookmarkStart w:id="41" w:name="_Toc15377218"/>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0"/>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22年政府性基金预算财政拨款支出</w:t>
      </w:r>
      <w:r>
        <w:rPr>
          <w:rFonts w:hint="eastAsia" w:ascii="仿宋" w:hAnsi="仿宋" w:eastAsia="仿宋"/>
          <w:sz w:val="32"/>
          <w:szCs w:val="32"/>
          <w:lang w:val="en-US" w:eastAsia="zh-CN"/>
        </w:rPr>
        <w:t>1.44</w:t>
      </w:r>
      <w:r>
        <w:rPr>
          <w:rFonts w:hint="eastAsia" w:ascii="仿宋" w:hAnsi="仿宋" w:eastAsia="仿宋"/>
          <w:sz w:val="32"/>
          <w:szCs w:val="32"/>
        </w:rPr>
        <w:t>万元。</w:t>
      </w:r>
    </w:p>
    <w:p>
      <w:pPr>
        <w:numPr>
          <w:ilvl w:val="0"/>
          <w:numId w:val="3"/>
        </w:numPr>
        <w:spacing w:line="600" w:lineRule="exact"/>
        <w:ind w:firstLine="640"/>
        <w:outlineLvl w:val="1"/>
        <w:rPr>
          <w:rStyle w:val="30"/>
          <w:rFonts w:ascii="黑体" w:hAnsi="黑体" w:eastAsia="黑体"/>
          <w:b w:val="0"/>
        </w:rPr>
      </w:pPr>
      <w:bookmarkStart w:id="42" w:name="_Toc15396611"/>
      <w:bookmarkStart w:id="43" w:name="_Toc15377219"/>
      <w:r>
        <w:rPr>
          <w:rStyle w:val="30"/>
          <w:rFonts w:hint="eastAsia" w:ascii="黑体" w:hAnsi="黑体" w:eastAsia="黑体"/>
          <w:b w:val="0"/>
        </w:rPr>
        <w:t>国有资本经营预算支出决算情况说明</w:t>
      </w:r>
      <w:bookmarkEnd w:id="42"/>
      <w:bookmarkEnd w:id="43"/>
    </w:p>
    <w:p>
      <w:pPr>
        <w:spacing w:line="600" w:lineRule="exact"/>
        <w:ind w:firstLine="640"/>
        <w:rPr>
          <w:rFonts w:ascii="仿宋" w:hAnsi="仿宋" w:eastAsia="仿宋" w:cs="方正小标宋简体"/>
          <w:sz w:val="44"/>
          <w:szCs w:val="44"/>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numPr>
          <w:ilvl w:val="0"/>
          <w:numId w:val="3"/>
        </w:numPr>
        <w:spacing w:line="600" w:lineRule="exact"/>
        <w:ind w:firstLine="640"/>
        <w:outlineLvl w:val="1"/>
        <w:rPr>
          <w:rStyle w:val="30"/>
          <w:rFonts w:ascii="黑体" w:hAnsi="黑体" w:eastAsia="黑体"/>
          <w:b w:val="0"/>
        </w:rPr>
      </w:pPr>
      <w:bookmarkStart w:id="44" w:name="_Toc15396612"/>
      <w:bookmarkStart w:id="45" w:name="_Toc15377221"/>
      <w:r>
        <w:rPr>
          <w:rStyle w:val="30"/>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22年，西区公务服务中心机关运行经费支出0万元。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22年，西区公务服务中心政府采购支出总额0万元，其中：政府采购货物支出0万元、政府采购工程支出0万元、政府采购服务支出0万元。授予中小企业合同金额0万元，占政府采购支出总额的0</w:t>
      </w:r>
      <w:r>
        <w:rPr>
          <w:rFonts w:ascii="仿宋" w:hAnsi="仿宋" w:eastAsia="仿宋"/>
          <w:sz w:val="32"/>
          <w:szCs w:val="32"/>
        </w:rPr>
        <w:t>%</w:t>
      </w:r>
      <w:r>
        <w:rPr>
          <w:rFonts w:hint="eastAsia" w:ascii="仿宋" w:hAnsi="仿宋" w:eastAsia="仿宋"/>
          <w:sz w:val="32"/>
          <w:szCs w:val="32"/>
        </w:rPr>
        <w:t>，其中：授予小微企业合同金额0万元，占政府采购支出总额的0</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日，西区公务服务中心共有车辆1辆，其中：主要领导干部用车0辆、机要通信用车0辆、应急保障用车1辆、其他用车0辆。单价</w:t>
      </w:r>
      <w:r>
        <w:rPr>
          <w:rFonts w:ascii="仿宋" w:hAnsi="仿宋" w:eastAsia="仿宋"/>
          <w:sz w:val="32"/>
          <w:szCs w:val="32"/>
        </w:rPr>
        <w:t>100</w:t>
      </w:r>
      <w:r>
        <w:rPr>
          <w:rFonts w:hint="eastAsia" w:ascii="仿宋" w:hAnsi="仿宋" w:eastAsia="仿宋"/>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 w:hAnsi="仿宋" w:eastAsia="仿宋"/>
          <w:sz w:val="32"/>
          <w:szCs w:val="32"/>
        </w:rPr>
      </w:pPr>
      <w:r>
        <w:rPr>
          <w:rFonts w:hint="eastAsia" w:ascii="仿宋" w:hAnsi="仿宋" w:eastAsia="仿宋"/>
          <w:sz w:val="32"/>
          <w:szCs w:val="32"/>
        </w:rPr>
        <w:t>根据预算绩效管理要求，本部门在2022年度预算编制阶段，组织对</w:t>
      </w:r>
      <w:r>
        <w:rPr>
          <w:rFonts w:ascii="仿宋" w:hAnsi="仿宋" w:eastAsia="仿宋"/>
          <w:sz w:val="32"/>
          <w:szCs w:val="32"/>
        </w:rPr>
        <w:t>带薪年休假经费、住房公积金、在职医疗补助等项目</w:t>
      </w:r>
      <w:r>
        <w:rPr>
          <w:rFonts w:hint="eastAsia" w:ascii="仿宋" w:hAnsi="仿宋" w:eastAsia="仿宋"/>
          <w:sz w:val="32"/>
          <w:szCs w:val="32"/>
        </w:rPr>
        <w:t>等16个项目开展了预算事前绩效评估，对16个项目编制了绩效目标，预算执行过程中，选取16个项目开展绩效监控。</w:t>
      </w:r>
    </w:p>
    <w:p>
      <w:pPr>
        <w:widowControl/>
        <w:ind w:firstLine="640" w:firstLineChars="200"/>
        <w:jc w:val="left"/>
        <w:rPr>
          <w:rFonts w:ascii="仿宋_GB2312" w:eastAsia="仿宋_GB2312"/>
          <w:b/>
          <w:sz w:val="32"/>
          <w:szCs w:val="32"/>
        </w:rPr>
      </w:pPr>
      <w:r>
        <w:rPr>
          <w:rFonts w:hint="eastAsia" w:ascii="仿宋" w:hAnsi="仿宋" w:eastAsia="仿宋"/>
          <w:sz w:val="32"/>
          <w:szCs w:val="32"/>
        </w:rPr>
        <w:t>组织对2022年度一般公共预算、政府性基金预算、全面开展绩效自评，形成西区公务服务中心部门整体（含部门预算项目）绩效自评报告，其中，西区公务服务中心部门整体（含部门预算项目）绩效自评得分为93分，绩效自评综述：支出绩效总体良好，各项目标基本达到了相应时期执行进度，使财政收支预算执行都得到了良好的制度保障和实施效果。</w:t>
      </w: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9"/>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9"/>
          <w:rFonts w:hint="eastAsia" w:ascii="黑体" w:hAnsi="黑体" w:eastAsia="黑体"/>
          <w:b w:val="0"/>
        </w:rPr>
        <w:t>词解释</w:t>
      </w:r>
      <w:bookmarkEnd w:id="49"/>
      <w:bookmarkEnd w:id="50"/>
    </w:p>
    <w:p>
      <w:pPr>
        <w:spacing w:line="600" w:lineRule="exact"/>
        <w:jc w:val="left"/>
        <w:rPr>
          <w:rFonts w:ascii="宋体"/>
          <w:b/>
          <w:sz w:val="44"/>
          <w:szCs w:val="44"/>
        </w:rPr>
      </w:pPr>
    </w:p>
    <w:p>
      <w:pPr>
        <w:pStyle w:val="27"/>
        <w:spacing w:line="56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pPr>
        <w:pStyle w:val="27"/>
        <w:spacing w:line="560" w:lineRule="exact"/>
        <w:ind w:firstLine="640" w:firstLineChars="200"/>
        <w:rPr>
          <w:rFonts w:hAnsi="仿宋"/>
          <w:color w:val="auto"/>
          <w:sz w:val="32"/>
          <w:szCs w:val="32"/>
        </w:rPr>
      </w:pPr>
      <w:r>
        <w:rPr>
          <w:rFonts w:hAnsi="仿宋"/>
          <w:color w:val="auto"/>
          <w:sz w:val="32"/>
          <w:szCs w:val="32"/>
        </w:rPr>
        <w:t>2.</w:t>
      </w:r>
      <w:r>
        <w:rPr>
          <w:rFonts w:hint="eastAsia" w:hAnsi="仿宋"/>
          <w:color w:val="auto"/>
          <w:sz w:val="32"/>
          <w:szCs w:val="32"/>
        </w:rPr>
        <w:t>事业收入：指事业单位开展专业业务活动及辅助活动取得的收入。</w:t>
      </w:r>
    </w:p>
    <w:p>
      <w:pPr>
        <w:pStyle w:val="27"/>
        <w:spacing w:line="560" w:lineRule="exact"/>
        <w:ind w:firstLine="640" w:firstLineChars="200"/>
        <w:rPr>
          <w:rFonts w:hAnsi="仿宋"/>
          <w:color w:val="auto"/>
          <w:sz w:val="32"/>
          <w:szCs w:val="32"/>
        </w:rPr>
      </w:pPr>
      <w:r>
        <w:rPr>
          <w:rFonts w:hAnsi="仿宋"/>
          <w:color w:val="auto"/>
          <w:sz w:val="32"/>
          <w:szCs w:val="32"/>
        </w:rPr>
        <w:t>3.</w:t>
      </w:r>
      <w:r>
        <w:rPr>
          <w:rFonts w:hint="eastAsia" w:hAnsi="仿宋"/>
          <w:color w:val="auto"/>
          <w:sz w:val="32"/>
          <w:szCs w:val="32"/>
        </w:rPr>
        <w:t>经营收入：指事业单位在专业业务活动及其辅助活动之外开展非独立核算经营活动取得的收入。</w:t>
      </w:r>
    </w:p>
    <w:p>
      <w:pPr>
        <w:pStyle w:val="27"/>
        <w:spacing w:line="560" w:lineRule="exact"/>
        <w:ind w:firstLine="640" w:firstLineChars="200"/>
        <w:rPr>
          <w:rFonts w:hAnsi="仿宋"/>
          <w:color w:val="auto"/>
          <w:sz w:val="32"/>
          <w:szCs w:val="32"/>
        </w:rPr>
      </w:pPr>
      <w:r>
        <w:rPr>
          <w:rFonts w:hAnsi="仿宋"/>
          <w:color w:val="auto"/>
          <w:sz w:val="32"/>
          <w:szCs w:val="32"/>
        </w:rPr>
        <w:t>4.</w:t>
      </w:r>
      <w:r>
        <w:rPr>
          <w:rFonts w:hint="eastAsia" w:hAnsi="仿宋"/>
          <w:color w:val="auto"/>
          <w:sz w:val="32"/>
          <w:szCs w:val="32"/>
        </w:rPr>
        <w:t>其他收入：指单位取得的除上述收入以外的各项收入。</w:t>
      </w:r>
    </w:p>
    <w:p>
      <w:pPr>
        <w:pStyle w:val="27"/>
        <w:spacing w:line="560" w:lineRule="exact"/>
        <w:ind w:firstLine="640" w:firstLineChars="200"/>
        <w:rPr>
          <w:rFonts w:hAnsi="仿宋"/>
          <w:color w:val="auto"/>
          <w:sz w:val="32"/>
          <w:szCs w:val="32"/>
        </w:rPr>
      </w:pPr>
      <w:r>
        <w:rPr>
          <w:rFonts w:hAnsi="仿宋"/>
          <w:color w:val="auto"/>
          <w:sz w:val="32"/>
          <w:szCs w:val="32"/>
        </w:rPr>
        <w:t>5.</w:t>
      </w:r>
      <w:r>
        <w:rPr>
          <w:rFonts w:hint="eastAsia" w:hAnsi="仿宋"/>
          <w:color w:val="auto"/>
          <w:sz w:val="32"/>
          <w:szCs w:val="32"/>
        </w:rPr>
        <w:t>使用非财政拨款结余：指事业单位使用以前年度积累的非财政拨款结余弥补当年收支差额的金额。</w:t>
      </w:r>
    </w:p>
    <w:p>
      <w:pPr>
        <w:pStyle w:val="27"/>
        <w:spacing w:line="560" w:lineRule="exact"/>
        <w:ind w:firstLine="640" w:firstLineChars="200"/>
        <w:rPr>
          <w:rFonts w:hAnsi="仿宋"/>
          <w:color w:val="auto"/>
          <w:sz w:val="32"/>
          <w:szCs w:val="32"/>
        </w:rPr>
      </w:pPr>
      <w:r>
        <w:rPr>
          <w:rFonts w:hAnsi="仿宋"/>
          <w:color w:val="auto"/>
          <w:sz w:val="32"/>
          <w:szCs w:val="32"/>
        </w:rPr>
        <w:t>6.</w:t>
      </w:r>
      <w:r>
        <w:rPr>
          <w:rFonts w:hint="eastAsia" w:hAnsi="仿宋"/>
          <w:color w:val="auto"/>
          <w:sz w:val="32"/>
          <w:szCs w:val="32"/>
        </w:rPr>
        <w:t>年初结转和结余：指以前年度尚未完成、结转到本年按有关规定继续使用的资金。</w:t>
      </w:r>
    </w:p>
    <w:p>
      <w:pPr>
        <w:pStyle w:val="27"/>
        <w:spacing w:line="560" w:lineRule="exact"/>
        <w:ind w:firstLine="640" w:firstLineChars="200"/>
        <w:rPr>
          <w:rFonts w:hAnsi="仿宋"/>
          <w:color w:val="auto"/>
          <w:sz w:val="32"/>
          <w:szCs w:val="32"/>
        </w:rPr>
      </w:pPr>
      <w:r>
        <w:rPr>
          <w:rFonts w:hAnsi="仿宋"/>
          <w:color w:val="auto"/>
          <w:sz w:val="32"/>
          <w:szCs w:val="32"/>
        </w:rPr>
        <w:t>7.</w:t>
      </w:r>
      <w:r>
        <w:rPr>
          <w:rFonts w:hint="eastAsia" w:hAnsi="仿宋"/>
          <w:color w:val="auto"/>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hAnsi="仿宋"/>
          <w:color w:val="auto"/>
          <w:sz w:val="32"/>
          <w:szCs w:val="32"/>
        </w:rPr>
      </w:pPr>
      <w:r>
        <w:rPr>
          <w:rFonts w:hAnsi="仿宋"/>
          <w:color w:val="auto"/>
          <w:sz w:val="32"/>
          <w:szCs w:val="32"/>
        </w:rPr>
        <w:t>8</w:t>
      </w:r>
      <w:r>
        <w:rPr>
          <w:rFonts w:hint="eastAsia" w:hAnsi="仿宋"/>
          <w:color w:val="auto"/>
          <w:sz w:val="32"/>
          <w:szCs w:val="32"/>
        </w:rPr>
        <w:t>.年末结转和结余：指单位按有关规定结转到下年或以后年度继续使用的资金。</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cs="仿宋"/>
          <w:kern w:val="0"/>
          <w:sz w:val="32"/>
          <w:szCs w:val="32"/>
        </w:rPr>
        <w:t>一般公共服务支出（类）政府办公厅（室）及相关机构事务（款）事业运行（项）：反映事业单位的基本支出，不包括行政单位（包括实行公务员管理的事业单位）后勤服务中心、医务室等附属事业单位。</w:t>
      </w:r>
    </w:p>
    <w:p>
      <w:pPr>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社会保障和就业支出（类）行政事业单位养老支出（款）机关事业单位基本养老保险缴费支出（项）：指机关事业单位实施养老保险制度有单位缴纳的基本养老保险费支出。</w:t>
      </w:r>
    </w:p>
    <w:p>
      <w:pPr>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卫生健康支出支出（类）行政事业单位医疗支出（款）事业单位医疗（项）：反映财政部门安排的事业单位基本医疗保险缴费经费，未参加医疗保险的事业单位的公费医疗经费，按国家规定享受离休人员待遇的医疗经费。</w:t>
      </w:r>
    </w:p>
    <w:p>
      <w:pPr>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卫生健康支出支出（类）行政事业单位医疗支出（款）其他行政事业单位医疗支出（项）：反映除上述项目以外的其他用于行政事业单位医疗方面的支出。</w:t>
      </w:r>
    </w:p>
    <w:p>
      <w:pPr>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cs="仿宋"/>
          <w:color w:val="000000"/>
          <w:kern w:val="0"/>
          <w:sz w:val="32"/>
          <w:szCs w:val="32"/>
        </w:rPr>
        <w:t>城乡社区支出(类)国有土地使用权出让收入安排的支出(款)土地开发支出(项):反映新疆生产建设兵团和地方政府用于前期土地开发性支出以及与前期土地开发相关的费用等支出</w:t>
      </w:r>
      <w:r>
        <w:rPr>
          <w:rFonts w:hint="eastAsia" w:ascii="仿宋" w:hAnsi="仿宋" w:eastAsia="仿宋"/>
          <w:sz w:val="32"/>
          <w:szCs w:val="32"/>
        </w:rPr>
        <w:t>。</w:t>
      </w:r>
    </w:p>
    <w:p>
      <w:pPr>
        <w:autoSpaceDE w:val="0"/>
        <w:autoSpaceDN w:val="0"/>
        <w:adjustRightInd w:val="0"/>
        <w:spacing w:line="353" w:lineRule="auto"/>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14.</w:t>
      </w:r>
      <w:r>
        <w:rPr>
          <w:rFonts w:hint="eastAsia" w:ascii="仿宋" w:hAnsi="仿宋" w:eastAsia="仿宋"/>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 w:hAnsi="仿宋" w:eastAsia="仿宋"/>
          <w:sz w:val="32"/>
          <w:szCs w:val="32"/>
        </w:rPr>
      </w:pPr>
      <w:r>
        <w:rPr>
          <w:rFonts w:hint="eastAsia" w:ascii="仿宋" w:hAnsi="仿宋" w:eastAsia="仿宋"/>
          <w:sz w:val="32"/>
          <w:szCs w:val="32"/>
        </w:rPr>
        <w:t>15</w:t>
      </w:r>
      <w:r>
        <w:rPr>
          <w:rFonts w:ascii="仿宋" w:hAnsi="仿宋" w:eastAsia="仿宋"/>
          <w:sz w:val="32"/>
          <w:szCs w:val="32"/>
        </w:rPr>
        <w:t>.</w:t>
      </w:r>
      <w:r>
        <w:rPr>
          <w:rFonts w:hint="eastAsia" w:ascii="仿宋" w:hAnsi="仿宋" w:eastAsia="仿宋"/>
          <w:sz w:val="32"/>
          <w:szCs w:val="32"/>
        </w:rPr>
        <w:t>基本支出：指为保障机构正常运转、完成日常工作任务而发生的人员支出和公用支出。</w:t>
      </w:r>
    </w:p>
    <w:p>
      <w:pPr>
        <w:ind w:firstLine="640" w:firstLineChars="200"/>
        <w:rPr>
          <w:rFonts w:ascii="仿宋" w:hAnsi="仿宋" w:eastAsia="仿宋"/>
          <w:sz w:val="32"/>
          <w:szCs w:val="32"/>
        </w:rPr>
      </w:pPr>
      <w:r>
        <w:rPr>
          <w:rFonts w:hint="eastAsia" w:ascii="仿宋" w:hAnsi="仿宋" w:eastAsia="仿宋"/>
          <w:sz w:val="32"/>
          <w:szCs w:val="32"/>
        </w:rPr>
        <w:t>16</w:t>
      </w:r>
      <w:r>
        <w:rPr>
          <w:rFonts w:ascii="仿宋" w:hAnsi="仿宋" w:eastAsia="仿宋"/>
          <w:sz w:val="32"/>
          <w:szCs w:val="32"/>
        </w:rPr>
        <w:t>.</w:t>
      </w:r>
      <w:r>
        <w:rPr>
          <w:rFonts w:hint="eastAsia" w:ascii="仿宋" w:hAnsi="仿宋" w:eastAsia="仿宋"/>
          <w:sz w:val="32"/>
          <w:szCs w:val="32"/>
        </w:rPr>
        <w:t>项目支出：指在基本支出之外为完成特定行政任务和事业发展目标所发生的支出。</w:t>
      </w:r>
    </w:p>
    <w:p>
      <w:pPr>
        <w:ind w:firstLine="640" w:firstLineChars="200"/>
        <w:rPr>
          <w:rFonts w:ascii="仿宋" w:hAnsi="仿宋" w:eastAsia="仿宋"/>
          <w:sz w:val="32"/>
          <w:szCs w:val="32"/>
        </w:rPr>
      </w:pPr>
      <w:r>
        <w:rPr>
          <w:rFonts w:hint="eastAsia" w:ascii="仿宋" w:hAnsi="仿宋" w:eastAsia="仿宋"/>
          <w:sz w:val="32"/>
          <w:szCs w:val="32"/>
        </w:rPr>
        <w:t>17</w:t>
      </w:r>
      <w:r>
        <w:rPr>
          <w:rFonts w:ascii="仿宋" w:hAnsi="仿宋" w:eastAsia="仿宋"/>
          <w:sz w:val="32"/>
          <w:szCs w:val="32"/>
        </w:rPr>
        <w:t>.</w:t>
      </w:r>
      <w:r>
        <w:rPr>
          <w:rFonts w:hint="eastAsia" w:ascii="仿宋" w:hAnsi="仿宋" w:eastAsia="仿宋"/>
          <w:sz w:val="32"/>
          <w:szCs w:val="32"/>
        </w:rPr>
        <w:t>经营支出：指事业单位在专业业务活动及其辅助活动之外开展非独立核算经营活动发生的支出。</w:t>
      </w:r>
    </w:p>
    <w:p>
      <w:pPr>
        <w:pStyle w:val="27"/>
        <w:spacing w:line="560" w:lineRule="exact"/>
        <w:ind w:firstLine="640" w:firstLineChars="200"/>
        <w:rPr>
          <w:rFonts w:hAnsi="仿宋"/>
          <w:color w:val="auto"/>
          <w:sz w:val="32"/>
          <w:szCs w:val="32"/>
        </w:rPr>
      </w:pPr>
      <w:r>
        <w:rPr>
          <w:rFonts w:hint="eastAsia" w:hAnsi="仿宋"/>
          <w:color w:val="auto"/>
          <w:sz w:val="32"/>
          <w:szCs w:val="32"/>
        </w:rPr>
        <w:t>18</w:t>
      </w:r>
      <w:r>
        <w:rPr>
          <w:rFonts w:hAnsi="仿宋"/>
          <w:color w:val="auto"/>
          <w:sz w:val="32"/>
          <w:szCs w:val="32"/>
        </w:rPr>
        <w:t>.</w:t>
      </w:r>
      <w:r>
        <w:rPr>
          <w:rFonts w:hint="eastAsia" w:hAnsi="仿宋"/>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Ansi="仿宋"/>
          <w:color w:val="auto"/>
          <w:sz w:val="32"/>
          <w:szCs w:val="32"/>
        </w:rPr>
      </w:pPr>
      <w:r>
        <w:rPr>
          <w:rFonts w:hint="eastAsia" w:hAnsi="仿宋"/>
          <w:color w:val="auto"/>
          <w:sz w:val="32"/>
          <w:szCs w:val="32"/>
        </w:rPr>
        <w:t>19</w:t>
      </w:r>
      <w:r>
        <w:rPr>
          <w:rFonts w:hAnsi="仿宋"/>
          <w:color w:val="auto"/>
          <w:sz w:val="32"/>
          <w:szCs w:val="32"/>
        </w:rPr>
        <w:t>.</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olor w:val="auto"/>
          <w:sz w:val="32"/>
          <w:szCs w:val="32"/>
        </w:rPr>
      </w:pPr>
    </w:p>
    <w:p>
      <w:pPr>
        <w:pStyle w:val="27"/>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9"/>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9"/>
          <w:rFonts w:hint="eastAsia" w:ascii="黑体" w:hAnsi="黑体" w:eastAsia="黑体"/>
          <w:b w:val="0"/>
        </w:rPr>
        <w:t>四部分 附件</w:t>
      </w:r>
      <w:bookmarkEnd w:id="52"/>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bookmarkStart w:id="67" w:name="_GoBack"/>
      <w:bookmarkEnd w:id="67"/>
      <w:r>
        <w:rPr>
          <w:rFonts w:hint="eastAsia" w:ascii="宋体" w:hAnsi="宋体"/>
          <w:b/>
          <w:sz w:val="32"/>
          <w:szCs w:val="32"/>
          <w:shd w:val="clear" w:color="auto" w:fill="FFFFFF"/>
        </w:rPr>
        <w:t>年区级部门整体绩效评价报告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widowControl/>
        <w:numPr>
          <w:ilvl w:val="0"/>
          <w:numId w:val="5"/>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（一）机构组成。</w:t>
      </w:r>
    </w:p>
    <w:p>
      <w:pPr>
        <w:widowControl/>
        <w:adjustRightInd w:val="0"/>
        <w:snapToGrid w:val="0"/>
        <w:spacing w:line="560" w:lineRule="exact"/>
        <w:ind w:firstLine="640" w:firstLineChars="200"/>
        <w:contextualSpacing/>
        <w:jc w:val="left"/>
        <w:rPr>
          <w:rFonts w:eastAsia="仿宋"/>
          <w:color w:val="000000"/>
          <w:sz w:val="32"/>
          <w:szCs w:val="32"/>
        </w:rPr>
      </w:pPr>
      <w:r>
        <w:rPr>
          <w:rFonts w:ascii="仿宋" w:hAnsi="仿宋" w:eastAsia="仿宋" w:cs="宋体"/>
          <w:color w:val="000000"/>
          <w:kern w:val="0"/>
          <w:sz w:val="32"/>
          <w:szCs w:val="32"/>
          <w:shd w:val="clear" w:color="auto" w:fill="FFFFFF"/>
        </w:rPr>
        <w:t>攀枝花市西区</w:t>
      </w:r>
      <w:r>
        <w:rPr>
          <w:rFonts w:hint="eastAsia" w:ascii="仿宋" w:hAnsi="仿宋" w:eastAsia="仿宋" w:cs="宋体"/>
          <w:color w:val="000000"/>
          <w:kern w:val="0"/>
          <w:sz w:val="32"/>
          <w:szCs w:val="32"/>
          <w:shd w:val="clear" w:color="auto" w:fill="FFFFFF"/>
        </w:rPr>
        <w:t>公务服务中心</w:t>
      </w:r>
      <w:r>
        <w:rPr>
          <w:rFonts w:hint="eastAsia" w:ascii="仿宋" w:hAnsi="仿宋" w:eastAsia="仿宋"/>
          <w:sz w:val="32"/>
          <w:szCs w:val="32"/>
        </w:rPr>
        <w:t>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r>
        <w:rPr>
          <w:rFonts w:hint="eastAsia" w:eastAsia="仿宋"/>
          <w:color w:val="000000"/>
          <w:sz w:val="32"/>
          <w:szCs w:val="32"/>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pPr>
        <w:widowControl/>
        <w:adjustRightInd w:val="0"/>
        <w:snapToGrid w:val="0"/>
        <w:spacing w:line="560" w:lineRule="exact"/>
        <w:ind w:firstLine="640" w:firstLineChars="200"/>
        <w:contextualSpacing/>
        <w:jc w:val="left"/>
        <w:rPr>
          <w:rFonts w:eastAsia="仿宋"/>
          <w:color w:val="000000"/>
          <w:sz w:val="32"/>
          <w:szCs w:val="32"/>
        </w:rPr>
      </w:pPr>
      <w:r>
        <w:rPr>
          <w:rFonts w:hint="eastAsia" w:eastAsia="仿宋"/>
          <w:color w:val="000000"/>
          <w:sz w:val="32"/>
          <w:szCs w:val="32"/>
        </w:rPr>
        <w:t>西区公务服务中心的主要职能：</w:t>
      </w:r>
      <w:r>
        <w:rPr>
          <w:rFonts w:eastAsia="仿宋"/>
          <w:color w:val="000000"/>
          <w:sz w:val="32"/>
          <w:szCs w:val="32"/>
        </w:rPr>
        <w:t>承办区委、区政府领导有关公务服务工作的批示和决定，以及区委、区政府及有关部门转由公务服务中心办理的事项；完成区委、区人大、区政府、区政协四大班子及友邻市、县（区）来西区考察工作的公务服务工作；负责区内公务服务的组织、协调、指导、检查、督促，对区属各部门、各乡镇公务服务工作进行业务指导；协助落实在西区召开的省级及市内大型会议及各项大型重要活动的公务服务工作；负责安排到西区进行投资、洽谈业务等大型活动的服务工作</w:t>
      </w:r>
    </w:p>
    <w:p>
      <w:pPr>
        <w:pStyle w:val="2"/>
        <w:spacing w:before="93"/>
        <w:rPr>
          <w:lang w:val="zh-CN"/>
        </w:rPr>
      </w:pPr>
      <w:r>
        <w:rPr>
          <w:rFonts w:hint="eastAsia"/>
          <w:lang w:val="zh-CN"/>
        </w:rPr>
        <w:t xml:space="preserve">  </w:t>
      </w:r>
      <w:r>
        <w:rPr>
          <w:rFonts w:hint="eastAsia" w:ascii="Times New Roman" w:eastAsia="仿宋"/>
          <w:color w:val="000000"/>
          <w:kern w:val="2"/>
          <w:sz w:val="32"/>
          <w:szCs w:val="32"/>
        </w:rPr>
        <w:t xml:space="preserve">  在职事业编制数</w:t>
      </w:r>
      <w:r>
        <w:rPr>
          <w:rFonts w:hint="eastAsia" w:ascii="Times New Roman" w:eastAsia="仿宋"/>
          <w:color w:val="000000"/>
          <w:kern w:val="2"/>
          <w:sz w:val="32"/>
          <w:szCs w:val="32"/>
          <w:lang w:val="en-US" w:eastAsia="zh-CN"/>
        </w:rPr>
        <w:t>4</w:t>
      </w:r>
      <w:r>
        <w:rPr>
          <w:rFonts w:hint="eastAsia" w:ascii="Times New Roman" w:eastAsia="仿宋"/>
          <w:color w:val="000000"/>
          <w:kern w:val="2"/>
          <w:sz w:val="32"/>
          <w:szCs w:val="32"/>
        </w:rPr>
        <w:t>人，实有人数3人。临聘人员编制数3人，实有人数3人。</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spacing w:line="353" w:lineRule="auto"/>
        <w:ind w:left="643"/>
        <w:rPr>
          <w:rFonts w:eastAsia="仿宋"/>
          <w:color w:val="000000"/>
          <w:sz w:val="32"/>
          <w:szCs w:val="32"/>
        </w:rPr>
      </w:pPr>
      <w:r>
        <w:rPr>
          <w:rFonts w:hint="eastAsia" w:eastAsia="仿宋"/>
          <w:color w:val="000000"/>
          <w:sz w:val="32"/>
          <w:szCs w:val="32"/>
        </w:rPr>
        <w:t>1.</w:t>
      </w:r>
      <w:r>
        <w:rPr>
          <w:rFonts w:eastAsia="仿宋"/>
          <w:color w:val="000000"/>
          <w:sz w:val="32"/>
          <w:szCs w:val="32"/>
        </w:rPr>
        <w:t>日常接待工作完成情况</w:t>
      </w:r>
    </w:p>
    <w:p>
      <w:pPr>
        <w:spacing w:line="353" w:lineRule="auto"/>
        <w:ind w:firstLine="640" w:firstLineChars="200"/>
        <w:rPr>
          <w:rFonts w:eastAsia="仿宋"/>
          <w:color w:val="000000"/>
          <w:sz w:val="32"/>
          <w:szCs w:val="32"/>
        </w:rPr>
      </w:pPr>
      <w:r>
        <w:rPr>
          <w:rFonts w:eastAsia="仿宋"/>
          <w:color w:val="000000"/>
          <w:sz w:val="32"/>
          <w:szCs w:val="32"/>
        </w:rPr>
        <w:t>截至目前，区公务服务中心独立接待各级领导及来宾127批127次。其中，公务接待60批60次，商务接待67批67次。指导区级部门接待及配合完成重要招商引资接待15余次。配合完成全市2022年二季度“项目攻坚突破年”竞进拉练活动。</w:t>
      </w:r>
    </w:p>
    <w:p>
      <w:pPr>
        <w:spacing w:line="353" w:lineRule="auto"/>
        <w:ind w:firstLine="640" w:firstLineChars="200"/>
        <w:rPr>
          <w:rFonts w:eastAsia="仿宋"/>
          <w:color w:val="000000"/>
          <w:sz w:val="32"/>
          <w:szCs w:val="32"/>
        </w:rPr>
      </w:pPr>
      <w:r>
        <w:rPr>
          <w:rFonts w:hint="eastAsia" w:eastAsia="仿宋"/>
          <w:color w:val="000000"/>
          <w:sz w:val="32"/>
          <w:szCs w:val="32"/>
        </w:rPr>
        <w:t>2.</w:t>
      </w:r>
      <w:r>
        <w:rPr>
          <w:rFonts w:eastAsia="仿宋"/>
          <w:color w:val="000000"/>
          <w:sz w:val="32"/>
          <w:szCs w:val="32"/>
        </w:rPr>
        <w:t>加强理论学习，提高政治站位 </w:t>
      </w:r>
    </w:p>
    <w:p>
      <w:pPr>
        <w:widowControl/>
        <w:spacing w:line="353" w:lineRule="auto"/>
        <w:ind w:firstLine="640" w:firstLineChars="200"/>
        <w:rPr>
          <w:rFonts w:eastAsia="仿宋"/>
          <w:color w:val="000000"/>
          <w:sz w:val="32"/>
          <w:szCs w:val="32"/>
        </w:rPr>
      </w:pPr>
      <w:r>
        <w:rPr>
          <w:rFonts w:eastAsia="仿宋"/>
          <w:color w:val="000000"/>
          <w:sz w:val="32"/>
          <w:szCs w:val="32"/>
        </w:rPr>
        <w:t>一是持续学习党的二十大精神，充分认识党的二十大的历史性贡献和重大意义，深刻领会党的二十大精神的丰富内涵和核心要义，切实把思想认识统一到党的二十大精神上来。二是深入贯彻习近平总书记来川视察重要指示精神，围绕市委“一三三三”总体发展战略，聚焦“攀西工业强区”“山水灵秀新城”建设目标和“六个提升、六项变革”重点任务，站在全力促进西区经济社会发展的高度来思考问题、开展工作，通过认真主动、热情、细致的接待服务，展示西区良好的投资环境，展示西区人真诚友善合作的对外形象。三是积极开展保密教育线上培训活动，将学习教育内容与工作实际结合，持续提升干部职工做好新时代保密工作的责任感使命感。四是认真推进国家工作人员学法考法工作，进一步落实国家工作人员学法用法制度，自觉提高政治站位，着力提升干部依法决策、依法管理、依法办事的能力和水平。</w:t>
      </w:r>
    </w:p>
    <w:p>
      <w:pPr>
        <w:spacing w:line="353" w:lineRule="auto"/>
        <w:ind w:firstLine="640" w:firstLineChars="200"/>
        <w:rPr>
          <w:rFonts w:eastAsia="仿宋"/>
          <w:color w:val="000000"/>
          <w:sz w:val="32"/>
          <w:szCs w:val="32"/>
        </w:rPr>
      </w:pPr>
      <w:r>
        <w:rPr>
          <w:rFonts w:hint="eastAsia" w:eastAsia="仿宋"/>
          <w:color w:val="000000"/>
          <w:sz w:val="32"/>
          <w:szCs w:val="32"/>
        </w:rPr>
        <w:t>3.</w:t>
      </w:r>
      <w:r>
        <w:rPr>
          <w:rFonts w:eastAsia="仿宋"/>
          <w:color w:val="000000"/>
          <w:sz w:val="32"/>
          <w:szCs w:val="32"/>
        </w:rPr>
        <w:t>强化内部管理，抓好制度落实</w:t>
      </w:r>
    </w:p>
    <w:p>
      <w:pPr>
        <w:widowControl/>
        <w:spacing w:line="353" w:lineRule="auto"/>
        <w:ind w:firstLine="640" w:firstLineChars="200"/>
        <w:rPr>
          <w:rFonts w:eastAsia="仿宋"/>
          <w:color w:val="000000"/>
          <w:sz w:val="32"/>
          <w:szCs w:val="32"/>
        </w:rPr>
      </w:pPr>
      <w:r>
        <w:rPr>
          <w:rFonts w:eastAsia="仿宋"/>
          <w:color w:val="000000"/>
          <w:sz w:val="32"/>
          <w:szCs w:val="32"/>
        </w:rPr>
        <w:t>一是严肃财经纪律，规范财务行为，合理有效使用资金，把中央八项规定和省市区“十项规定”及其实施细则要求贯穿于工作之中；二是对照《中共攀枝花市委办公室关于省正风肃纪督察组排查清理我市接待工作整改情况报告》反馈进一步规范接待相关程序，以审批严格、程序严密为要求做好接待工作；三是深入解读《攀枝花市人民政府办公室关于进一步规范商务接待工作有关事项的通知》文件要求，加强商务接待管理并进一步完善我中心的商务接待清单；四是深入贯彻党中央、国务院关于党政机关“过紧日子”的要求，按照财政厅和市财政局关于进一步压减“三公”经费的工作部署、《攀枝花市财政局关于进一步加强“三公”经费管理的通知》和《2022年攀枝花市西区“三公”经费压减工作方案》文件要求要求，严格接待标准，控制接待费支出，厉行勤俭节约，加强支出事项必要性、合理性审核，努力节约相关经费开支。四是以内部制度建设为抓手，新建和完善了《公文收发管理制度》、《财务管理制度》、《职工考勤及请销假制度》、《学习制度》等各项内部管理制度，各项规章制度的完善，规范了内部管理，提高了工作效率，加强了内部的监管。</w:t>
      </w:r>
    </w:p>
    <w:p>
      <w:pPr>
        <w:spacing w:line="353" w:lineRule="auto"/>
        <w:ind w:firstLine="640" w:firstLineChars="200"/>
        <w:rPr>
          <w:rFonts w:eastAsia="仿宋"/>
          <w:color w:val="000000"/>
          <w:sz w:val="32"/>
          <w:szCs w:val="32"/>
        </w:rPr>
      </w:pPr>
      <w:r>
        <w:rPr>
          <w:rFonts w:eastAsia="仿宋"/>
          <w:color w:val="000000"/>
          <w:sz w:val="32"/>
          <w:szCs w:val="32"/>
        </w:rPr>
        <w:t xml:space="preserve"> </w:t>
      </w:r>
      <w:r>
        <w:rPr>
          <w:rFonts w:hint="eastAsia" w:eastAsia="仿宋"/>
          <w:color w:val="000000"/>
          <w:sz w:val="32"/>
          <w:szCs w:val="32"/>
        </w:rPr>
        <w:t>4.</w:t>
      </w:r>
      <w:r>
        <w:rPr>
          <w:rFonts w:eastAsia="仿宋"/>
          <w:color w:val="000000"/>
          <w:sz w:val="32"/>
          <w:szCs w:val="32"/>
        </w:rPr>
        <w:t>加强廉政教育，筑牢思想防线</w:t>
      </w:r>
    </w:p>
    <w:p>
      <w:pPr>
        <w:widowControl/>
        <w:adjustRightInd w:val="0"/>
        <w:snapToGrid w:val="0"/>
        <w:spacing w:line="560" w:lineRule="exact"/>
        <w:ind w:firstLine="640" w:firstLineChars="200"/>
        <w:contextualSpacing/>
        <w:jc w:val="left"/>
        <w:rPr>
          <w:rFonts w:eastAsia="仿宋"/>
          <w:color w:val="000000"/>
          <w:sz w:val="32"/>
          <w:szCs w:val="32"/>
        </w:rPr>
      </w:pPr>
      <w:r>
        <w:rPr>
          <w:rFonts w:eastAsia="仿宋"/>
          <w:color w:val="000000"/>
          <w:sz w:val="32"/>
          <w:szCs w:val="32"/>
        </w:rPr>
        <w:t>一是认真落实全省正风肃纪专项督查以及“吃公函”问题排查清理等各项工作，对照梳理，自查自纠。通过抓源头预防，抓警示教育，加强接待监督以便及时发现各种苗头性、倾向性问题。二是定期召开全体职工会议，及时传达上级有关廉政建设要求和文件精神。增强全局观念，坚定政治立场，严明工作纪律，明确工作方向，以加强教育促进接待廉洁化。三是对新进工作人员实行岗前廉政谈话，岗前培训，引导其树牢廉洁自律意识，端正工作作风，严格遵守廉洁自律各项规定，廉洁高效的开展和完成好工作。四是充分利用违纪违法案件开展警示教育，用身边人身边事教育干部职工。做到警钟长鸣，守住底线，把纪律挺在前头，切实筑牢拒腐防变的意识和能力</w:t>
      </w:r>
      <w:r>
        <w:rPr>
          <w:rFonts w:hint="eastAsia" w:eastAsia="仿宋"/>
          <w:color w:val="000000"/>
          <w:sz w:val="32"/>
          <w:szCs w:val="32"/>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ind w:firstLine="640" w:firstLineChars="200"/>
        <w:rPr>
          <w:lang w:val="zh-CN"/>
        </w:rPr>
      </w:pPr>
      <w:r>
        <w:rPr>
          <w:rFonts w:eastAsia="仿宋"/>
          <w:color w:val="000000"/>
          <w:sz w:val="32"/>
          <w:szCs w:val="32"/>
        </w:rPr>
        <w:t>严格预算支出管理。在支出预算编制上，人员经费按照配置定额，逐人核定编制，公用经费分类分档，按定额编制；根据“总量控制、计划管理”的要求从严控制行政经费，压缩公务费开支，严格控制“三公”经费，按照预算科目和项目资金的规定使用财政资金，保障部门整体支出的规范化、制度化。</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pStyle w:val="8"/>
        <w:spacing w:line="560" w:lineRule="exact"/>
        <w:ind w:firstLine="640" w:firstLineChars="200"/>
        <w:rPr>
          <w:rFonts w:ascii="Times New Roman" w:eastAsia="仿宋"/>
          <w:color w:val="000000"/>
          <w:spacing w:val="0"/>
        </w:rPr>
      </w:pPr>
      <w:r>
        <w:rPr>
          <w:rFonts w:ascii="Times New Roman" w:eastAsia="仿宋"/>
          <w:color w:val="000000"/>
          <w:spacing w:val="0"/>
        </w:rPr>
        <w:t>202</w:t>
      </w:r>
      <w:r>
        <w:rPr>
          <w:rFonts w:hint="eastAsia" w:ascii="Times New Roman" w:eastAsia="仿宋"/>
          <w:color w:val="000000"/>
          <w:spacing w:val="0"/>
        </w:rPr>
        <w:t>2</w:t>
      </w:r>
      <w:r>
        <w:rPr>
          <w:rFonts w:ascii="Times New Roman" w:eastAsia="仿宋"/>
          <w:color w:val="000000"/>
          <w:spacing w:val="0"/>
        </w:rPr>
        <w:t>年度，攀枝花市</w:t>
      </w:r>
      <w:r>
        <w:rPr>
          <w:rFonts w:hint="eastAsia" w:ascii="Times New Roman" w:eastAsia="仿宋"/>
          <w:color w:val="000000"/>
          <w:spacing w:val="0"/>
        </w:rPr>
        <w:t>西区公务服务中心年初结转资金0万元。当年财政拨款收入74.98万元 。</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widowControl/>
        <w:adjustRightInd w:val="0"/>
        <w:snapToGrid w:val="0"/>
        <w:spacing w:line="560" w:lineRule="exact"/>
        <w:ind w:firstLine="640" w:firstLineChars="200"/>
        <w:contextualSpacing/>
        <w:jc w:val="left"/>
        <w:rPr>
          <w:rFonts w:eastAsia="仿宋"/>
          <w:color w:val="000000"/>
          <w:sz w:val="32"/>
          <w:szCs w:val="32"/>
        </w:rPr>
      </w:pPr>
      <w:r>
        <w:rPr>
          <w:rFonts w:eastAsia="仿宋"/>
          <w:color w:val="000000"/>
          <w:sz w:val="32"/>
          <w:szCs w:val="32"/>
        </w:rPr>
        <w:t>202</w:t>
      </w:r>
      <w:r>
        <w:rPr>
          <w:rFonts w:hint="eastAsia" w:eastAsia="仿宋"/>
          <w:color w:val="000000"/>
          <w:sz w:val="32"/>
          <w:szCs w:val="32"/>
        </w:rPr>
        <w:t>2</w:t>
      </w:r>
      <w:r>
        <w:rPr>
          <w:rFonts w:eastAsia="仿宋"/>
          <w:color w:val="000000"/>
          <w:sz w:val="32"/>
          <w:szCs w:val="32"/>
        </w:rPr>
        <w:t>年度，攀枝花市</w:t>
      </w:r>
      <w:r>
        <w:rPr>
          <w:rFonts w:hint="eastAsia" w:eastAsia="仿宋"/>
          <w:color w:val="000000"/>
          <w:sz w:val="32"/>
          <w:szCs w:val="32"/>
        </w:rPr>
        <w:t>西区公务服务中心财政资金支出74.98万元，</w:t>
      </w:r>
      <w:r>
        <w:rPr>
          <w:rFonts w:eastAsia="仿宋"/>
          <w:color w:val="000000"/>
          <w:sz w:val="32"/>
          <w:szCs w:val="32"/>
        </w:rPr>
        <w:t>基本支出</w:t>
      </w:r>
      <w:r>
        <w:rPr>
          <w:rFonts w:hint="eastAsia" w:eastAsia="仿宋"/>
          <w:color w:val="000000"/>
          <w:sz w:val="32"/>
          <w:szCs w:val="32"/>
        </w:rPr>
        <w:t>73.54</w:t>
      </w:r>
      <w:r>
        <w:rPr>
          <w:rFonts w:eastAsia="仿宋"/>
          <w:color w:val="000000"/>
          <w:sz w:val="32"/>
          <w:szCs w:val="32"/>
        </w:rPr>
        <w:t>万元，</w:t>
      </w:r>
      <w:r>
        <w:rPr>
          <w:rFonts w:hint="eastAsia" w:eastAsia="仿宋"/>
          <w:color w:val="000000"/>
          <w:sz w:val="32"/>
          <w:szCs w:val="32"/>
        </w:rPr>
        <w:t>项目支出1.44万元。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widowControl/>
        <w:adjustRightInd w:val="0"/>
        <w:snapToGrid w:val="0"/>
        <w:spacing w:line="560" w:lineRule="exact"/>
        <w:ind w:firstLine="640" w:firstLineChars="200"/>
        <w:contextualSpacing/>
        <w:jc w:val="left"/>
        <w:rPr>
          <w:rFonts w:eastAsia="仿宋"/>
          <w:color w:val="000000"/>
          <w:sz w:val="32"/>
          <w:szCs w:val="32"/>
        </w:rPr>
      </w:pPr>
      <w:r>
        <w:rPr>
          <w:rFonts w:hint="eastAsia" w:eastAsia="仿宋"/>
          <w:color w:val="000000"/>
          <w:sz w:val="32"/>
          <w:szCs w:val="32"/>
        </w:rPr>
        <w:t>2022年年末无结转和结余。</w:t>
      </w:r>
    </w:p>
    <w:p>
      <w:pPr>
        <w:widowControl/>
        <w:adjustRightInd w:val="0"/>
        <w:snapToGrid w:val="0"/>
        <w:spacing w:line="560" w:lineRule="exact"/>
        <w:ind w:firstLine="643" w:firstLineChars="200"/>
        <w:contextualSpacing/>
        <w:jc w:val="left"/>
        <w:rPr>
          <w:rFonts w:eastAsia="仿宋"/>
          <w:color w:val="000000"/>
          <w:sz w:val="32"/>
          <w:szCs w:val="32"/>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widowControl/>
        <w:adjustRightInd w:val="0"/>
        <w:snapToGrid w:val="0"/>
        <w:spacing w:line="560" w:lineRule="exact"/>
        <w:ind w:firstLine="640" w:firstLineChars="200"/>
        <w:contextualSpacing/>
        <w:jc w:val="left"/>
        <w:rPr>
          <w:rFonts w:eastAsia="仿宋"/>
          <w:color w:val="000000"/>
          <w:sz w:val="32"/>
          <w:szCs w:val="32"/>
        </w:rPr>
      </w:pPr>
      <w:r>
        <w:rPr>
          <w:rFonts w:hint="eastAsia" w:eastAsia="仿宋"/>
          <w:color w:val="000000"/>
          <w:sz w:val="32"/>
          <w:szCs w:val="32"/>
        </w:rPr>
        <w:t>2022年财政拨款收入为73.54万元。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widowControl/>
        <w:adjustRightInd w:val="0"/>
        <w:snapToGrid w:val="0"/>
        <w:spacing w:line="560" w:lineRule="exact"/>
        <w:ind w:firstLine="640" w:firstLineChars="200"/>
        <w:contextualSpacing/>
        <w:jc w:val="left"/>
        <w:rPr>
          <w:rFonts w:eastAsia="仿宋"/>
          <w:color w:val="000000"/>
          <w:sz w:val="32"/>
          <w:szCs w:val="32"/>
        </w:rPr>
      </w:pPr>
      <w:r>
        <w:rPr>
          <w:rFonts w:hint="eastAsia" w:eastAsia="仿宋"/>
          <w:color w:val="000000"/>
          <w:sz w:val="32"/>
          <w:szCs w:val="32"/>
        </w:rPr>
        <w:t>2022年财政拨款支出为73.54万元，年终预算执行进度达到100%。</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widowControl/>
        <w:adjustRightInd w:val="0"/>
        <w:snapToGrid w:val="0"/>
        <w:spacing w:line="560" w:lineRule="exact"/>
        <w:ind w:firstLine="640" w:firstLineChars="200"/>
        <w:contextualSpacing/>
        <w:jc w:val="left"/>
        <w:rPr>
          <w:rFonts w:eastAsia="仿宋"/>
          <w:color w:val="000000"/>
          <w:sz w:val="32"/>
          <w:szCs w:val="32"/>
        </w:rPr>
      </w:pPr>
      <w:r>
        <w:rPr>
          <w:rFonts w:hint="eastAsia" w:eastAsia="仿宋"/>
          <w:color w:val="000000"/>
          <w:sz w:val="32"/>
          <w:szCs w:val="32"/>
        </w:rPr>
        <w:t>年末结转和结余资金均为零，各预算项目资金结余率均为零。</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0" w:firstLineChars="200"/>
        <w:contextualSpacing/>
        <w:jc w:val="left"/>
        <w:rPr>
          <w:rFonts w:ascii="楷体_GB2312" w:hAnsi="楷体_GB2312" w:eastAsia="楷体_GB2312" w:cs="楷体_GB2312"/>
          <w:b/>
          <w:bCs/>
          <w:kern w:val="0"/>
          <w:sz w:val="32"/>
          <w:szCs w:val="32"/>
          <w:shd w:val="clear" w:color="auto" w:fill="FFFFFF"/>
          <w:lang w:val="zh-CN"/>
        </w:rPr>
      </w:pPr>
      <w:r>
        <w:rPr>
          <w:rFonts w:eastAsia="仿宋"/>
          <w:color w:val="000000"/>
          <w:sz w:val="32"/>
          <w:szCs w:val="32"/>
        </w:rPr>
        <w:t>严格预算支出管理。在支出预算编制上，人员经费按照配置定额，逐人核定编制，公用经费分类分档，按定额编制；根据“总量控制、计划管理”的要求从严控制行政经费，压缩公务费开支，严格控制“三公”经费，按照预算科目和项目资金的规定使用财政资金，保障部门整体支出的规范化、制度化</w:t>
      </w:r>
      <w:r>
        <w:rPr>
          <w:rFonts w:hint="eastAsia" w:eastAsia="仿宋"/>
          <w:color w:val="000000"/>
          <w:sz w:val="32"/>
          <w:szCs w:val="32"/>
        </w:rPr>
        <w:t>。</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rPr>
      </w:pPr>
      <w:r>
        <w:rPr>
          <w:rFonts w:ascii="仿宋" w:hAnsi="仿宋" w:eastAsia="仿宋"/>
          <w:sz w:val="32"/>
          <w:szCs w:val="32"/>
        </w:rPr>
        <w:t>2022年及时准确核算发放在职人员的工资和各项待遇，共支出人员经费</w:t>
      </w:r>
      <w:r>
        <w:rPr>
          <w:rFonts w:hint="eastAsia" w:ascii="仿宋" w:hAnsi="仿宋" w:eastAsia="仿宋"/>
          <w:sz w:val="32"/>
          <w:szCs w:val="32"/>
        </w:rPr>
        <w:t>38.21</w:t>
      </w:r>
      <w:r>
        <w:rPr>
          <w:rFonts w:ascii="仿宋" w:hAnsi="仿宋" w:eastAsia="仿宋"/>
          <w:sz w:val="32"/>
          <w:szCs w:val="32"/>
        </w:rPr>
        <w:t>万元，主要包括：基本工资、津贴补贴、</w:t>
      </w:r>
      <w:r>
        <w:rPr>
          <w:rFonts w:hint="eastAsia" w:ascii="仿宋" w:hAnsi="仿宋" w:eastAsia="仿宋"/>
          <w:sz w:val="32"/>
          <w:szCs w:val="32"/>
        </w:rPr>
        <w:t>绩效工资</w:t>
      </w:r>
      <w:r>
        <w:rPr>
          <w:rFonts w:ascii="仿宋" w:hAnsi="仿宋" w:eastAsia="仿宋"/>
          <w:sz w:val="32"/>
          <w:szCs w:val="32"/>
        </w:rPr>
        <w:t>、机关事业单位基本养老保险缴费、其他社会保障缴费、其他工资福利支出、医疗费补助、住房公积金支出</w:t>
      </w:r>
      <w:r>
        <w:rPr>
          <w:rFonts w:hint="eastAsia" w:ascii="仿宋" w:hAnsi="仿宋" w:eastAsia="仿宋" w:cs="仿宋_GB2312"/>
          <w:kern w:val="0"/>
          <w:sz w:val="32"/>
          <w:szCs w:val="32"/>
          <w:shd w:val="clear" w:color="auto" w:fill="FFFFFF"/>
          <w:lang w:val="zh-CN"/>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2022年贯彻</w:t>
      </w:r>
      <w:r>
        <w:rPr>
          <w:rFonts w:hint="eastAsia" w:ascii="仿宋" w:hAnsi="仿宋" w:eastAsia="仿宋"/>
          <w:sz w:val="32"/>
          <w:szCs w:val="32"/>
        </w:rPr>
        <w:t>区</w:t>
      </w:r>
      <w:r>
        <w:rPr>
          <w:rFonts w:ascii="仿宋" w:hAnsi="仿宋" w:eastAsia="仿宋"/>
          <w:sz w:val="32"/>
          <w:szCs w:val="32"/>
        </w:rPr>
        <w:t>委、</w:t>
      </w:r>
      <w:r>
        <w:rPr>
          <w:rFonts w:hint="eastAsia" w:ascii="仿宋" w:hAnsi="仿宋" w:eastAsia="仿宋"/>
          <w:sz w:val="32"/>
          <w:szCs w:val="32"/>
        </w:rPr>
        <w:t>区</w:t>
      </w:r>
      <w:r>
        <w:rPr>
          <w:rFonts w:ascii="仿宋" w:hAnsi="仿宋" w:eastAsia="仿宋"/>
          <w:sz w:val="32"/>
          <w:szCs w:val="32"/>
        </w:rPr>
        <w:t>政府过紧日子要求，按照厉行节约原则，严格控制“三公经费”支出，强化支出及项目绩效管理，保证机关单位的正常运转，按照规定使用日常公用经费</w:t>
      </w:r>
      <w:r>
        <w:rPr>
          <w:rFonts w:hint="eastAsia" w:ascii="仿宋" w:hAnsi="仿宋" w:eastAsia="仿宋"/>
          <w:sz w:val="32"/>
          <w:szCs w:val="32"/>
        </w:rPr>
        <w:t>35.33</w:t>
      </w:r>
      <w:r>
        <w:rPr>
          <w:rFonts w:ascii="仿宋" w:hAnsi="仿宋" w:eastAsia="仿宋"/>
          <w:sz w:val="32"/>
          <w:szCs w:val="32"/>
        </w:rPr>
        <w:t>万元，主要包括：办公费、</w:t>
      </w:r>
      <w:r>
        <w:rPr>
          <w:rFonts w:hint="eastAsia" w:ascii="仿宋" w:hAnsi="仿宋" w:eastAsia="仿宋"/>
          <w:sz w:val="32"/>
          <w:szCs w:val="32"/>
        </w:rPr>
        <w:t>咨询</w:t>
      </w:r>
      <w:r>
        <w:rPr>
          <w:rFonts w:ascii="仿宋" w:hAnsi="仿宋" w:eastAsia="仿宋"/>
          <w:sz w:val="32"/>
          <w:szCs w:val="32"/>
        </w:rPr>
        <w:t>费、公务接待费、劳务费、委托业务费、工会经费、公务用车运行维护费</w:t>
      </w:r>
      <w:r>
        <w:rPr>
          <w:rFonts w:hint="eastAsia" w:ascii="仿宋" w:hAnsi="仿宋" w:eastAsia="仿宋"/>
          <w:sz w:val="32"/>
          <w:szCs w:val="32"/>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ascii="仿宋" w:hAnsi="仿宋" w:eastAsia="仿宋"/>
          <w:sz w:val="32"/>
          <w:szCs w:val="32"/>
        </w:rPr>
        <w:t>2022年特定目标类部门预算项目</w:t>
      </w:r>
      <w:r>
        <w:rPr>
          <w:rFonts w:hint="eastAsia" w:ascii="仿宋" w:hAnsi="仿宋" w:eastAsia="仿宋"/>
          <w:sz w:val="32"/>
          <w:szCs w:val="32"/>
        </w:rPr>
        <w:t>1</w:t>
      </w:r>
      <w:r>
        <w:rPr>
          <w:rFonts w:ascii="仿宋" w:hAnsi="仿宋" w:eastAsia="仿宋"/>
          <w:sz w:val="32"/>
          <w:szCs w:val="32"/>
        </w:rPr>
        <w:t>项，其中，2022年初安排项目预算</w:t>
      </w:r>
      <w:r>
        <w:rPr>
          <w:rFonts w:hint="eastAsia" w:ascii="仿宋" w:hAnsi="仿宋" w:eastAsia="仿宋"/>
          <w:sz w:val="32"/>
          <w:szCs w:val="32"/>
        </w:rPr>
        <w:t>1.44</w:t>
      </w:r>
      <w:r>
        <w:rPr>
          <w:rFonts w:ascii="仿宋" w:hAnsi="仿宋" w:eastAsia="仿宋"/>
          <w:sz w:val="32"/>
          <w:szCs w:val="32"/>
        </w:rPr>
        <w:t>元，实际支出</w:t>
      </w:r>
      <w:r>
        <w:rPr>
          <w:rFonts w:hint="eastAsia" w:ascii="仿宋" w:hAnsi="仿宋" w:eastAsia="仿宋"/>
          <w:sz w:val="32"/>
          <w:szCs w:val="32"/>
        </w:rPr>
        <w:t>1.44</w:t>
      </w:r>
      <w:r>
        <w:rPr>
          <w:rFonts w:ascii="仿宋" w:hAnsi="仿宋" w:eastAsia="仿宋"/>
          <w:sz w:val="32"/>
          <w:szCs w:val="32"/>
        </w:rPr>
        <w:t>万元。具体完成如下：</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hint="eastAsia" w:ascii="仿宋" w:hAnsi="仿宋" w:eastAsia="仿宋"/>
          <w:sz w:val="32"/>
          <w:szCs w:val="32"/>
        </w:rPr>
        <w:t>接待协调经费1.44</w:t>
      </w:r>
      <w:r>
        <w:rPr>
          <w:rFonts w:ascii="仿宋" w:hAnsi="仿宋" w:eastAsia="仿宋"/>
          <w:sz w:val="32"/>
          <w:szCs w:val="32"/>
        </w:rPr>
        <w:t>万元。</w:t>
      </w:r>
      <w:r>
        <w:rPr>
          <w:rFonts w:hint="eastAsia" w:ascii="仿宋" w:hAnsi="仿宋" w:eastAsia="仿宋"/>
          <w:sz w:val="32"/>
          <w:szCs w:val="32"/>
        </w:rPr>
        <w:t>主要用于全年来区考察、调研、洽谈业务及大型会议等接待相关工作，提高接待服务质量</w:t>
      </w:r>
      <w:r>
        <w:rPr>
          <w:rFonts w:ascii="仿宋" w:hAnsi="仿宋" w:eastAsia="仿宋"/>
          <w:sz w:val="32"/>
          <w:szCs w:val="32"/>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lang w:val="zh-CN"/>
        </w:rPr>
      </w:pPr>
      <w:r>
        <w:rPr>
          <w:rFonts w:eastAsia="仿宋"/>
          <w:sz w:val="32"/>
          <w:szCs w:val="32"/>
        </w:rPr>
        <w:t>预算编制及时、财务</w:t>
      </w:r>
      <w:r>
        <w:rPr>
          <w:rFonts w:eastAsia="仿宋"/>
          <w:color w:val="000000"/>
          <w:sz w:val="32"/>
          <w:szCs w:val="32"/>
        </w:rPr>
        <w:t>管理较为规范，财经纪律、财务制度执行情况良好。严格预算支出管理。在支出预算编制上，人员经费按照配置定额，逐人核定编制，公用经费分类分档，按定额编制</w:t>
      </w:r>
      <w:r>
        <w:rPr>
          <w:rFonts w:hint="eastAsia" w:ascii="仿宋" w:hAnsi="仿宋" w:eastAsia="仿宋" w:cs="仿宋_GB2312"/>
          <w:kern w:val="0"/>
          <w:sz w:val="32"/>
          <w:szCs w:val="32"/>
          <w:shd w:val="clear" w:color="auto" w:fill="FFFFFF"/>
          <w:lang w:val="zh-CN"/>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严格对照项目支出绩效评价发现的问题，查找管理漏洞，强化结果应用，将评价结果于制定政策、完善内控管理制度，用于改进项目管理、财务管理和资金使用管理，用于调整预算安排方式、增减预算规模和优化支出结构，不断提高资金使用效益。</w:t>
      </w:r>
    </w:p>
    <w:p>
      <w:pPr>
        <w:widowControl/>
        <w:numPr>
          <w:ilvl w:val="0"/>
          <w:numId w:val="6"/>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sz w:val="32"/>
          <w:szCs w:val="32"/>
        </w:rPr>
        <w:t>整体支出自评客观公正，质量良好</w:t>
      </w:r>
      <w:r>
        <w:rPr>
          <w:rFonts w:hint="eastAsia" w:ascii="仿宋" w:hAnsi="仿宋" w:eastAsia="仿宋" w:cs="仿宋_GB2312"/>
          <w:kern w:val="0"/>
          <w:sz w:val="32"/>
          <w:szCs w:val="32"/>
          <w:shd w:val="clear" w:color="auto" w:fill="FFFFFF"/>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我单位支出绩效总体良好，各项目标基本达到了相应时期执行进度，使财政收支预算执行都得到了良好的制度保障和实施效果。</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自我评价得分：部门预算绩效管理64分，绩效结果应用10分，自评质量10分，合计93分。</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由于财政资金紧张，导致部分项目已按时完工但未及时支付的情况，导致绩效评价时资金支付率部分绩效评价不高</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widowControl/>
        <w:adjustRightInd w:val="0"/>
        <w:snapToGrid w:val="0"/>
        <w:spacing w:line="580" w:lineRule="exact"/>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 xml:space="preserve">    1.我们将进一步重视预算的编制工作，加强财务管理制度建设，完善单位内部财务管理制度，增强可执行性；提高预算编制的精确度，提高财政资金使用效率，尽量减少预算执行调整、结转和结余情形。</w:t>
      </w:r>
    </w:p>
    <w:p>
      <w:pPr>
        <w:pStyle w:val="14"/>
        <w:spacing w:line="560" w:lineRule="exact"/>
        <w:ind w:left="0" w:leftChars="0" w:firstLine="640"/>
        <w:rPr>
          <w:rFonts w:ascii="仿宋" w:hAnsi="仿宋" w:eastAsia="仿宋" w:cs="仿宋_GB2312"/>
          <w:kern w:val="0"/>
          <w:sz w:val="32"/>
          <w:shd w:val="clear" w:color="auto" w:fill="FFFFFF"/>
          <w:lang w:val="zh-CN"/>
        </w:rPr>
      </w:pPr>
      <w:r>
        <w:rPr>
          <w:rFonts w:hint="eastAsia" w:ascii="仿宋" w:hAnsi="仿宋" w:eastAsia="仿宋" w:cs="仿宋_GB2312"/>
          <w:kern w:val="0"/>
          <w:sz w:val="32"/>
          <w:shd w:val="clear" w:color="auto" w:fill="FFFFFF"/>
          <w:lang w:val="zh-CN"/>
        </w:rPr>
        <w:t>2.加强资金的合理使用，提前做好资金使用规划，对资金使用和管理实施绩效管理、建立考核机制，实行动态管理，确保资金使用效益最大化。</w:t>
      </w:r>
    </w:p>
    <w:p>
      <w:pPr>
        <w:pStyle w:val="14"/>
        <w:spacing w:line="560" w:lineRule="exact"/>
        <w:ind w:left="0" w:leftChars="0" w:firstLine="640"/>
        <w:rPr>
          <w:rFonts w:ascii="仿宋" w:hAnsi="仿宋" w:eastAsia="仿宋" w:cs="仿宋_GB2312"/>
          <w:sz w:val="32"/>
          <w:lang w:val="zh-CN"/>
        </w:rPr>
      </w:pPr>
      <w:r>
        <w:rPr>
          <w:rFonts w:hint="eastAsia" w:ascii="仿宋" w:hAnsi="仿宋" w:eastAsia="仿宋" w:cs="仿宋_GB2312"/>
          <w:sz w:val="32"/>
          <w:lang w:val="zh-CN"/>
        </w:rPr>
        <w:t>附表：</w:t>
      </w:r>
      <w:r>
        <w:rPr>
          <w:rFonts w:hint="eastAsia" w:ascii="仿宋" w:hAnsi="仿宋" w:eastAsia="仿宋" w:cs="仿宋_GB2312"/>
          <w:sz w:val="32"/>
        </w:rPr>
        <w:t>部门预算项目支出绩效自评表（2022年度）见附件</w:t>
      </w:r>
    </w:p>
    <w:p>
      <w:pPr>
        <w:pStyle w:val="14"/>
        <w:spacing w:line="560" w:lineRule="exact"/>
        <w:ind w:left="0" w:leftChars="0" w:firstLine="0" w:firstLineChars="0"/>
        <w:rPr>
          <w:sz w:val="32"/>
          <w:lang w:val="zh-CN"/>
        </w:rPr>
      </w:pPr>
    </w:p>
    <w:p>
      <w:pPr>
        <w:widowControl/>
        <w:jc w:val="left"/>
        <w:rPr>
          <w:rStyle w:val="29"/>
          <w:rFonts w:ascii="黑体" w:hAnsi="黑体" w:eastAsia="黑体"/>
          <w:b w:val="0"/>
        </w:rPr>
      </w:pPr>
      <w:r>
        <w:rPr>
          <w:rStyle w:val="29"/>
          <w:rFonts w:ascii="黑体" w:hAnsi="黑体" w:eastAsia="黑体"/>
          <w:b w:val="0"/>
        </w:rPr>
        <w:br w:type="page"/>
      </w: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29"/>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0"/>
          <w:rFonts w:hint="eastAsia" w:ascii="仿宋" w:hAnsi="仿宋" w:eastAsia="仿宋"/>
          <w:b w:val="0"/>
          <w:bCs w:val="0"/>
        </w:rPr>
        <w:t>入决算表</w:t>
      </w:r>
      <w:bookmarkEnd w:id="55"/>
    </w:p>
    <w:p>
      <w:pPr>
        <w:pStyle w:val="4"/>
        <w:rPr>
          <w:rFonts w:ascii="仿宋" w:hAnsi="仿宋" w:eastAsia="仿宋"/>
        </w:rPr>
      </w:pPr>
      <w:bookmarkStart w:id="56"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57"/>
    </w:p>
    <w:p>
      <w:pPr>
        <w:pStyle w:val="4"/>
        <w:rPr>
          <w:rStyle w:val="30"/>
          <w:rFonts w:ascii="仿宋" w:hAnsi="仿宋" w:eastAsia="仿宋"/>
          <w:b w:val="0"/>
          <w:bCs w:val="0"/>
        </w:rPr>
      </w:pPr>
      <w:bookmarkStart w:id="58"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0"/>
          <w:rFonts w:hint="eastAsia" w:ascii="仿宋" w:hAnsi="仿宋" w:eastAsia="仿宋"/>
          <w:b w:val="0"/>
          <w:bCs w:val="0"/>
        </w:rPr>
        <w:t>十、</w:t>
      </w:r>
      <w:bookmarkEnd w:id="63"/>
      <w:r>
        <w:rPr>
          <w:rFonts w:hint="eastAsia" w:ascii="仿宋" w:hAnsi="仿宋" w:eastAsia="仿宋"/>
          <w:b w:val="0"/>
        </w:rPr>
        <w:t>政</w:t>
      </w:r>
      <w:r>
        <w:rPr>
          <w:rStyle w:val="30"/>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0"/>
          <w:rFonts w:hint="eastAsia" w:ascii="仿宋" w:hAnsi="仿宋" w:eastAsia="仿宋"/>
          <w:b w:val="0"/>
          <w:bCs w:val="0"/>
        </w:rPr>
        <w:t>十一、</w:t>
      </w:r>
      <w:bookmarkEnd w:id="64"/>
      <w:r>
        <w:rPr>
          <w:rFonts w:hint="eastAsia" w:ascii="仿宋" w:hAnsi="仿宋" w:eastAsia="仿宋"/>
          <w:b w:val="0"/>
        </w:rPr>
        <w:t>国</w:t>
      </w:r>
      <w:r>
        <w:rPr>
          <w:rStyle w:val="30"/>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0"/>
          <w:rFonts w:hint="eastAsia" w:ascii="仿宋" w:hAnsi="仿宋" w:eastAsia="仿宋"/>
          <w:b w:val="0"/>
          <w:bCs w:val="0"/>
        </w:rPr>
        <w:t>十二、</w:t>
      </w:r>
      <w:bookmarkEnd w:id="65"/>
      <w:r>
        <w:rPr>
          <w:rStyle w:val="30"/>
          <w:rFonts w:hint="eastAsia" w:ascii="仿宋" w:hAnsi="仿宋" w:eastAsia="仿宋"/>
          <w:b w:val="0"/>
          <w:bCs w:val="0"/>
        </w:rPr>
        <w:t>国有资本经营预算财政拨款支出决算表</w:t>
      </w:r>
    </w:p>
    <w:p>
      <w:pPr>
        <w:pStyle w:val="4"/>
        <w:rPr>
          <w:rFonts w:eastAsia="仿宋"/>
        </w:rPr>
      </w:pPr>
      <w:bookmarkStart w:id="66" w:name="_Toc15396631"/>
      <w:r>
        <w:rPr>
          <w:rStyle w:val="30"/>
          <w:rFonts w:hint="eastAsia" w:ascii="仿宋" w:hAnsi="仿宋" w:eastAsia="仿宋"/>
          <w:b w:val="0"/>
          <w:bCs w:val="0"/>
        </w:rPr>
        <w:t>十三、</w:t>
      </w:r>
      <w:bookmarkEnd w:id="66"/>
      <w:r>
        <w:rPr>
          <w:rStyle w:val="30"/>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F1361C"/>
    <w:rsid w:val="0000573B"/>
    <w:rsid w:val="000222C6"/>
    <w:rsid w:val="0002549F"/>
    <w:rsid w:val="000468DB"/>
    <w:rsid w:val="0006487A"/>
    <w:rsid w:val="00065F8F"/>
    <w:rsid w:val="00070A43"/>
    <w:rsid w:val="00073F6D"/>
    <w:rsid w:val="000768F2"/>
    <w:rsid w:val="0009184B"/>
    <w:rsid w:val="00094236"/>
    <w:rsid w:val="0009593C"/>
    <w:rsid w:val="00097322"/>
    <w:rsid w:val="000A1301"/>
    <w:rsid w:val="000A6A92"/>
    <w:rsid w:val="000B047F"/>
    <w:rsid w:val="000B5923"/>
    <w:rsid w:val="000B5A48"/>
    <w:rsid w:val="000B6FF3"/>
    <w:rsid w:val="000C3467"/>
    <w:rsid w:val="000C3CA6"/>
    <w:rsid w:val="000D1267"/>
    <w:rsid w:val="000D1D50"/>
    <w:rsid w:val="000D5782"/>
    <w:rsid w:val="000E6613"/>
    <w:rsid w:val="000E7119"/>
    <w:rsid w:val="00113BDC"/>
    <w:rsid w:val="00114E9B"/>
    <w:rsid w:val="00134D3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8492E"/>
    <w:rsid w:val="00294DC9"/>
    <w:rsid w:val="00295495"/>
    <w:rsid w:val="002A112A"/>
    <w:rsid w:val="002A31DE"/>
    <w:rsid w:val="002B2613"/>
    <w:rsid w:val="002D6D05"/>
    <w:rsid w:val="002F1818"/>
    <w:rsid w:val="002F4DC0"/>
    <w:rsid w:val="002F567B"/>
    <w:rsid w:val="003216A9"/>
    <w:rsid w:val="00335A74"/>
    <w:rsid w:val="0036561B"/>
    <w:rsid w:val="00370048"/>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08F3"/>
    <w:rsid w:val="004223DE"/>
    <w:rsid w:val="00434489"/>
    <w:rsid w:val="00437085"/>
    <w:rsid w:val="00443880"/>
    <w:rsid w:val="004464F4"/>
    <w:rsid w:val="00446E63"/>
    <w:rsid w:val="00467094"/>
    <w:rsid w:val="00471401"/>
    <w:rsid w:val="00473F31"/>
    <w:rsid w:val="0048263A"/>
    <w:rsid w:val="00487E5D"/>
    <w:rsid w:val="004A711F"/>
    <w:rsid w:val="004B12A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86F76"/>
    <w:rsid w:val="0059014D"/>
    <w:rsid w:val="005B5C64"/>
    <w:rsid w:val="005B67C6"/>
    <w:rsid w:val="005C5337"/>
    <w:rsid w:val="005C6BD0"/>
    <w:rsid w:val="005D1C8B"/>
    <w:rsid w:val="005D468D"/>
    <w:rsid w:val="005D5CED"/>
    <w:rsid w:val="005D7D8C"/>
    <w:rsid w:val="005F1A4C"/>
    <w:rsid w:val="006017F6"/>
    <w:rsid w:val="00605688"/>
    <w:rsid w:val="006070AF"/>
    <w:rsid w:val="00607E6C"/>
    <w:rsid w:val="006101B1"/>
    <w:rsid w:val="00614E44"/>
    <w:rsid w:val="0062270A"/>
    <w:rsid w:val="00622830"/>
    <w:rsid w:val="00623DA0"/>
    <w:rsid w:val="00630AEF"/>
    <w:rsid w:val="006325F8"/>
    <w:rsid w:val="00633463"/>
    <w:rsid w:val="00634C9A"/>
    <w:rsid w:val="00636B97"/>
    <w:rsid w:val="006424CF"/>
    <w:rsid w:val="006440E4"/>
    <w:rsid w:val="0066343B"/>
    <w:rsid w:val="00664777"/>
    <w:rsid w:val="0067280B"/>
    <w:rsid w:val="006748A4"/>
    <w:rsid w:val="00681A31"/>
    <w:rsid w:val="00683E73"/>
    <w:rsid w:val="006A3141"/>
    <w:rsid w:val="006A5E34"/>
    <w:rsid w:val="006B2422"/>
    <w:rsid w:val="006B2B9A"/>
    <w:rsid w:val="006C1937"/>
    <w:rsid w:val="006F020C"/>
    <w:rsid w:val="007063D2"/>
    <w:rsid w:val="0071071A"/>
    <w:rsid w:val="007127B7"/>
    <w:rsid w:val="0071798E"/>
    <w:rsid w:val="007416B6"/>
    <w:rsid w:val="00746F48"/>
    <w:rsid w:val="0075404D"/>
    <w:rsid w:val="0076182A"/>
    <w:rsid w:val="00767B7E"/>
    <w:rsid w:val="007770C3"/>
    <w:rsid w:val="00784D24"/>
    <w:rsid w:val="00785FBA"/>
    <w:rsid w:val="00786E4A"/>
    <w:rsid w:val="007875EB"/>
    <w:rsid w:val="007925E1"/>
    <w:rsid w:val="0079426B"/>
    <w:rsid w:val="007D1682"/>
    <w:rsid w:val="007D312A"/>
    <w:rsid w:val="007D3F19"/>
    <w:rsid w:val="007E23B0"/>
    <w:rsid w:val="007E23E5"/>
    <w:rsid w:val="007F1991"/>
    <w:rsid w:val="007F2C2F"/>
    <w:rsid w:val="007F55FC"/>
    <w:rsid w:val="007F5665"/>
    <w:rsid w:val="00800112"/>
    <w:rsid w:val="008012DE"/>
    <w:rsid w:val="00805929"/>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0676"/>
    <w:rsid w:val="00A55D91"/>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352B"/>
    <w:rsid w:val="00B77EA6"/>
    <w:rsid w:val="00B81598"/>
    <w:rsid w:val="00B841F1"/>
    <w:rsid w:val="00B944D6"/>
    <w:rsid w:val="00BB4DF0"/>
    <w:rsid w:val="00BC289F"/>
    <w:rsid w:val="00BC2D50"/>
    <w:rsid w:val="00BC5361"/>
    <w:rsid w:val="00BC5460"/>
    <w:rsid w:val="00BC6B50"/>
    <w:rsid w:val="00BD0E25"/>
    <w:rsid w:val="00BD3739"/>
    <w:rsid w:val="00BF5BD6"/>
    <w:rsid w:val="00C03E31"/>
    <w:rsid w:val="00C058F0"/>
    <w:rsid w:val="00C3170A"/>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2FE3"/>
    <w:rsid w:val="00CE44F6"/>
    <w:rsid w:val="00CE49DA"/>
    <w:rsid w:val="00CE7B61"/>
    <w:rsid w:val="00D00095"/>
    <w:rsid w:val="00D114F0"/>
    <w:rsid w:val="00D20620"/>
    <w:rsid w:val="00D254F7"/>
    <w:rsid w:val="00D26091"/>
    <w:rsid w:val="00D2685C"/>
    <w:rsid w:val="00D34E7C"/>
    <w:rsid w:val="00D34F17"/>
    <w:rsid w:val="00D35489"/>
    <w:rsid w:val="00D36AFE"/>
    <w:rsid w:val="00D4145D"/>
    <w:rsid w:val="00D44E66"/>
    <w:rsid w:val="00D51276"/>
    <w:rsid w:val="00D7035F"/>
    <w:rsid w:val="00D95577"/>
    <w:rsid w:val="00DA634F"/>
    <w:rsid w:val="00DA65AC"/>
    <w:rsid w:val="00DB1913"/>
    <w:rsid w:val="00DC410D"/>
    <w:rsid w:val="00DC4B63"/>
    <w:rsid w:val="00DC5A81"/>
    <w:rsid w:val="00DC68CA"/>
    <w:rsid w:val="00DC7CBA"/>
    <w:rsid w:val="00DD73B7"/>
    <w:rsid w:val="00DF06E2"/>
    <w:rsid w:val="00DF28BC"/>
    <w:rsid w:val="00DF34B9"/>
    <w:rsid w:val="00DF54BF"/>
    <w:rsid w:val="00E01053"/>
    <w:rsid w:val="00E07ACF"/>
    <w:rsid w:val="00E22135"/>
    <w:rsid w:val="00E331A1"/>
    <w:rsid w:val="00E33202"/>
    <w:rsid w:val="00E336A9"/>
    <w:rsid w:val="00E472B1"/>
    <w:rsid w:val="00E50624"/>
    <w:rsid w:val="00E5285B"/>
    <w:rsid w:val="00E568DF"/>
    <w:rsid w:val="00E64269"/>
    <w:rsid w:val="00E747EB"/>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05CFA"/>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683"/>
    <w:rsid w:val="00FD3CC1"/>
    <w:rsid w:val="00FF1E02"/>
    <w:rsid w:val="00FF30B4"/>
    <w:rsid w:val="015975B8"/>
    <w:rsid w:val="01CB578C"/>
    <w:rsid w:val="02143E91"/>
    <w:rsid w:val="037B77AB"/>
    <w:rsid w:val="066E0107"/>
    <w:rsid w:val="07996F6E"/>
    <w:rsid w:val="0A2032A3"/>
    <w:rsid w:val="0F98263C"/>
    <w:rsid w:val="101860EC"/>
    <w:rsid w:val="10C055FF"/>
    <w:rsid w:val="118107EC"/>
    <w:rsid w:val="13D50BC4"/>
    <w:rsid w:val="16BB723D"/>
    <w:rsid w:val="1BE8440E"/>
    <w:rsid w:val="1D155CEE"/>
    <w:rsid w:val="1EC7098C"/>
    <w:rsid w:val="1FF35744"/>
    <w:rsid w:val="23860B96"/>
    <w:rsid w:val="240371BF"/>
    <w:rsid w:val="273F0D15"/>
    <w:rsid w:val="29FD04D3"/>
    <w:rsid w:val="2C8A61B5"/>
    <w:rsid w:val="2DF04E50"/>
    <w:rsid w:val="2F040D46"/>
    <w:rsid w:val="2F1464CC"/>
    <w:rsid w:val="319F7F4E"/>
    <w:rsid w:val="3304709D"/>
    <w:rsid w:val="36AA5135"/>
    <w:rsid w:val="37392817"/>
    <w:rsid w:val="376D39B2"/>
    <w:rsid w:val="37E16F03"/>
    <w:rsid w:val="387A4724"/>
    <w:rsid w:val="38D469F0"/>
    <w:rsid w:val="3D98207C"/>
    <w:rsid w:val="3E78745D"/>
    <w:rsid w:val="44E268DA"/>
    <w:rsid w:val="4A627F82"/>
    <w:rsid w:val="4B0E749A"/>
    <w:rsid w:val="4B4F25DA"/>
    <w:rsid w:val="4BE068DB"/>
    <w:rsid w:val="4D577224"/>
    <w:rsid w:val="4EAB630A"/>
    <w:rsid w:val="4ECE2238"/>
    <w:rsid w:val="537E6D0A"/>
    <w:rsid w:val="56CC541F"/>
    <w:rsid w:val="56DB48DC"/>
    <w:rsid w:val="5AF92295"/>
    <w:rsid w:val="5CD71FC4"/>
    <w:rsid w:val="6037173E"/>
    <w:rsid w:val="6AEB7234"/>
    <w:rsid w:val="6C4A05C8"/>
    <w:rsid w:val="6D8276B5"/>
    <w:rsid w:val="6E7E3605"/>
    <w:rsid w:val="6FF5CC65"/>
    <w:rsid w:val="715C0E4B"/>
    <w:rsid w:val="72734D90"/>
    <w:rsid w:val="73AD73D5"/>
    <w:rsid w:val="73B6EB34"/>
    <w:rsid w:val="744731E5"/>
    <w:rsid w:val="76E3355F"/>
    <w:rsid w:val="778769C8"/>
    <w:rsid w:val="78BB5CC3"/>
    <w:rsid w:val="79EE5BA4"/>
    <w:rsid w:val="7A3C28D0"/>
    <w:rsid w:val="7A894339"/>
    <w:rsid w:val="7E4F632A"/>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1"/>
    <w:qFormat/>
    <w:uiPriority w:val="0"/>
    <w:rPr>
      <w:rFonts w:ascii="仿宋_GB2312" w:eastAsia="仿宋_GB2312"/>
      <w:spacing w:val="-70"/>
      <w:sz w:val="32"/>
      <w:szCs w:val="32"/>
    </w:rPr>
  </w:style>
  <w:style w:type="paragraph" w:styleId="9">
    <w:name w:val="Balloon Text"/>
    <w:basedOn w:val="1"/>
    <w:link w:val="32"/>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列出段落1"/>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1">
    <w:name w:val="纯文本 Char"/>
    <w:basedOn w:val="16"/>
    <w:link w:val="8"/>
    <w:qFormat/>
    <w:uiPriority w:val="0"/>
    <w:rPr>
      <w:rFonts w:ascii="仿宋_GB2312" w:hAnsi="Times New Roman" w:eastAsia="仿宋_GB2312" w:cs="Times New Roman"/>
      <w:spacing w:val="-70"/>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A9A9-DAF3-453D-96D6-C444C688745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1332</Words>
  <Characters>7595</Characters>
  <Lines>63</Lines>
  <Paragraphs>17</Paragraphs>
  <TotalTime>41</TotalTime>
  <ScaleCrop>false</ScaleCrop>
  <LinksUpToDate>false</LinksUpToDate>
  <CharactersWithSpaces>8910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2023-10-25T02:31:00Z</cp:lastPrinted>
  <dcterms:modified xsi:type="dcterms:W3CDTF">2024-07-02T05:33:20Z</dcterms:modified>
  <dc:title>四川省***</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29DEE9CBCDAB47C99CA6BE0B9BE08189_13</vt:lpwstr>
  </property>
</Properties>
</file>