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sz w:val="72"/>
          <w:szCs w:val="72"/>
        </w:rPr>
      </w:pPr>
      <w:bookmarkStart w:id="0" w:name="_Toc15396597"/>
      <w:bookmarkStart w:id="1" w:name="_Toc15396475"/>
      <w:bookmarkStart w:id="2" w:name="_Toc15377425"/>
      <w:bookmarkStart w:id="3" w:name="_Toc15377193"/>
      <w:bookmarkStart w:id="4" w:name="_Toc15378441"/>
      <w:bookmarkStart w:id="5" w:name="_Toc15306267"/>
    </w:p>
    <w:p>
      <w:pPr>
        <w:spacing w:line="600" w:lineRule="exact"/>
        <w:jc w:val="center"/>
        <w:outlineLvl w:val="9"/>
        <w:rPr>
          <w:rFonts w:ascii="方正小标宋简体" w:hAnsi="宋体" w:eastAsia="方正小标宋简体"/>
          <w:sz w:val="72"/>
          <w:szCs w:val="72"/>
        </w:rPr>
      </w:pPr>
    </w:p>
    <w:p>
      <w:pPr>
        <w:spacing w:line="600" w:lineRule="exact"/>
        <w:jc w:val="center"/>
        <w:outlineLvl w:val="9"/>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7529"/>
      <w:bookmarkStart w:id="7" w:name="_Toc29089"/>
      <w:r>
        <w:rPr>
          <w:rFonts w:hint="eastAsia" w:ascii="方正小标宋简体" w:hAnsi="方正小标宋简体" w:eastAsia="方正小标宋简体" w:cs="方正小标宋简体"/>
          <w:sz w:val="72"/>
          <w:szCs w:val="72"/>
        </w:rPr>
        <w:t>2022年度</w:t>
      </w:r>
      <w:bookmarkEnd w:id="0"/>
      <w:bookmarkEnd w:id="1"/>
      <w:bookmarkEnd w:id="2"/>
      <w:bookmarkEnd w:id="3"/>
      <w:bookmarkEnd w:id="4"/>
      <w:bookmarkEnd w:id="6"/>
      <w:bookmarkEnd w:id="7"/>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8" w:name="_Toc15396598"/>
      <w:bookmarkStart w:id="9" w:name="_Toc26964"/>
      <w:bookmarkStart w:id="10" w:name="_Toc14136"/>
      <w:bookmarkStart w:id="11" w:name="_Toc15377426"/>
      <w:bookmarkStart w:id="12" w:name="_Toc15378442"/>
      <w:bookmarkStart w:id="13" w:name="_Toc15396476"/>
      <w:bookmarkStart w:id="14" w:name="_Toc15377194"/>
      <w:r>
        <w:rPr>
          <w:rFonts w:hint="eastAsia" w:ascii="方正小标宋简体" w:hAnsi="方正小标宋简体" w:eastAsia="方正小标宋简体" w:cs="方正小标宋简体"/>
          <w:sz w:val="72"/>
          <w:szCs w:val="72"/>
        </w:rPr>
        <w:t>攀枝花市西区</w:t>
      </w:r>
      <w:bookmarkEnd w:id="5"/>
      <w:bookmarkStart w:id="15" w:name="_Toc15306268"/>
      <w:r>
        <w:rPr>
          <w:rFonts w:hint="eastAsia" w:ascii="方正小标宋简体" w:hAnsi="方正小标宋简体" w:eastAsia="方正小标宋简体" w:cs="方正小标宋简体"/>
          <w:sz w:val="72"/>
          <w:szCs w:val="72"/>
        </w:rPr>
        <w:t>行政审批局部门决算</w:t>
      </w:r>
      <w:bookmarkEnd w:id="8"/>
      <w:bookmarkEnd w:id="9"/>
      <w:bookmarkEnd w:id="10"/>
      <w:bookmarkEnd w:id="11"/>
      <w:bookmarkEnd w:id="12"/>
      <w:bookmarkEnd w:id="13"/>
      <w:bookmarkEnd w:id="14"/>
      <w:bookmarkEnd w:id="15"/>
    </w:p>
    <w:p>
      <w:pPr>
        <w:adjustRightInd w:val="0"/>
        <w:snapToGrid w:val="0"/>
        <w:spacing w:line="360" w:lineRule="auto"/>
        <w:jc w:val="center"/>
        <w:outlineLvl w:val="9"/>
        <w:rPr>
          <w:rFonts w:ascii="方正小标宋简体" w:hAnsi="宋体" w:eastAsia="方正小标宋简体"/>
          <w:sz w:val="52"/>
          <w:szCs w:val="52"/>
        </w:rPr>
      </w:pPr>
    </w:p>
    <w:p/>
    <w:p>
      <w:pPr>
        <w:rPr>
          <w:rFonts w:ascii="方正小标宋简体" w:hAnsi="宋体" w:eastAsia="方正小标宋简体"/>
          <w:sz w:val="36"/>
          <w:szCs w:val="36"/>
        </w:rPr>
      </w:pPr>
      <w:r>
        <w:rPr>
          <w:rFonts w:ascii="方正小标宋简体" w:hAnsi="宋体" w:eastAsia="方正小标宋简体"/>
          <w:sz w:val="36"/>
          <w:szCs w:val="36"/>
        </w:rPr>
        <w:br w:type="page"/>
      </w:r>
    </w:p>
    <w:sdt>
      <w:sdtPr>
        <w:rPr>
          <w:rFonts w:ascii="宋体" w:hAnsi="宋体" w:eastAsia="宋体" w:cs="Times New Roman"/>
          <w:kern w:val="2"/>
          <w:sz w:val="44"/>
          <w:szCs w:val="44"/>
          <w:lang w:val="en-US" w:eastAsia="zh-CN" w:bidi="ar-SA"/>
        </w:rPr>
        <w:id w:val="147460919"/>
        <w15:color w:val="DBDBDB"/>
      </w:sdtPr>
      <w:sdtEndPr>
        <w:rPr>
          <w:rFonts w:ascii="宋体" w:hAnsi="宋体" w:eastAsia="宋体" w:cs="Times New Roman"/>
          <w:b/>
          <w:kern w:val="2"/>
          <w:sz w:val="44"/>
          <w:szCs w:val="44"/>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sz w:val="44"/>
              <w:szCs w:val="44"/>
            </w:rPr>
          </w:pPr>
          <w:r>
            <w:rPr>
              <w:rFonts w:ascii="宋体" w:hAnsi="宋体" w:eastAsia="宋体"/>
              <w:sz w:val="44"/>
              <w:szCs w:val="44"/>
            </w:rPr>
            <w:t>目录</w:t>
          </w:r>
        </w:p>
        <w:p>
          <w:pPr>
            <w:pStyle w:val="2"/>
            <w:jc w:val="center"/>
          </w:pPr>
          <w:r>
            <w:rPr>
              <w:rFonts w:hint="eastAsia"/>
            </w:rPr>
            <w:t>公开时间：2023年10月2</w:t>
          </w:r>
          <w:r>
            <w:rPr>
              <w:rFonts w:hint="eastAsia"/>
              <w:lang w:val="en-US" w:eastAsia="zh-CN"/>
            </w:rPr>
            <w:t>5</w:t>
          </w:r>
          <w:r>
            <w:rPr>
              <w:rFonts w:hint="eastAsia"/>
            </w:rPr>
            <w:t>日</w:t>
          </w:r>
          <w:r>
            <w:rPr>
              <w:b/>
            </w:rPr>
            <w:fldChar w:fldCharType="begin"/>
          </w:r>
          <w:r>
            <w:rPr>
              <w:b/>
            </w:rPr>
            <w:instrText xml:space="preserve">TOC \o "1-2" \h \u </w:instrText>
          </w:r>
          <w:r>
            <w:rPr>
              <w:b/>
            </w:rPr>
            <w:fldChar w:fldCharType="separate"/>
          </w:r>
        </w:p>
        <w:p>
          <w:pPr>
            <w:pStyle w:val="13"/>
            <w:tabs>
              <w:tab w:val="right" w:leader="dot" w:pos="8306"/>
              <w:tab w:val="clear" w:pos="8296"/>
            </w:tabs>
          </w:pPr>
          <w:r>
            <w:fldChar w:fldCharType="begin"/>
          </w:r>
          <w:r>
            <w:instrText xml:space="preserve"> HYPERLINK \l _Toc12192 </w:instrText>
          </w:r>
          <w:r>
            <w:fldChar w:fldCharType="separate"/>
          </w:r>
          <w:r>
            <w:rPr>
              <w:rFonts w:hint="eastAsia" w:ascii="黑体" w:hAnsi="黑体" w:eastAsia="黑体"/>
            </w:rPr>
            <w:t xml:space="preserve">第一部分 </w:t>
          </w:r>
          <w:r>
            <w:rPr>
              <w:rFonts w:hint="eastAsia" w:ascii="黑体" w:hAnsi="黑体" w:eastAsia="黑体"/>
              <w:bCs w:val="0"/>
            </w:rPr>
            <w:t>部门概况</w:t>
          </w:r>
          <w:r>
            <w:tab/>
          </w:r>
          <w:r>
            <w:fldChar w:fldCharType="begin"/>
          </w:r>
          <w:r>
            <w:instrText xml:space="preserve"> PAGEREF _Toc12192 \h </w:instrText>
          </w:r>
          <w:r>
            <w:fldChar w:fldCharType="separate"/>
          </w:r>
          <w:r>
            <w:t>4</w:t>
          </w:r>
          <w:r>
            <w:fldChar w:fldCharType="end"/>
          </w:r>
          <w:r>
            <w:fldChar w:fldCharType="end"/>
          </w:r>
        </w:p>
        <w:p>
          <w:pPr>
            <w:pStyle w:val="14"/>
            <w:tabs>
              <w:tab w:val="right" w:leader="dot" w:pos="8306"/>
              <w:tab w:val="clear" w:pos="8296"/>
            </w:tabs>
          </w:pPr>
          <w:r>
            <w:fldChar w:fldCharType="begin"/>
          </w:r>
          <w:r>
            <w:instrText xml:space="preserve"> HYPERLINK \l _Toc10954 </w:instrText>
          </w:r>
          <w:r>
            <w:fldChar w:fldCharType="separate"/>
          </w:r>
          <w:r>
            <w:rPr>
              <w:rFonts w:hint="eastAsia" w:ascii="黑体" w:hAnsi="黑体" w:eastAsia="黑体"/>
              <w:lang w:val="en-US" w:eastAsia="zh-CN"/>
            </w:rPr>
            <w:t>一、</w:t>
          </w:r>
          <w:r>
            <w:rPr>
              <w:rFonts w:hint="eastAsia" w:ascii="黑体" w:hAnsi="黑体" w:eastAsia="黑体"/>
            </w:rPr>
            <w:t>部门职责</w:t>
          </w:r>
          <w:r>
            <w:tab/>
          </w:r>
          <w:r>
            <w:fldChar w:fldCharType="begin"/>
          </w:r>
          <w:r>
            <w:instrText xml:space="preserve"> PAGEREF _Toc10954 \h </w:instrText>
          </w:r>
          <w:r>
            <w:fldChar w:fldCharType="separate"/>
          </w:r>
          <w:r>
            <w:t>4</w:t>
          </w:r>
          <w:r>
            <w:fldChar w:fldCharType="end"/>
          </w:r>
          <w:r>
            <w:fldChar w:fldCharType="end"/>
          </w:r>
        </w:p>
        <w:p>
          <w:pPr>
            <w:pStyle w:val="14"/>
            <w:tabs>
              <w:tab w:val="right" w:leader="dot" w:pos="8306"/>
              <w:tab w:val="clear" w:pos="8296"/>
            </w:tabs>
          </w:pPr>
          <w:r>
            <w:fldChar w:fldCharType="begin"/>
          </w:r>
          <w:r>
            <w:instrText xml:space="preserve"> HYPERLINK \l _Toc3158 </w:instrText>
          </w:r>
          <w:r>
            <w:fldChar w:fldCharType="separate"/>
          </w:r>
          <w:r>
            <w:rPr>
              <w:rFonts w:hint="eastAsia" w:ascii="黑体" w:eastAsia="黑体"/>
            </w:rPr>
            <w:t>二、</w:t>
          </w:r>
          <w:r>
            <w:rPr>
              <w:rFonts w:hint="eastAsia" w:ascii="黑体" w:hAnsi="黑体" w:eastAsia="黑体"/>
            </w:rPr>
            <w:t>机</w:t>
          </w:r>
          <w:r>
            <w:rPr>
              <w:rFonts w:hint="eastAsia" w:ascii="黑体" w:hAnsi="黑体" w:eastAsia="黑体"/>
              <w:bCs w:val="0"/>
            </w:rPr>
            <w:t>构设置</w:t>
          </w:r>
          <w:r>
            <w:tab/>
          </w:r>
          <w:r>
            <w:fldChar w:fldCharType="begin"/>
          </w:r>
          <w:r>
            <w:instrText xml:space="preserve"> PAGEREF _Toc3158 \h </w:instrText>
          </w:r>
          <w:r>
            <w:fldChar w:fldCharType="separate"/>
          </w:r>
          <w:r>
            <w:t>5</w:t>
          </w:r>
          <w:r>
            <w:fldChar w:fldCharType="end"/>
          </w:r>
          <w:r>
            <w:fldChar w:fldCharType="end"/>
          </w:r>
        </w:p>
        <w:p>
          <w:pPr>
            <w:pStyle w:val="13"/>
            <w:tabs>
              <w:tab w:val="right" w:leader="dot" w:pos="8306"/>
              <w:tab w:val="clear" w:pos="8296"/>
            </w:tabs>
          </w:pPr>
          <w:r>
            <w:fldChar w:fldCharType="begin"/>
          </w:r>
          <w:r>
            <w:instrText xml:space="preserve"> HYPERLINK \l _Toc11782 </w:instrText>
          </w:r>
          <w:r>
            <w:fldChar w:fldCharType="separate"/>
          </w:r>
          <w:r>
            <w:rPr>
              <w:rFonts w:hint="eastAsia" w:ascii="黑体" w:hAnsi="黑体" w:eastAsia="黑体"/>
            </w:rPr>
            <w:t>第二部分 2022年度</w:t>
          </w:r>
          <w:r>
            <w:rPr>
              <w:rFonts w:hint="eastAsia" w:ascii="黑体" w:hAnsi="黑体" w:eastAsia="黑体"/>
              <w:bCs/>
            </w:rPr>
            <w:t>部门决算情况说明</w:t>
          </w:r>
          <w:r>
            <w:tab/>
          </w:r>
          <w:r>
            <w:fldChar w:fldCharType="begin"/>
          </w:r>
          <w:r>
            <w:instrText xml:space="preserve"> PAGEREF _Toc11782 \h </w:instrText>
          </w:r>
          <w:r>
            <w:fldChar w:fldCharType="separate"/>
          </w:r>
          <w:r>
            <w:t>6</w:t>
          </w:r>
          <w:r>
            <w:fldChar w:fldCharType="end"/>
          </w:r>
          <w:r>
            <w:fldChar w:fldCharType="end"/>
          </w:r>
        </w:p>
        <w:p>
          <w:pPr>
            <w:pStyle w:val="14"/>
            <w:tabs>
              <w:tab w:val="right" w:leader="dot" w:pos="8306"/>
              <w:tab w:val="clear" w:pos="8296"/>
            </w:tabs>
          </w:pPr>
          <w:r>
            <w:fldChar w:fldCharType="begin"/>
          </w:r>
          <w:r>
            <w:instrText xml:space="preserve"> HYPERLINK \l _Toc30633 </w:instrText>
          </w:r>
          <w:r>
            <w:fldChar w:fldCharType="separate"/>
          </w:r>
          <w:r>
            <w:rPr>
              <w:rFonts w:hint="default" w:ascii="黑体" w:hAnsi="黑体" w:eastAsia="黑体"/>
            </w:rPr>
            <w:t xml:space="preserve">一、 </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_Toc30633 \h </w:instrText>
          </w:r>
          <w:r>
            <w:fldChar w:fldCharType="separate"/>
          </w:r>
          <w:r>
            <w:t>6</w:t>
          </w:r>
          <w:r>
            <w:fldChar w:fldCharType="end"/>
          </w:r>
          <w:r>
            <w:fldChar w:fldCharType="end"/>
          </w:r>
        </w:p>
        <w:p>
          <w:pPr>
            <w:pStyle w:val="14"/>
            <w:tabs>
              <w:tab w:val="right" w:leader="dot" w:pos="8306"/>
              <w:tab w:val="clear" w:pos="8296"/>
            </w:tabs>
          </w:pPr>
          <w:r>
            <w:fldChar w:fldCharType="begin"/>
          </w:r>
          <w:r>
            <w:instrText xml:space="preserve"> HYPERLINK \l _Toc18842 </w:instrText>
          </w:r>
          <w:r>
            <w:fldChar w:fldCharType="separate"/>
          </w:r>
          <w:r>
            <w:rPr>
              <w:rFonts w:hint="default" w:ascii="黑体" w:hAnsi="黑体" w:eastAsia="黑体"/>
            </w:rPr>
            <w:t xml:space="preserve">二、 </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_Toc18842 \h </w:instrText>
          </w:r>
          <w:r>
            <w:fldChar w:fldCharType="separate"/>
          </w:r>
          <w:r>
            <w:t>6</w:t>
          </w:r>
          <w:r>
            <w:fldChar w:fldCharType="end"/>
          </w:r>
          <w:r>
            <w:fldChar w:fldCharType="end"/>
          </w:r>
        </w:p>
        <w:p>
          <w:pPr>
            <w:pStyle w:val="14"/>
            <w:tabs>
              <w:tab w:val="right" w:leader="dot" w:pos="8306"/>
              <w:tab w:val="clear" w:pos="8296"/>
            </w:tabs>
          </w:pPr>
          <w:r>
            <w:fldChar w:fldCharType="begin"/>
          </w:r>
          <w:r>
            <w:instrText xml:space="preserve"> HYPERLINK \l _Toc14984 </w:instrText>
          </w:r>
          <w:r>
            <w:fldChar w:fldCharType="separate"/>
          </w:r>
          <w:r>
            <w:rPr>
              <w:rFonts w:hint="default" w:ascii="黑体" w:hAnsi="黑体" w:eastAsia="黑体"/>
            </w:rPr>
            <w:t xml:space="preserve">三、 </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_Toc14984 \h </w:instrText>
          </w:r>
          <w:r>
            <w:fldChar w:fldCharType="separate"/>
          </w:r>
          <w:r>
            <w:t>7</w:t>
          </w:r>
          <w:r>
            <w:fldChar w:fldCharType="end"/>
          </w:r>
          <w:r>
            <w:fldChar w:fldCharType="end"/>
          </w:r>
        </w:p>
        <w:p>
          <w:pPr>
            <w:pStyle w:val="14"/>
            <w:tabs>
              <w:tab w:val="right" w:leader="dot" w:pos="8306"/>
              <w:tab w:val="clear" w:pos="8296"/>
            </w:tabs>
          </w:pPr>
          <w:r>
            <w:fldChar w:fldCharType="begin"/>
          </w:r>
          <w:r>
            <w:instrText xml:space="preserve"> HYPERLINK \l _Toc11231 </w:instrText>
          </w:r>
          <w: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_Toc11231 \h </w:instrText>
          </w:r>
          <w:r>
            <w:fldChar w:fldCharType="separate"/>
          </w:r>
          <w:r>
            <w:t>8</w:t>
          </w:r>
          <w:r>
            <w:fldChar w:fldCharType="end"/>
          </w:r>
          <w:r>
            <w:fldChar w:fldCharType="end"/>
          </w:r>
        </w:p>
        <w:p>
          <w:pPr>
            <w:pStyle w:val="14"/>
            <w:tabs>
              <w:tab w:val="right" w:leader="dot" w:pos="8306"/>
              <w:tab w:val="clear" w:pos="8296"/>
            </w:tabs>
          </w:pPr>
          <w:r>
            <w:fldChar w:fldCharType="begin"/>
          </w:r>
          <w:r>
            <w:instrText xml:space="preserve"> HYPERLINK \l _Toc7145 </w:instrText>
          </w:r>
          <w: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_Toc7145 \h </w:instrText>
          </w:r>
          <w:r>
            <w:fldChar w:fldCharType="separate"/>
          </w:r>
          <w:r>
            <w:t>8</w:t>
          </w:r>
          <w:r>
            <w:fldChar w:fldCharType="end"/>
          </w:r>
          <w:r>
            <w:fldChar w:fldCharType="end"/>
          </w:r>
        </w:p>
        <w:p>
          <w:pPr>
            <w:pStyle w:val="14"/>
            <w:tabs>
              <w:tab w:val="right" w:leader="dot" w:pos="8306"/>
              <w:tab w:val="clear" w:pos="8296"/>
            </w:tabs>
          </w:pPr>
          <w:r>
            <w:fldChar w:fldCharType="begin"/>
          </w:r>
          <w:r>
            <w:instrText xml:space="preserve"> HYPERLINK \l _Toc8723 </w:instrText>
          </w:r>
          <w: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_Toc8723 \h </w:instrText>
          </w:r>
          <w:r>
            <w:fldChar w:fldCharType="separate"/>
          </w:r>
          <w:r>
            <w:t>11</w:t>
          </w:r>
          <w:r>
            <w:fldChar w:fldCharType="end"/>
          </w:r>
          <w:r>
            <w:fldChar w:fldCharType="end"/>
          </w:r>
        </w:p>
        <w:p>
          <w:pPr>
            <w:pStyle w:val="14"/>
            <w:tabs>
              <w:tab w:val="right" w:leader="dot" w:pos="8306"/>
              <w:tab w:val="clear" w:pos="8296"/>
            </w:tabs>
          </w:pPr>
          <w:r>
            <w:fldChar w:fldCharType="begin"/>
          </w:r>
          <w:r>
            <w:instrText xml:space="preserve"> HYPERLINK \l _Toc27570 </w:instrText>
          </w:r>
          <w:r>
            <w:fldChar w:fldCharType="separate"/>
          </w:r>
          <w:r>
            <w:rPr>
              <w:rFonts w:hint="eastAsia" w:ascii="黑体" w:eastAsia="黑体"/>
              <w:szCs w:val="32"/>
            </w:rPr>
            <w:t>七、</w:t>
          </w:r>
          <w:r>
            <w:rPr>
              <w:rFonts w:hint="eastAsia" w:ascii="黑体" w:hAnsi="黑体" w:eastAsia="黑体"/>
            </w:rPr>
            <w:t>财政拨款“三公”经费支出决算情况说明</w:t>
          </w:r>
          <w:r>
            <w:tab/>
          </w:r>
          <w:r>
            <w:fldChar w:fldCharType="begin"/>
          </w:r>
          <w:r>
            <w:instrText xml:space="preserve"> PAGEREF _Toc27570 \h </w:instrText>
          </w:r>
          <w:r>
            <w:fldChar w:fldCharType="separate"/>
          </w:r>
          <w:r>
            <w:t>11</w:t>
          </w:r>
          <w:r>
            <w:fldChar w:fldCharType="end"/>
          </w:r>
          <w:r>
            <w:fldChar w:fldCharType="end"/>
          </w:r>
        </w:p>
        <w:p>
          <w:pPr>
            <w:pStyle w:val="14"/>
            <w:tabs>
              <w:tab w:val="right" w:leader="dot" w:pos="8306"/>
              <w:tab w:val="clear" w:pos="8296"/>
            </w:tabs>
          </w:pPr>
          <w:r>
            <w:fldChar w:fldCharType="begin"/>
          </w:r>
          <w:r>
            <w:instrText xml:space="preserve"> HYPERLINK \l _Toc28316 </w:instrText>
          </w:r>
          <w: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_Toc28316 \h </w:instrText>
          </w:r>
          <w:r>
            <w:fldChar w:fldCharType="separate"/>
          </w:r>
          <w:r>
            <w:t>12</w:t>
          </w:r>
          <w:r>
            <w:fldChar w:fldCharType="end"/>
          </w:r>
          <w:r>
            <w:fldChar w:fldCharType="end"/>
          </w:r>
        </w:p>
        <w:p>
          <w:pPr>
            <w:pStyle w:val="14"/>
            <w:tabs>
              <w:tab w:val="right" w:leader="dot" w:pos="8306"/>
              <w:tab w:val="clear" w:pos="8296"/>
            </w:tabs>
          </w:pPr>
          <w:r>
            <w:fldChar w:fldCharType="begin"/>
          </w:r>
          <w:r>
            <w:instrText xml:space="preserve"> HYPERLINK \l _Toc20217 </w:instrText>
          </w:r>
          <w:r>
            <w:fldChar w:fldCharType="separate"/>
          </w:r>
          <w:r>
            <w:rPr>
              <w:rFonts w:hint="eastAsia" w:ascii="黑体" w:hAnsi="黑体" w:eastAsia="黑体"/>
            </w:rPr>
            <w:t>九、 国有资本经营预算支出决算情况说明</w:t>
          </w:r>
          <w:r>
            <w:tab/>
          </w:r>
          <w:r>
            <w:fldChar w:fldCharType="begin"/>
          </w:r>
          <w:r>
            <w:instrText xml:space="preserve"> PAGEREF _Toc20217 \h </w:instrText>
          </w:r>
          <w:r>
            <w:fldChar w:fldCharType="separate"/>
          </w:r>
          <w:r>
            <w:t>12</w:t>
          </w:r>
          <w:r>
            <w:fldChar w:fldCharType="end"/>
          </w:r>
          <w:r>
            <w:fldChar w:fldCharType="end"/>
          </w:r>
        </w:p>
        <w:p>
          <w:pPr>
            <w:pStyle w:val="14"/>
            <w:tabs>
              <w:tab w:val="right" w:leader="dot" w:pos="8306"/>
              <w:tab w:val="clear" w:pos="8296"/>
            </w:tabs>
          </w:pPr>
          <w:r>
            <w:fldChar w:fldCharType="begin"/>
          </w:r>
          <w:r>
            <w:instrText xml:space="preserve"> HYPERLINK \l _Toc6469 </w:instrText>
          </w:r>
          <w:r>
            <w:fldChar w:fldCharType="separate"/>
          </w:r>
          <w:r>
            <w:rPr>
              <w:rFonts w:hint="eastAsia" w:ascii="黑体" w:hAnsi="黑体" w:eastAsia="黑体"/>
            </w:rPr>
            <w:t>十、 其他重要事项的情况说明</w:t>
          </w:r>
          <w:r>
            <w:tab/>
          </w:r>
          <w:r>
            <w:fldChar w:fldCharType="begin"/>
          </w:r>
          <w:r>
            <w:instrText xml:space="preserve"> PAGEREF _Toc6469 \h </w:instrText>
          </w:r>
          <w:r>
            <w:fldChar w:fldCharType="separate"/>
          </w:r>
          <w:r>
            <w:t>12</w:t>
          </w:r>
          <w:r>
            <w:fldChar w:fldCharType="end"/>
          </w:r>
          <w:r>
            <w:fldChar w:fldCharType="end"/>
          </w:r>
        </w:p>
        <w:p>
          <w:pPr>
            <w:pStyle w:val="13"/>
            <w:tabs>
              <w:tab w:val="right" w:leader="dot" w:pos="8306"/>
              <w:tab w:val="clear" w:pos="8296"/>
            </w:tabs>
          </w:pPr>
          <w:r>
            <w:fldChar w:fldCharType="begin"/>
          </w:r>
          <w:r>
            <w:instrText xml:space="preserve"> HYPERLINK \l _Toc17449 </w:instrText>
          </w:r>
          <w:r>
            <w:fldChar w:fldCharType="separate"/>
          </w:r>
          <w:r>
            <w:rPr>
              <w:rFonts w:hint="eastAsia" w:ascii="黑体" w:hAnsi="黑体" w:eastAsia="黑体"/>
            </w:rPr>
            <w:t xml:space="preserve">第三部分 </w:t>
          </w:r>
          <w:r>
            <w:rPr>
              <w:rFonts w:hint="eastAsia" w:ascii="黑体" w:hAnsi="黑体" w:eastAsia="黑体"/>
              <w:szCs w:val="44"/>
            </w:rPr>
            <w:t>名</w:t>
          </w:r>
          <w:r>
            <w:rPr>
              <w:rFonts w:hint="eastAsia" w:ascii="黑体" w:hAnsi="黑体" w:eastAsia="黑体"/>
            </w:rPr>
            <w:t>词解释</w:t>
          </w:r>
          <w:r>
            <w:tab/>
          </w:r>
          <w:r>
            <w:fldChar w:fldCharType="begin"/>
          </w:r>
          <w:r>
            <w:instrText xml:space="preserve"> PAGEREF _Toc17449 \h </w:instrText>
          </w:r>
          <w:r>
            <w:fldChar w:fldCharType="separate"/>
          </w:r>
          <w:r>
            <w:t>15</w:t>
          </w:r>
          <w:r>
            <w:fldChar w:fldCharType="end"/>
          </w:r>
          <w:r>
            <w:fldChar w:fldCharType="end"/>
          </w:r>
        </w:p>
        <w:p>
          <w:pPr>
            <w:pStyle w:val="13"/>
            <w:tabs>
              <w:tab w:val="right" w:leader="dot" w:pos="8306"/>
              <w:tab w:val="clear" w:pos="8296"/>
            </w:tabs>
          </w:pPr>
          <w:r>
            <w:fldChar w:fldCharType="begin"/>
          </w:r>
          <w:r>
            <w:instrText xml:space="preserve"> HYPERLINK \l _Toc2606 </w:instrText>
          </w:r>
          <w:r>
            <w:fldChar w:fldCharType="separate"/>
          </w:r>
          <w:r>
            <w:rPr>
              <w:rFonts w:hint="eastAsia" w:ascii="黑体" w:hAnsi="黑体" w:eastAsia="黑体"/>
              <w:szCs w:val="44"/>
            </w:rPr>
            <w:t>第</w:t>
          </w:r>
          <w:r>
            <w:rPr>
              <w:rFonts w:hint="eastAsia" w:ascii="黑体" w:hAnsi="黑体" w:eastAsia="黑体"/>
            </w:rPr>
            <w:t>四部分 附件</w:t>
          </w:r>
          <w:r>
            <w:tab/>
          </w:r>
          <w:r>
            <w:fldChar w:fldCharType="begin"/>
          </w:r>
          <w:r>
            <w:instrText xml:space="preserve"> PAGEREF _Toc2606 \h </w:instrText>
          </w:r>
          <w:r>
            <w:fldChar w:fldCharType="separate"/>
          </w:r>
          <w:r>
            <w:t>19</w:t>
          </w:r>
          <w:r>
            <w:fldChar w:fldCharType="end"/>
          </w:r>
          <w:r>
            <w:fldChar w:fldCharType="end"/>
          </w:r>
        </w:p>
        <w:p>
          <w:pPr>
            <w:pStyle w:val="14"/>
            <w:tabs>
              <w:tab w:val="right" w:leader="dot" w:pos="8306"/>
              <w:tab w:val="clear" w:pos="8296"/>
            </w:tabs>
          </w:pPr>
          <w:r>
            <w:fldChar w:fldCharType="begin"/>
          </w:r>
          <w:r>
            <w:instrText xml:space="preserve"> HYPERLINK \l _Toc17531 </w:instrText>
          </w:r>
          <w:r>
            <w:fldChar w:fldCharType="separate"/>
          </w:r>
          <w:r>
            <w:rPr>
              <w:rFonts w:hint="eastAsia" w:ascii="黑体" w:hAnsi="黑体" w:eastAsia="黑体" w:cs="黑体"/>
              <w:szCs w:val="32"/>
            </w:rPr>
            <w:t>附件</w:t>
          </w:r>
          <w:r>
            <w:rPr>
              <w:rFonts w:hint="eastAsia" w:ascii="黑体" w:hAnsi="黑体" w:eastAsia="黑体" w:cs="黑体"/>
              <w:szCs w:val="32"/>
              <w:lang w:val="en-US" w:eastAsia="zh-CN"/>
            </w:rPr>
            <w:t>1</w:t>
          </w:r>
          <w:r>
            <w:tab/>
          </w:r>
          <w:r>
            <w:fldChar w:fldCharType="begin"/>
          </w:r>
          <w:r>
            <w:instrText xml:space="preserve"> PAGEREF _Toc17531 \h </w:instrText>
          </w:r>
          <w:r>
            <w:fldChar w:fldCharType="separate"/>
          </w:r>
          <w:r>
            <w:t>19</w:t>
          </w:r>
          <w:r>
            <w:fldChar w:fldCharType="end"/>
          </w:r>
          <w:r>
            <w:fldChar w:fldCharType="end"/>
          </w:r>
        </w:p>
        <w:p>
          <w:pPr>
            <w:pStyle w:val="14"/>
            <w:tabs>
              <w:tab w:val="right" w:leader="dot" w:pos="8306"/>
              <w:tab w:val="clear" w:pos="8296"/>
            </w:tabs>
          </w:pPr>
          <w:r>
            <w:fldChar w:fldCharType="begin"/>
          </w:r>
          <w:r>
            <w:instrText xml:space="preserve"> HYPERLINK \l _Toc9074 </w:instrText>
          </w:r>
          <w:r>
            <w:fldChar w:fldCharType="separate"/>
          </w:r>
          <w:r>
            <w:rPr>
              <w:rFonts w:hint="eastAsia" w:ascii="黑体" w:hAnsi="宋体" w:eastAsia="黑体" w:cs="宋体"/>
              <w:kern w:val="0"/>
              <w:szCs w:val="32"/>
              <w:shd w:val="clear" w:fill="FFFFFF"/>
              <w:lang w:val="zh-CN"/>
            </w:rPr>
            <w:t>一、</w:t>
          </w:r>
          <w:r>
            <w:rPr>
              <w:rFonts w:hint="eastAsia" w:ascii="黑体" w:hAnsi="宋体" w:eastAsia="黑体" w:cs="宋体"/>
              <w:kern w:val="0"/>
              <w:szCs w:val="32"/>
              <w:shd w:val="clear" w:color="auto" w:fill="FFFFFF"/>
              <w:lang w:val="zh-CN"/>
            </w:rPr>
            <w:t>部门（单位）基本情况</w:t>
          </w:r>
          <w:r>
            <w:tab/>
          </w:r>
          <w:r>
            <w:fldChar w:fldCharType="begin"/>
          </w:r>
          <w:r>
            <w:instrText xml:space="preserve"> PAGEREF _Toc9074 \h </w:instrText>
          </w:r>
          <w:r>
            <w:fldChar w:fldCharType="separate"/>
          </w:r>
          <w:r>
            <w:t>19</w:t>
          </w:r>
          <w:r>
            <w:fldChar w:fldCharType="end"/>
          </w:r>
          <w:r>
            <w:fldChar w:fldCharType="end"/>
          </w:r>
        </w:p>
        <w:p>
          <w:pPr>
            <w:pStyle w:val="14"/>
            <w:tabs>
              <w:tab w:val="right" w:leader="dot" w:pos="8306"/>
              <w:tab w:val="clear" w:pos="8296"/>
            </w:tabs>
          </w:pPr>
          <w:r>
            <w:fldChar w:fldCharType="begin"/>
          </w:r>
          <w:r>
            <w:instrText xml:space="preserve"> HYPERLINK \l _Toc7015 </w:instrText>
          </w:r>
          <w:r>
            <w:fldChar w:fldCharType="separate"/>
          </w:r>
          <w:r>
            <w:rPr>
              <w:rFonts w:hint="eastAsia" w:ascii="黑体" w:hAnsi="宋体" w:eastAsia="黑体" w:cs="宋体"/>
              <w:kern w:val="0"/>
              <w:szCs w:val="32"/>
              <w:shd w:val="clear" w:color="auto" w:fill="FFFFFF"/>
            </w:rPr>
            <w:t>二、部门资金收支情况</w:t>
          </w:r>
          <w:r>
            <w:tab/>
          </w:r>
          <w:r>
            <w:fldChar w:fldCharType="begin"/>
          </w:r>
          <w:r>
            <w:instrText xml:space="preserve"> PAGEREF _Toc7015 \h </w:instrText>
          </w:r>
          <w:r>
            <w:fldChar w:fldCharType="separate"/>
          </w:r>
          <w:r>
            <w:t>25</w:t>
          </w:r>
          <w:r>
            <w:fldChar w:fldCharType="end"/>
          </w:r>
          <w:r>
            <w:fldChar w:fldCharType="end"/>
          </w:r>
        </w:p>
        <w:p>
          <w:pPr>
            <w:pStyle w:val="14"/>
            <w:tabs>
              <w:tab w:val="right" w:leader="dot" w:pos="8306"/>
              <w:tab w:val="clear" w:pos="8296"/>
            </w:tabs>
          </w:pPr>
          <w:r>
            <w:fldChar w:fldCharType="begin"/>
          </w:r>
          <w:r>
            <w:instrText xml:space="preserve"> HYPERLINK \l _Toc31147 </w:instrText>
          </w:r>
          <w:r>
            <w:fldChar w:fldCharType="separate"/>
          </w:r>
          <w:r>
            <w:rPr>
              <w:rFonts w:hint="eastAsia" w:ascii="黑体" w:hAnsi="宋体" w:eastAsia="黑体" w:cs="宋体"/>
              <w:kern w:val="0"/>
              <w:szCs w:val="32"/>
              <w:shd w:val="clear" w:color="auto" w:fill="FFFFFF"/>
            </w:rPr>
            <w:t>三、部门整体绩效分析</w:t>
          </w:r>
          <w:r>
            <w:tab/>
          </w:r>
          <w:r>
            <w:fldChar w:fldCharType="begin"/>
          </w:r>
          <w:r>
            <w:instrText xml:space="preserve"> PAGEREF _Toc31147 \h </w:instrText>
          </w:r>
          <w:r>
            <w:fldChar w:fldCharType="separate"/>
          </w:r>
          <w:r>
            <w:t>26</w:t>
          </w:r>
          <w:r>
            <w:fldChar w:fldCharType="end"/>
          </w:r>
          <w:r>
            <w:fldChar w:fldCharType="end"/>
          </w:r>
        </w:p>
        <w:p>
          <w:pPr>
            <w:pStyle w:val="14"/>
            <w:tabs>
              <w:tab w:val="right" w:leader="dot" w:pos="8306"/>
              <w:tab w:val="clear" w:pos="8296"/>
            </w:tabs>
          </w:pPr>
          <w:r>
            <w:fldChar w:fldCharType="begin"/>
          </w:r>
          <w:r>
            <w:instrText xml:space="preserve"> HYPERLINK \l _Toc15973 </w:instrText>
          </w:r>
          <w:r>
            <w:fldChar w:fldCharType="separate"/>
          </w:r>
          <w:r>
            <w:rPr>
              <w:rFonts w:hint="eastAsia" w:ascii="黑体" w:hAnsi="宋体" w:eastAsia="黑体" w:cs="宋体"/>
              <w:kern w:val="0"/>
              <w:szCs w:val="32"/>
              <w:shd w:val="clear" w:color="auto" w:fill="FFFFFF"/>
            </w:rPr>
            <w:t>四、评价结论及建议</w:t>
          </w:r>
          <w:r>
            <w:tab/>
          </w:r>
          <w:r>
            <w:fldChar w:fldCharType="begin"/>
          </w:r>
          <w:r>
            <w:instrText xml:space="preserve"> PAGEREF _Toc15973 \h </w:instrText>
          </w:r>
          <w:r>
            <w:fldChar w:fldCharType="separate"/>
          </w:r>
          <w:r>
            <w:t>29</w:t>
          </w:r>
          <w:r>
            <w:fldChar w:fldCharType="end"/>
          </w:r>
          <w:r>
            <w:fldChar w:fldCharType="end"/>
          </w:r>
        </w:p>
        <w:p>
          <w:pPr>
            <w:pStyle w:val="14"/>
            <w:tabs>
              <w:tab w:val="right" w:leader="dot" w:pos="8306"/>
              <w:tab w:val="clear" w:pos="8296"/>
            </w:tabs>
          </w:pPr>
          <w:r>
            <w:fldChar w:fldCharType="begin"/>
          </w:r>
          <w:r>
            <w:instrText xml:space="preserve"> HYPERLINK \l _Toc31705 </w:instrText>
          </w:r>
          <w:r>
            <w:fldChar w:fldCharType="separate"/>
          </w:r>
          <w:r>
            <w:rPr>
              <w:rFonts w:hint="eastAsia" w:hAnsi="宋体" w:cs="宋体"/>
              <w:szCs w:val="32"/>
              <w:shd w:val="clear" w:color="auto" w:fill="FFFFFF"/>
              <w:lang w:val="zh-CN"/>
            </w:rPr>
            <w:t>附件</w:t>
          </w:r>
          <w:r>
            <w:rPr>
              <w:rFonts w:hint="eastAsia" w:hAnsi="宋体" w:cs="宋体"/>
              <w:szCs w:val="32"/>
              <w:shd w:val="clear" w:color="auto" w:fill="FFFFFF"/>
            </w:rPr>
            <w:t>2</w:t>
          </w:r>
          <w:r>
            <w:tab/>
          </w:r>
          <w:r>
            <w:fldChar w:fldCharType="begin"/>
          </w:r>
          <w:r>
            <w:instrText xml:space="preserve"> PAGEREF _Toc31705 \h </w:instrText>
          </w:r>
          <w:r>
            <w:fldChar w:fldCharType="separate"/>
          </w:r>
          <w:r>
            <w:t>30</w:t>
          </w:r>
          <w:r>
            <w:fldChar w:fldCharType="end"/>
          </w:r>
          <w:r>
            <w:fldChar w:fldCharType="end"/>
          </w:r>
        </w:p>
        <w:p>
          <w:pPr>
            <w:pStyle w:val="14"/>
            <w:tabs>
              <w:tab w:val="right" w:leader="dot" w:pos="8306"/>
              <w:tab w:val="clear" w:pos="8296"/>
            </w:tabs>
          </w:pPr>
          <w:r>
            <w:fldChar w:fldCharType="begin"/>
          </w:r>
          <w:r>
            <w:instrText xml:space="preserve"> HYPERLINK \l _Toc25096 </w:instrText>
          </w:r>
          <w:r>
            <w:fldChar w:fldCharType="separate"/>
          </w:r>
          <w:r>
            <w:rPr>
              <w:rFonts w:hint="eastAsia" w:ascii="黑体" w:hAnsi="宋体" w:eastAsia="黑体"/>
              <w:szCs w:val="32"/>
            </w:rPr>
            <w:t>一、</w:t>
          </w:r>
          <w:r>
            <w:rPr>
              <w:rFonts w:hint="eastAsia" w:ascii="黑体" w:hAnsi="宋体" w:eastAsia="黑体"/>
              <w:szCs w:val="32"/>
              <w:lang w:val="zh-CN"/>
            </w:rPr>
            <w:t>项目概况</w:t>
          </w:r>
          <w:r>
            <w:tab/>
          </w:r>
          <w:r>
            <w:fldChar w:fldCharType="begin"/>
          </w:r>
          <w:r>
            <w:instrText xml:space="preserve"> PAGEREF _Toc25096 \h </w:instrText>
          </w:r>
          <w:r>
            <w:fldChar w:fldCharType="separate"/>
          </w:r>
          <w:r>
            <w:t>30</w:t>
          </w:r>
          <w:r>
            <w:fldChar w:fldCharType="end"/>
          </w:r>
          <w:r>
            <w:fldChar w:fldCharType="end"/>
          </w:r>
        </w:p>
        <w:p>
          <w:pPr>
            <w:pStyle w:val="14"/>
            <w:tabs>
              <w:tab w:val="right" w:leader="dot" w:pos="8306"/>
              <w:tab w:val="clear" w:pos="8296"/>
            </w:tabs>
          </w:pPr>
          <w:r>
            <w:fldChar w:fldCharType="begin"/>
          </w:r>
          <w:r>
            <w:instrText xml:space="preserve"> HYPERLINK \l _Toc20360 </w:instrText>
          </w:r>
          <w:r>
            <w:fldChar w:fldCharType="separate"/>
          </w:r>
          <w:r>
            <w:rPr>
              <w:rFonts w:hint="eastAsia" w:ascii="黑体" w:hAnsi="宋体" w:eastAsia="黑体"/>
              <w:szCs w:val="32"/>
            </w:rPr>
            <w:t>二、项目资金申报及使用情况</w:t>
          </w:r>
          <w:r>
            <w:tab/>
          </w:r>
          <w:r>
            <w:fldChar w:fldCharType="begin"/>
          </w:r>
          <w:r>
            <w:instrText xml:space="preserve"> PAGEREF _Toc20360 \h </w:instrText>
          </w:r>
          <w:r>
            <w:fldChar w:fldCharType="separate"/>
          </w:r>
          <w:r>
            <w:t>32</w:t>
          </w:r>
          <w:r>
            <w:fldChar w:fldCharType="end"/>
          </w:r>
          <w:r>
            <w:fldChar w:fldCharType="end"/>
          </w:r>
        </w:p>
        <w:p>
          <w:pPr>
            <w:pStyle w:val="14"/>
            <w:tabs>
              <w:tab w:val="right" w:leader="dot" w:pos="8306"/>
              <w:tab w:val="clear" w:pos="8296"/>
            </w:tabs>
          </w:pPr>
          <w:r>
            <w:fldChar w:fldCharType="begin"/>
          </w:r>
          <w:r>
            <w:instrText xml:space="preserve"> HYPERLINK \l _Toc29644 </w:instrText>
          </w:r>
          <w:r>
            <w:fldChar w:fldCharType="separate"/>
          </w:r>
          <w:r>
            <w:rPr>
              <w:rFonts w:hint="eastAsia" w:ascii="黑体" w:hAnsi="宋体" w:eastAsia="黑体"/>
              <w:szCs w:val="32"/>
            </w:rPr>
            <w:t>三、项目实施及管理情况</w:t>
          </w:r>
          <w:r>
            <w:tab/>
          </w:r>
          <w:r>
            <w:fldChar w:fldCharType="begin"/>
          </w:r>
          <w:r>
            <w:instrText xml:space="preserve"> PAGEREF _Toc29644 \h </w:instrText>
          </w:r>
          <w:r>
            <w:fldChar w:fldCharType="separate"/>
          </w:r>
          <w:r>
            <w:t>33</w:t>
          </w:r>
          <w:r>
            <w:fldChar w:fldCharType="end"/>
          </w:r>
          <w:r>
            <w:fldChar w:fldCharType="end"/>
          </w:r>
        </w:p>
        <w:p>
          <w:pPr>
            <w:pStyle w:val="14"/>
            <w:tabs>
              <w:tab w:val="right" w:leader="dot" w:pos="8306"/>
              <w:tab w:val="clear" w:pos="8296"/>
            </w:tabs>
          </w:pPr>
          <w:r>
            <w:fldChar w:fldCharType="begin"/>
          </w:r>
          <w:r>
            <w:instrText xml:space="preserve"> HYPERLINK \l _Toc6628 </w:instrText>
          </w:r>
          <w:r>
            <w:fldChar w:fldCharType="separate"/>
          </w:r>
          <w:r>
            <w:rPr>
              <w:rFonts w:hint="eastAsia" w:ascii="黑体" w:hAnsi="宋体" w:eastAsia="黑体"/>
              <w:szCs w:val="32"/>
            </w:rPr>
            <w:t>四、项目绩效情况</w:t>
          </w:r>
          <w:r>
            <w:tab/>
          </w:r>
          <w:r>
            <w:fldChar w:fldCharType="begin"/>
          </w:r>
          <w:r>
            <w:instrText xml:space="preserve"> PAGEREF _Toc6628 \h </w:instrText>
          </w:r>
          <w:r>
            <w:fldChar w:fldCharType="separate"/>
          </w:r>
          <w:r>
            <w:t>33</w:t>
          </w:r>
          <w:r>
            <w:fldChar w:fldCharType="end"/>
          </w:r>
          <w:r>
            <w:fldChar w:fldCharType="end"/>
          </w:r>
        </w:p>
        <w:p>
          <w:pPr>
            <w:pStyle w:val="14"/>
            <w:tabs>
              <w:tab w:val="right" w:leader="dot" w:pos="8306"/>
              <w:tab w:val="clear" w:pos="8296"/>
            </w:tabs>
          </w:pPr>
          <w:r>
            <w:fldChar w:fldCharType="begin"/>
          </w:r>
          <w:r>
            <w:instrText xml:space="preserve"> HYPERLINK \l _Toc9059 </w:instrText>
          </w:r>
          <w:r>
            <w:fldChar w:fldCharType="separate"/>
          </w:r>
          <w:r>
            <w:rPr>
              <w:rFonts w:hint="eastAsia" w:ascii="黑体" w:hAnsi="宋体" w:eastAsia="黑体"/>
              <w:szCs w:val="32"/>
            </w:rPr>
            <w:t>五、评价结论及建议</w:t>
          </w:r>
          <w:r>
            <w:tab/>
          </w:r>
          <w:r>
            <w:fldChar w:fldCharType="begin"/>
          </w:r>
          <w:r>
            <w:instrText xml:space="preserve"> PAGEREF _Toc9059 \h </w:instrText>
          </w:r>
          <w:r>
            <w:fldChar w:fldCharType="separate"/>
          </w:r>
          <w:r>
            <w:t>34</w:t>
          </w:r>
          <w:r>
            <w:fldChar w:fldCharType="end"/>
          </w:r>
          <w:r>
            <w:fldChar w:fldCharType="end"/>
          </w:r>
        </w:p>
        <w:p>
          <w:pPr>
            <w:pStyle w:val="13"/>
            <w:tabs>
              <w:tab w:val="right" w:leader="dot" w:pos="8306"/>
              <w:tab w:val="clear" w:pos="8296"/>
            </w:tabs>
          </w:pPr>
          <w:r>
            <w:fldChar w:fldCharType="begin"/>
          </w:r>
          <w:r>
            <w:instrText xml:space="preserve"> HYPERLINK \l _Toc13884 </w:instrText>
          </w:r>
          <w:r>
            <w:fldChar w:fldCharType="separate"/>
          </w:r>
          <w:r>
            <w:rPr>
              <w:rFonts w:hint="eastAsia" w:ascii="黑体" w:hAnsi="黑体" w:eastAsia="黑体"/>
              <w:szCs w:val="44"/>
            </w:rPr>
            <w:t>第</w:t>
          </w:r>
          <w:r>
            <w:rPr>
              <w:rFonts w:hint="eastAsia" w:ascii="黑体" w:hAnsi="黑体" w:eastAsia="黑体"/>
            </w:rPr>
            <w:t>五部分 附表</w:t>
          </w:r>
          <w:r>
            <w:tab/>
          </w:r>
          <w:r>
            <w:fldChar w:fldCharType="begin"/>
          </w:r>
          <w:r>
            <w:instrText xml:space="preserve"> PAGEREF _Toc13884 \h </w:instrText>
          </w:r>
          <w:r>
            <w:fldChar w:fldCharType="separate"/>
          </w:r>
          <w:r>
            <w:t>36</w:t>
          </w:r>
          <w:r>
            <w:fldChar w:fldCharType="end"/>
          </w:r>
          <w:r>
            <w:fldChar w:fldCharType="end"/>
          </w:r>
        </w:p>
        <w:p>
          <w:pPr>
            <w:pStyle w:val="14"/>
            <w:tabs>
              <w:tab w:val="right" w:leader="dot" w:pos="8306"/>
              <w:tab w:val="clear" w:pos="8296"/>
            </w:tabs>
            <w:rPr>
              <w:rFonts w:hint="eastAsia" w:ascii="黑体" w:hAnsi="宋体" w:eastAsia="黑体"/>
              <w:szCs w:val="32"/>
            </w:rPr>
          </w:pPr>
          <w:r>
            <w:rPr>
              <w:rFonts w:hint="eastAsia" w:ascii="黑体" w:hAnsi="宋体" w:eastAsia="黑体"/>
              <w:szCs w:val="32"/>
            </w:rPr>
            <w:fldChar w:fldCharType="begin"/>
          </w:r>
          <w:r>
            <w:rPr>
              <w:rFonts w:hint="eastAsia" w:ascii="黑体" w:hAnsi="宋体" w:eastAsia="黑体"/>
              <w:szCs w:val="32"/>
            </w:rPr>
            <w:instrText xml:space="preserve"> HYPERLINK \l _Toc18339 </w:instrText>
          </w:r>
          <w:r>
            <w:rPr>
              <w:rFonts w:hint="eastAsia" w:ascii="黑体" w:hAnsi="宋体" w:eastAsia="黑体"/>
              <w:szCs w:val="32"/>
            </w:rPr>
            <w:fldChar w:fldCharType="separate"/>
          </w:r>
          <w:r>
            <w:rPr>
              <w:rFonts w:hint="eastAsia" w:ascii="黑体" w:hAnsi="宋体" w:eastAsia="黑体"/>
              <w:szCs w:val="32"/>
            </w:rPr>
            <w:t>一、收入支出决算总表</w:t>
          </w:r>
          <w:r>
            <w:rPr>
              <w:rFonts w:hint="eastAsia" w:ascii="黑体" w:hAnsi="宋体" w:eastAsia="黑体"/>
              <w:szCs w:val="32"/>
            </w:rPr>
            <w:tab/>
          </w:r>
          <w:r>
            <w:rPr>
              <w:rFonts w:hint="eastAsia" w:ascii="黑体" w:hAnsi="宋体" w:eastAsia="黑体"/>
              <w:szCs w:val="32"/>
            </w:rPr>
            <w:fldChar w:fldCharType="begin"/>
          </w:r>
          <w:r>
            <w:rPr>
              <w:rFonts w:hint="eastAsia" w:ascii="黑体" w:hAnsi="宋体" w:eastAsia="黑体"/>
              <w:szCs w:val="32"/>
            </w:rPr>
            <w:instrText xml:space="preserve"> PAGEREF _Toc18339 \h </w:instrText>
          </w:r>
          <w:r>
            <w:rPr>
              <w:rFonts w:hint="eastAsia" w:ascii="黑体" w:hAnsi="宋体" w:eastAsia="黑体"/>
              <w:szCs w:val="32"/>
            </w:rPr>
            <w:fldChar w:fldCharType="separate"/>
          </w:r>
          <w:r>
            <w:rPr>
              <w:rFonts w:hint="eastAsia" w:ascii="黑体" w:hAnsi="宋体" w:eastAsia="黑体"/>
              <w:szCs w:val="32"/>
            </w:rPr>
            <w:t>36</w:t>
          </w:r>
          <w:r>
            <w:rPr>
              <w:rFonts w:hint="eastAsia" w:ascii="黑体" w:hAnsi="宋体" w:eastAsia="黑体"/>
              <w:szCs w:val="32"/>
            </w:rPr>
            <w:fldChar w:fldCharType="end"/>
          </w:r>
          <w:r>
            <w:rPr>
              <w:rFonts w:hint="eastAsia" w:ascii="黑体" w:hAnsi="宋体" w:eastAsia="黑体"/>
              <w:szCs w:val="32"/>
            </w:rPr>
            <w:fldChar w:fldCharType="end"/>
          </w:r>
        </w:p>
        <w:p>
          <w:pPr>
            <w:pStyle w:val="14"/>
            <w:tabs>
              <w:tab w:val="right" w:leader="dot" w:pos="8306"/>
              <w:tab w:val="clear" w:pos="8296"/>
            </w:tabs>
            <w:rPr>
              <w:rFonts w:hint="eastAsia" w:ascii="黑体" w:hAnsi="宋体" w:eastAsia="黑体"/>
              <w:szCs w:val="32"/>
            </w:rPr>
          </w:pPr>
          <w:r>
            <w:rPr>
              <w:rFonts w:hint="eastAsia" w:ascii="黑体" w:hAnsi="宋体" w:eastAsia="黑体"/>
              <w:szCs w:val="32"/>
            </w:rPr>
            <w:fldChar w:fldCharType="begin"/>
          </w:r>
          <w:r>
            <w:rPr>
              <w:rFonts w:hint="eastAsia" w:ascii="黑体" w:hAnsi="宋体" w:eastAsia="黑体"/>
              <w:szCs w:val="32"/>
            </w:rPr>
            <w:instrText xml:space="preserve"> HYPERLINK \l _Toc28108 </w:instrText>
          </w:r>
          <w:r>
            <w:rPr>
              <w:rFonts w:hint="eastAsia" w:ascii="黑体" w:hAnsi="宋体" w:eastAsia="黑体"/>
              <w:szCs w:val="32"/>
            </w:rPr>
            <w:fldChar w:fldCharType="separate"/>
          </w:r>
          <w:r>
            <w:rPr>
              <w:rFonts w:hint="eastAsia" w:ascii="黑体" w:hAnsi="宋体" w:eastAsia="黑体"/>
              <w:szCs w:val="32"/>
            </w:rPr>
            <w:t>二、收入决算表</w:t>
          </w:r>
          <w:r>
            <w:rPr>
              <w:rFonts w:hint="eastAsia" w:ascii="黑体" w:hAnsi="宋体" w:eastAsia="黑体"/>
              <w:szCs w:val="32"/>
            </w:rPr>
            <w:tab/>
          </w:r>
          <w:r>
            <w:rPr>
              <w:rFonts w:hint="eastAsia" w:ascii="黑体" w:hAnsi="宋体" w:eastAsia="黑体"/>
              <w:szCs w:val="32"/>
            </w:rPr>
            <w:fldChar w:fldCharType="begin"/>
          </w:r>
          <w:r>
            <w:rPr>
              <w:rFonts w:hint="eastAsia" w:ascii="黑体" w:hAnsi="宋体" w:eastAsia="黑体"/>
              <w:szCs w:val="32"/>
            </w:rPr>
            <w:instrText xml:space="preserve"> PAGEREF _Toc28108 \h </w:instrText>
          </w:r>
          <w:r>
            <w:rPr>
              <w:rFonts w:hint="eastAsia" w:ascii="黑体" w:hAnsi="宋体" w:eastAsia="黑体"/>
              <w:szCs w:val="32"/>
            </w:rPr>
            <w:fldChar w:fldCharType="separate"/>
          </w:r>
          <w:r>
            <w:rPr>
              <w:rFonts w:hint="eastAsia" w:ascii="黑体" w:hAnsi="宋体" w:eastAsia="黑体"/>
              <w:szCs w:val="32"/>
            </w:rPr>
            <w:t>36</w:t>
          </w:r>
          <w:r>
            <w:rPr>
              <w:rFonts w:hint="eastAsia" w:ascii="黑体" w:hAnsi="宋体" w:eastAsia="黑体"/>
              <w:szCs w:val="32"/>
            </w:rPr>
            <w:fldChar w:fldCharType="end"/>
          </w:r>
          <w:r>
            <w:rPr>
              <w:rFonts w:hint="eastAsia" w:ascii="黑体" w:hAnsi="宋体" w:eastAsia="黑体"/>
              <w:szCs w:val="32"/>
            </w:rPr>
            <w:fldChar w:fldCharType="end"/>
          </w:r>
        </w:p>
        <w:p>
          <w:pPr>
            <w:pStyle w:val="14"/>
            <w:tabs>
              <w:tab w:val="right" w:leader="dot" w:pos="8306"/>
              <w:tab w:val="clear" w:pos="8296"/>
            </w:tabs>
            <w:rPr>
              <w:rFonts w:hint="eastAsia" w:ascii="黑体" w:hAnsi="宋体" w:eastAsia="黑体"/>
              <w:szCs w:val="32"/>
            </w:rPr>
          </w:pPr>
          <w:r>
            <w:rPr>
              <w:rFonts w:hint="eastAsia" w:ascii="黑体" w:hAnsi="宋体" w:eastAsia="黑体"/>
              <w:szCs w:val="32"/>
            </w:rPr>
            <w:fldChar w:fldCharType="begin"/>
          </w:r>
          <w:r>
            <w:rPr>
              <w:rFonts w:hint="eastAsia" w:ascii="黑体" w:hAnsi="宋体" w:eastAsia="黑体"/>
              <w:szCs w:val="32"/>
            </w:rPr>
            <w:instrText xml:space="preserve"> HYPERLINK \l _Toc932 </w:instrText>
          </w:r>
          <w:r>
            <w:rPr>
              <w:rFonts w:hint="eastAsia" w:ascii="黑体" w:hAnsi="宋体" w:eastAsia="黑体"/>
              <w:szCs w:val="32"/>
            </w:rPr>
            <w:fldChar w:fldCharType="separate"/>
          </w:r>
          <w:r>
            <w:rPr>
              <w:rFonts w:hint="eastAsia" w:ascii="黑体" w:hAnsi="宋体" w:eastAsia="黑体"/>
              <w:szCs w:val="32"/>
            </w:rPr>
            <w:t>三、支出决算表</w:t>
          </w:r>
          <w:r>
            <w:rPr>
              <w:rFonts w:hint="eastAsia" w:ascii="黑体" w:hAnsi="宋体" w:eastAsia="黑体"/>
              <w:szCs w:val="32"/>
            </w:rPr>
            <w:tab/>
          </w:r>
          <w:r>
            <w:rPr>
              <w:rFonts w:hint="eastAsia" w:ascii="黑体" w:hAnsi="宋体" w:eastAsia="黑体"/>
              <w:szCs w:val="32"/>
            </w:rPr>
            <w:fldChar w:fldCharType="begin"/>
          </w:r>
          <w:r>
            <w:rPr>
              <w:rFonts w:hint="eastAsia" w:ascii="黑体" w:hAnsi="宋体" w:eastAsia="黑体"/>
              <w:szCs w:val="32"/>
            </w:rPr>
            <w:instrText xml:space="preserve"> PAGEREF _Toc932 \h </w:instrText>
          </w:r>
          <w:r>
            <w:rPr>
              <w:rFonts w:hint="eastAsia" w:ascii="黑体" w:hAnsi="宋体" w:eastAsia="黑体"/>
              <w:szCs w:val="32"/>
            </w:rPr>
            <w:fldChar w:fldCharType="separate"/>
          </w:r>
          <w:r>
            <w:rPr>
              <w:rFonts w:hint="eastAsia" w:ascii="黑体" w:hAnsi="宋体" w:eastAsia="黑体"/>
              <w:szCs w:val="32"/>
            </w:rPr>
            <w:t>36</w:t>
          </w:r>
          <w:r>
            <w:rPr>
              <w:rFonts w:hint="eastAsia" w:ascii="黑体" w:hAnsi="宋体" w:eastAsia="黑体"/>
              <w:szCs w:val="32"/>
            </w:rPr>
            <w:fldChar w:fldCharType="end"/>
          </w:r>
          <w:r>
            <w:rPr>
              <w:rFonts w:hint="eastAsia" w:ascii="黑体" w:hAnsi="宋体" w:eastAsia="黑体"/>
              <w:szCs w:val="32"/>
            </w:rPr>
            <w:fldChar w:fldCharType="end"/>
          </w:r>
        </w:p>
        <w:p>
          <w:pPr>
            <w:pStyle w:val="14"/>
            <w:tabs>
              <w:tab w:val="right" w:leader="dot" w:pos="8306"/>
              <w:tab w:val="clear" w:pos="8296"/>
            </w:tabs>
            <w:rPr>
              <w:rFonts w:hint="eastAsia" w:ascii="黑体" w:hAnsi="宋体" w:eastAsia="黑体"/>
              <w:szCs w:val="32"/>
            </w:rPr>
          </w:pPr>
          <w:r>
            <w:rPr>
              <w:rFonts w:hint="eastAsia" w:ascii="黑体" w:hAnsi="宋体" w:eastAsia="黑体"/>
              <w:szCs w:val="32"/>
            </w:rPr>
            <w:fldChar w:fldCharType="begin"/>
          </w:r>
          <w:r>
            <w:rPr>
              <w:rFonts w:hint="eastAsia" w:ascii="黑体" w:hAnsi="宋体" w:eastAsia="黑体"/>
              <w:szCs w:val="32"/>
            </w:rPr>
            <w:instrText xml:space="preserve"> HYPERLINK \l _Toc8915 </w:instrText>
          </w:r>
          <w:r>
            <w:rPr>
              <w:rFonts w:hint="eastAsia" w:ascii="黑体" w:hAnsi="宋体" w:eastAsia="黑体"/>
              <w:szCs w:val="32"/>
            </w:rPr>
            <w:fldChar w:fldCharType="separate"/>
          </w:r>
          <w:r>
            <w:rPr>
              <w:rFonts w:hint="eastAsia" w:ascii="黑体" w:hAnsi="宋体" w:eastAsia="黑体"/>
              <w:szCs w:val="32"/>
            </w:rPr>
            <w:t>四、财政拨款收入支出决算总表</w:t>
          </w:r>
          <w:r>
            <w:rPr>
              <w:rFonts w:hint="eastAsia" w:ascii="黑体" w:hAnsi="宋体" w:eastAsia="黑体"/>
              <w:szCs w:val="32"/>
            </w:rPr>
            <w:tab/>
          </w:r>
          <w:r>
            <w:rPr>
              <w:rFonts w:hint="eastAsia" w:ascii="黑体" w:hAnsi="宋体" w:eastAsia="黑体"/>
              <w:szCs w:val="32"/>
            </w:rPr>
            <w:fldChar w:fldCharType="begin"/>
          </w:r>
          <w:r>
            <w:rPr>
              <w:rFonts w:hint="eastAsia" w:ascii="黑体" w:hAnsi="宋体" w:eastAsia="黑体"/>
              <w:szCs w:val="32"/>
            </w:rPr>
            <w:instrText xml:space="preserve"> PAGEREF _Toc8915 \h </w:instrText>
          </w:r>
          <w:r>
            <w:rPr>
              <w:rFonts w:hint="eastAsia" w:ascii="黑体" w:hAnsi="宋体" w:eastAsia="黑体"/>
              <w:szCs w:val="32"/>
            </w:rPr>
            <w:fldChar w:fldCharType="separate"/>
          </w:r>
          <w:r>
            <w:rPr>
              <w:rFonts w:hint="eastAsia" w:ascii="黑体" w:hAnsi="宋体" w:eastAsia="黑体"/>
              <w:szCs w:val="32"/>
            </w:rPr>
            <w:t>36</w:t>
          </w:r>
          <w:r>
            <w:rPr>
              <w:rFonts w:hint="eastAsia" w:ascii="黑体" w:hAnsi="宋体" w:eastAsia="黑体"/>
              <w:szCs w:val="32"/>
            </w:rPr>
            <w:fldChar w:fldCharType="end"/>
          </w:r>
          <w:r>
            <w:rPr>
              <w:rFonts w:hint="eastAsia" w:ascii="黑体" w:hAnsi="宋体" w:eastAsia="黑体"/>
              <w:szCs w:val="32"/>
            </w:rPr>
            <w:fldChar w:fldCharType="end"/>
          </w:r>
        </w:p>
        <w:p>
          <w:pPr>
            <w:pStyle w:val="14"/>
            <w:tabs>
              <w:tab w:val="right" w:leader="dot" w:pos="8306"/>
              <w:tab w:val="clear" w:pos="8296"/>
            </w:tabs>
            <w:rPr>
              <w:rFonts w:hint="eastAsia" w:ascii="黑体" w:hAnsi="宋体" w:eastAsia="黑体"/>
              <w:szCs w:val="32"/>
            </w:rPr>
          </w:pPr>
          <w:r>
            <w:rPr>
              <w:rFonts w:hint="eastAsia" w:ascii="黑体" w:hAnsi="宋体" w:eastAsia="黑体"/>
              <w:szCs w:val="32"/>
            </w:rPr>
            <w:fldChar w:fldCharType="begin"/>
          </w:r>
          <w:r>
            <w:rPr>
              <w:rFonts w:hint="eastAsia" w:ascii="黑体" w:hAnsi="宋体" w:eastAsia="黑体"/>
              <w:szCs w:val="32"/>
            </w:rPr>
            <w:instrText xml:space="preserve"> HYPERLINK \l _Toc30223 </w:instrText>
          </w:r>
          <w:r>
            <w:rPr>
              <w:rFonts w:hint="eastAsia" w:ascii="黑体" w:hAnsi="宋体" w:eastAsia="黑体"/>
              <w:szCs w:val="32"/>
            </w:rPr>
            <w:fldChar w:fldCharType="separate"/>
          </w:r>
          <w:r>
            <w:rPr>
              <w:rFonts w:hint="eastAsia" w:ascii="黑体" w:hAnsi="宋体" w:eastAsia="黑体"/>
              <w:szCs w:val="32"/>
            </w:rPr>
            <w:t>五、财政拨款支出决算明细表</w:t>
          </w:r>
          <w:r>
            <w:rPr>
              <w:rFonts w:hint="eastAsia" w:ascii="黑体" w:hAnsi="宋体" w:eastAsia="黑体"/>
              <w:szCs w:val="32"/>
            </w:rPr>
            <w:tab/>
          </w:r>
          <w:r>
            <w:rPr>
              <w:rFonts w:hint="eastAsia" w:ascii="黑体" w:hAnsi="宋体" w:eastAsia="黑体"/>
              <w:szCs w:val="32"/>
            </w:rPr>
            <w:fldChar w:fldCharType="begin"/>
          </w:r>
          <w:r>
            <w:rPr>
              <w:rFonts w:hint="eastAsia" w:ascii="黑体" w:hAnsi="宋体" w:eastAsia="黑体"/>
              <w:szCs w:val="32"/>
            </w:rPr>
            <w:instrText xml:space="preserve"> PAGEREF _Toc30223 \h </w:instrText>
          </w:r>
          <w:r>
            <w:rPr>
              <w:rFonts w:hint="eastAsia" w:ascii="黑体" w:hAnsi="宋体" w:eastAsia="黑体"/>
              <w:szCs w:val="32"/>
            </w:rPr>
            <w:fldChar w:fldCharType="separate"/>
          </w:r>
          <w:r>
            <w:rPr>
              <w:rFonts w:hint="eastAsia" w:ascii="黑体" w:hAnsi="宋体" w:eastAsia="黑体"/>
              <w:szCs w:val="32"/>
            </w:rPr>
            <w:t>36</w:t>
          </w:r>
          <w:r>
            <w:rPr>
              <w:rFonts w:hint="eastAsia" w:ascii="黑体" w:hAnsi="宋体" w:eastAsia="黑体"/>
              <w:szCs w:val="32"/>
            </w:rPr>
            <w:fldChar w:fldCharType="end"/>
          </w:r>
          <w:r>
            <w:rPr>
              <w:rFonts w:hint="eastAsia" w:ascii="黑体" w:hAnsi="宋体" w:eastAsia="黑体"/>
              <w:szCs w:val="32"/>
            </w:rPr>
            <w:fldChar w:fldCharType="end"/>
          </w:r>
        </w:p>
        <w:p>
          <w:pPr>
            <w:pStyle w:val="14"/>
            <w:tabs>
              <w:tab w:val="right" w:leader="dot" w:pos="8306"/>
              <w:tab w:val="clear" w:pos="8296"/>
            </w:tabs>
            <w:rPr>
              <w:rFonts w:hint="eastAsia" w:ascii="黑体" w:hAnsi="宋体" w:eastAsia="黑体"/>
              <w:szCs w:val="32"/>
            </w:rPr>
          </w:pPr>
          <w:r>
            <w:rPr>
              <w:rFonts w:hint="eastAsia" w:ascii="黑体" w:hAnsi="宋体" w:eastAsia="黑体"/>
              <w:szCs w:val="32"/>
            </w:rPr>
            <w:fldChar w:fldCharType="begin"/>
          </w:r>
          <w:r>
            <w:rPr>
              <w:rFonts w:hint="eastAsia" w:ascii="黑体" w:hAnsi="宋体" w:eastAsia="黑体"/>
              <w:szCs w:val="32"/>
            </w:rPr>
            <w:instrText xml:space="preserve"> HYPERLINK \l _Toc12594 </w:instrText>
          </w:r>
          <w:r>
            <w:rPr>
              <w:rFonts w:hint="eastAsia" w:ascii="黑体" w:hAnsi="宋体" w:eastAsia="黑体"/>
              <w:szCs w:val="32"/>
            </w:rPr>
            <w:fldChar w:fldCharType="separate"/>
          </w:r>
          <w:r>
            <w:rPr>
              <w:rFonts w:hint="eastAsia" w:ascii="黑体" w:hAnsi="宋体" w:eastAsia="黑体"/>
              <w:szCs w:val="32"/>
            </w:rPr>
            <w:t>六、一般公共预算财政拨款支出决算表</w:t>
          </w:r>
          <w:r>
            <w:rPr>
              <w:rFonts w:hint="eastAsia" w:ascii="黑体" w:hAnsi="宋体" w:eastAsia="黑体"/>
              <w:szCs w:val="32"/>
            </w:rPr>
            <w:tab/>
          </w:r>
          <w:r>
            <w:rPr>
              <w:rFonts w:hint="eastAsia" w:ascii="黑体" w:hAnsi="宋体" w:eastAsia="黑体"/>
              <w:szCs w:val="32"/>
            </w:rPr>
            <w:fldChar w:fldCharType="begin"/>
          </w:r>
          <w:r>
            <w:rPr>
              <w:rFonts w:hint="eastAsia" w:ascii="黑体" w:hAnsi="宋体" w:eastAsia="黑体"/>
              <w:szCs w:val="32"/>
            </w:rPr>
            <w:instrText xml:space="preserve"> PAGEREF _Toc12594 \h </w:instrText>
          </w:r>
          <w:r>
            <w:rPr>
              <w:rFonts w:hint="eastAsia" w:ascii="黑体" w:hAnsi="宋体" w:eastAsia="黑体"/>
              <w:szCs w:val="32"/>
            </w:rPr>
            <w:fldChar w:fldCharType="separate"/>
          </w:r>
          <w:r>
            <w:rPr>
              <w:rFonts w:hint="eastAsia" w:ascii="黑体" w:hAnsi="宋体" w:eastAsia="黑体"/>
              <w:szCs w:val="32"/>
            </w:rPr>
            <w:t>36</w:t>
          </w:r>
          <w:r>
            <w:rPr>
              <w:rFonts w:hint="eastAsia" w:ascii="黑体" w:hAnsi="宋体" w:eastAsia="黑体"/>
              <w:szCs w:val="32"/>
            </w:rPr>
            <w:fldChar w:fldCharType="end"/>
          </w:r>
          <w:r>
            <w:rPr>
              <w:rFonts w:hint="eastAsia" w:ascii="黑体" w:hAnsi="宋体" w:eastAsia="黑体"/>
              <w:szCs w:val="32"/>
            </w:rPr>
            <w:fldChar w:fldCharType="end"/>
          </w:r>
        </w:p>
        <w:p>
          <w:pPr>
            <w:pStyle w:val="14"/>
            <w:tabs>
              <w:tab w:val="right" w:leader="dot" w:pos="8306"/>
              <w:tab w:val="clear" w:pos="8296"/>
            </w:tabs>
            <w:rPr>
              <w:rFonts w:hint="eastAsia" w:ascii="黑体" w:hAnsi="宋体" w:eastAsia="黑体"/>
              <w:szCs w:val="32"/>
            </w:rPr>
          </w:pPr>
          <w:r>
            <w:rPr>
              <w:rFonts w:hint="eastAsia" w:ascii="黑体" w:hAnsi="宋体" w:eastAsia="黑体"/>
              <w:szCs w:val="32"/>
            </w:rPr>
            <w:fldChar w:fldCharType="begin"/>
          </w:r>
          <w:r>
            <w:rPr>
              <w:rFonts w:hint="eastAsia" w:ascii="黑体" w:hAnsi="宋体" w:eastAsia="黑体"/>
              <w:szCs w:val="32"/>
            </w:rPr>
            <w:instrText xml:space="preserve"> HYPERLINK \l _Toc19377 </w:instrText>
          </w:r>
          <w:r>
            <w:rPr>
              <w:rFonts w:hint="eastAsia" w:ascii="黑体" w:hAnsi="宋体" w:eastAsia="黑体"/>
              <w:szCs w:val="32"/>
            </w:rPr>
            <w:fldChar w:fldCharType="separate"/>
          </w:r>
          <w:r>
            <w:rPr>
              <w:rFonts w:hint="eastAsia" w:ascii="黑体" w:hAnsi="宋体" w:eastAsia="黑体"/>
              <w:szCs w:val="32"/>
            </w:rPr>
            <w:t>七、一般公共预算财政拨款支出决算明细表</w:t>
          </w:r>
          <w:r>
            <w:rPr>
              <w:rFonts w:hint="eastAsia" w:ascii="黑体" w:hAnsi="宋体" w:eastAsia="黑体"/>
              <w:szCs w:val="32"/>
            </w:rPr>
            <w:tab/>
          </w:r>
          <w:r>
            <w:rPr>
              <w:rFonts w:hint="eastAsia" w:ascii="黑体" w:hAnsi="宋体" w:eastAsia="黑体"/>
              <w:szCs w:val="32"/>
            </w:rPr>
            <w:fldChar w:fldCharType="begin"/>
          </w:r>
          <w:r>
            <w:rPr>
              <w:rFonts w:hint="eastAsia" w:ascii="黑体" w:hAnsi="宋体" w:eastAsia="黑体"/>
              <w:szCs w:val="32"/>
            </w:rPr>
            <w:instrText xml:space="preserve"> PAGEREF _Toc19377 \h </w:instrText>
          </w:r>
          <w:r>
            <w:rPr>
              <w:rFonts w:hint="eastAsia" w:ascii="黑体" w:hAnsi="宋体" w:eastAsia="黑体"/>
              <w:szCs w:val="32"/>
            </w:rPr>
            <w:fldChar w:fldCharType="separate"/>
          </w:r>
          <w:r>
            <w:rPr>
              <w:rFonts w:hint="eastAsia" w:ascii="黑体" w:hAnsi="宋体" w:eastAsia="黑体"/>
              <w:szCs w:val="32"/>
            </w:rPr>
            <w:t>36</w:t>
          </w:r>
          <w:r>
            <w:rPr>
              <w:rFonts w:hint="eastAsia" w:ascii="黑体" w:hAnsi="宋体" w:eastAsia="黑体"/>
              <w:szCs w:val="32"/>
            </w:rPr>
            <w:fldChar w:fldCharType="end"/>
          </w:r>
          <w:r>
            <w:rPr>
              <w:rFonts w:hint="eastAsia" w:ascii="黑体" w:hAnsi="宋体" w:eastAsia="黑体"/>
              <w:szCs w:val="32"/>
            </w:rPr>
            <w:fldChar w:fldCharType="end"/>
          </w:r>
        </w:p>
        <w:p>
          <w:pPr>
            <w:pStyle w:val="14"/>
            <w:tabs>
              <w:tab w:val="right" w:leader="dot" w:pos="8306"/>
              <w:tab w:val="clear" w:pos="8296"/>
            </w:tabs>
            <w:rPr>
              <w:rFonts w:hint="eastAsia" w:ascii="黑体" w:hAnsi="宋体" w:eastAsia="黑体"/>
              <w:szCs w:val="32"/>
            </w:rPr>
          </w:pPr>
          <w:r>
            <w:rPr>
              <w:rFonts w:hint="eastAsia" w:ascii="黑体" w:hAnsi="宋体" w:eastAsia="黑体"/>
              <w:szCs w:val="32"/>
            </w:rPr>
            <w:fldChar w:fldCharType="begin"/>
          </w:r>
          <w:r>
            <w:rPr>
              <w:rFonts w:hint="eastAsia" w:ascii="黑体" w:hAnsi="宋体" w:eastAsia="黑体"/>
              <w:szCs w:val="32"/>
            </w:rPr>
            <w:instrText xml:space="preserve"> HYPERLINK \l _Toc6443 </w:instrText>
          </w:r>
          <w:r>
            <w:rPr>
              <w:rFonts w:hint="eastAsia" w:ascii="黑体" w:hAnsi="宋体" w:eastAsia="黑体"/>
              <w:szCs w:val="32"/>
            </w:rPr>
            <w:fldChar w:fldCharType="separate"/>
          </w:r>
          <w:r>
            <w:rPr>
              <w:rFonts w:hint="eastAsia" w:ascii="黑体" w:hAnsi="宋体" w:eastAsia="黑体"/>
              <w:szCs w:val="32"/>
            </w:rPr>
            <w:t>八、一般公共预算财政拨款基本支出决算表</w:t>
          </w:r>
          <w:r>
            <w:rPr>
              <w:rFonts w:hint="eastAsia" w:ascii="黑体" w:hAnsi="宋体" w:eastAsia="黑体"/>
              <w:szCs w:val="32"/>
            </w:rPr>
            <w:tab/>
          </w:r>
          <w:r>
            <w:rPr>
              <w:rFonts w:hint="eastAsia" w:ascii="黑体" w:hAnsi="宋体" w:eastAsia="黑体"/>
              <w:szCs w:val="32"/>
            </w:rPr>
            <w:fldChar w:fldCharType="begin"/>
          </w:r>
          <w:r>
            <w:rPr>
              <w:rFonts w:hint="eastAsia" w:ascii="黑体" w:hAnsi="宋体" w:eastAsia="黑体"/>
              <w:szCs w:val="32"/>
            </w:rPr>
            <w:instrText xml:space="preserve"> PAGEREF _Toc6443 \h </w:instrText>
          </w:r>
          <w:r>
            <w:rPr>
              <w:rFonts w:hint="eastAsia" w:ascii="黑体" w:hAnsi="宋体" w:eastAsia="黑体"/>
              <w:szCs w:val="32"/>
            </w:rPr>
            <w:fldChar w:fldCharType="separate"/>
          </w:r>
          <w:r>
            <w:rPr>
              <w:rFonts w:hint="eastAsia" w:ascii="黑体" w:hAnsi="宋体" w:eastAsia="黑体"/>
              <w:szCs w:val="32"/>
            </w:rPr>
            <w:t>36</w:t>
          </w:r>
          <w:r>
            <w:rPr>
              <w:rFonts w:hint="eastAsia" w:ascii="黑体" w:hAnsi="宋体" w:eastAsia="黑体"/>
              <w:szCs w:val="32"/>
            </w:rPr>
            <w:fldChar w:fldCharType="end"/>
          </w:r>
          <w:r>
            <w:rPr>
              <w:rFonts w:hint="eastAsia" w:ascii="黑体" w:hAnsi="宋体" w:eastAsia="黑体"/>
              <w:szCs w:val="32"/>
            </w:rPr>
            <w:fldChar w:fldCharType="end"/>
          </w:r>
        </w:p>
        <w:p>
          <w:pPr>
            <w:pStyle w:val="14"/>
            <w:tabs>
              <w:tab w:val="right" w:leader="dot" w:pos="8306"/>
              <w:tab w:val="clear" w:pos="8296"/>
            </w:tabs>
            <w:rPr>
              <w:rFonts w:hint="eastAsia" w:ascii="黑体" w:hAnsi="宋体" w:eastAsia="黑体"/>
              <w:szCs w:val="32"/>
            </w:rPr>
          </w:pPr>
          <w:r>
            <w:rPr>
              <w:rFonts w:hint="eastAsia" w:ascii="黑体" w:hAnsi="宋体" w:eastAsia="黑体"/>
              <w:szCs w:val="32"/>
            </w:rPr>
            <w:fldChar w:fldCharType="begin"/>
          </w:r>
          <w:r>
            <w:rPr>
              <w:rFonts w:hint="eastAsia" w:ascii="黑体" w:hAnsi="宋体" w:eastAsia="黑体"/>
              <w:szCs w:val="32"/>
            </w:rPr>
            <w:instrText xml:space="preserve"> HYPERLINK \l _Toc6089 </w:instrText>
          </w:r>
          <w:r>
            <w:rPr>
              <w:rFonts w:hint="eastAsia" w:ascii="黑体" w:hAnsi="宋体" w:eastAsia="黑体"/>
              <w:szCs w:val="32"/>
            </w:rPr>
            <w:fldChar w:fldCharType="separate"/>
          </w:r>
          <w:r>
            <w:rPr>
              <w:rFonts w:hint="eastAsia" w:ascii="黑体" w:hAnsi="宋体" w:eastAsia="黑体"/>
              <w:szCs w:val="32"/>
            </w:rPr>
            <w:t>九、一般公共预算财政拨款项目支出决算表</w:t>
          </w:r>
          <w:r>
            <w:rPr>
              <w:rFonts w:hint="eastAsia" w:ascii="黑体" w:hAnsi="宋体" w:eastAsia="黑体"/>
              <w:szCs w:val="32"/>
            </w:rPr>
            <w:tab/>
          </w:r>
          <w:r>
            <w:rPr>
              <w:rFonts w:hint="eastAsia" w:ascii="黑体" w:hAnsi="宋体" w:eastAsia="黑体"/>
              <w:szCs w:val="32"/>
            </w:rPr>
            <w:fldChar w:fldCharType="begin"/>
          </w:r>
          <w:r>
            <w:rPr>
              <w:rFonts w:hint="eastAsia" w:ascii="黑体" w:hAnsi="宋体" w:eastAsia="黑体"/>
              <w:szCs w:val="32"/>
            </w:rPr>
            <w:instrText xml:space="preserve"> PAGEREF _Toc6089 \h </w:instrText>
          </w:r>
          <w:r>
            <w:rPr>
              <w:rFonts w:hint="eastAsia" w:ascii="黑体" w:hAnsi="宋体" w:eastAsia="黑体"/>
              <w:szCs w:val="32"/>
            </w:rPr>
            <w:fldChar w:fldCharType="separate"/>
          </w:r>
          <w:r>
            <w:rPr>
              <w:rFonts w:hint="eastAsia" w:ascii="黑体" w:hAnsi="宋体" w:eastAsia="黑体"/>
              <w:szCs w:val="32"/>
            </w:rPr>
            <w:t>36</w:t>
          </w:r>
          <w:r>
            <w:rPr>
              <w:rFonts w:hint="eastAsia" w:ascii="黑体" w:hAnsi="宋体" w:eastAsia="黑体"/>
              <w:szCs w:val="32"/>
            </w:rPr>
            <w:fldChar w:fldCharType="end"/>
          </w:r>
          <w:r>
            <w:rPr>
              <w:rFonts w:hint="eastAsia" w:ascii="黑体" w:hAnsi="宋体" w:eastAsia="黑体"/>
              <w:szCs w:val="32"/>
            </w:rPr>
            <w:fldChar w:fldCharType="end"/>
          </w:r>
        </w:p>
        <w:p>
          <w:pPr>
            <w:pStyle w:val="14"/>
            <w:tabs>
              <w:tab w:val="right" w:leader="dot" w:pos="8306"/>
              <w:tab w:val="clear" w:pos="8296"/>
            </w:tabs>
            <w:rPr>
              <w:rFonts w:hint="eastAsia" w:ascii="黑体" w:hAnsi="宋体" w:eastAsia="黑体"/>
              <w:szCs w:val="32"/>
            </w:rPr>
          </w:pPr>
          <w:r>
            <w:rPr>
              <w:rFonts w:hint="eastAsia" w:ascii="黑体" w:hAnsi="宋体" w:eastAsia="黑体"/>
              <w:szCs w:val="32"/>
            </w:rPr>
            <w:fldChar w:fldCharType="begin"/>
          </w:r>
          <w:r>
            <w:rPr>
              <w:rFonts w:hint="eastAsia" w:ascii="黑体" w:hAnsi="宋体" w:eastAsia="黑体"/>
              <w:szCs w:val="32"/>
            </w:rPr>
            <w:instrText xml:space="preserve"> HYPERLINK \l _Toc27899 </w:instrText>
          </w:r>
          <w:r>
            <w:rPr>
              <w:rFonts w:hint="eastAsia" w:ascii="黑体" w:hAnsi="宋体" w:eastAsia="黑体"/>
              <w:szCs w:val="32"/>
            </w:rPr>
            <w:fldChar w:fldCharType="separate"/>
          </w:r>
          <w:r>
            <w:rPr>
              <w:rFonts w:hint="eastAsia" w:ascii="黑体" w:hAnsi="宋体" w:eastAsia="黑体"/>
              <w:szCs w:val="32"/>
            </w:rPr>
            <w:t>十、政府性基金预算财政拨款收入支出决算表</w:t>
          </w:r>
          <w:r>
            <w:rPr>
              <w:rFonts w:hint="eastAsia" w:ascii="黑体" w:hAnsi="宋体" w:eastAsia="黑体"/>
              <w:szCs w:val="32"/>
            </w:rPr>
            <w:tab/>
          </w:r>
          <w:r>
            <w:rPr>
              <w:rFonts w:hint="eastAsia" w:ascii="黑体" w:hAnsi="宋体" w:eastAsia="黑体"/>
              <w:szCs w:val="32"/>
            </w:rPr>
            <w:fldChar w:fldCharType="begin"/>
          </w:r>
          <w:r>
            <w:rPr>
              <w:rFonts w:hint="eastAsia" w:ascii="黑体" w:hAnsi="宋体" w:eastAsia="黑体"/>
              <w:szCs w:val="32"/>
            </w:rPr>
            <w:instrText xml:space="preserve"> PAGEREF _Toc27899 \h </w:instrText>
          </w:r>
          <w:r>
            <w:rPr>
              <w:rFonts w:hint="eastAsia" w:ascii="黑体" w:hAnsi="宋体" w:eastAsia="黑体"/>
              <w:szCs w:val="32"/>
            </w:rPr>
            <w:fldChar w:fldCharType="separate"/>
          </w:r>
          <w:r>
            <w:rPr>
              <w:rFonts w:hint="eastAsia" w:ascii="黑体" w:hAnsi="宋体" w:eastAsia="黑体"/>
              <w:szCs w:val="32"/>
            </w:rPr>
            <w:t>36</w:t>
          </w:r>
          <w:r>
            <w:rPr>
              <w:rFonts w:hint="eastAsia" w:ascii="黑体" w:hAnsi="宋体" w:eastAsia="黑体"/>
              <w:szCs w:val="32"/>
            </w:rPr>
            <w:fldChar w:fldCharType="end"/>
          </w:r>
          <w:r>
            <w:rPr>
              <w:rFonts w:hint="eastAsia" w:ascii="黑体" w:hAnsi="宋体" w:eastAsia="黑体"/>
              <w:szCs w:val="32"/>
            </w:rPr>
            <w:fldChar w:fldCharType="end"/>
          </w:r>
        </w:p>
        <w:p>
          <w:pPr>
            <w:pStyle w:val="14"/>
            <w:tabs>
              <w:tab w:val="right" w:leader="dot" w:pos="8306"/>
              <w:tab w:val="clear" w:pos="8296"/>
            </w:tabs>
            <w:rPr>
              <w:rFonts w:hint="eastAsia" w:ascii="黑体" w:hAnsi="宋体" w:eastAsia="黑体"/>
              <w:szCs w:val="32"/>
            </w:rPr>
          </w:pPr>
          <w:r>
            <w:rPr>
              <w:rFonts w:hint="eastAsia" w:ascii="黑体" w:hAnsi="宋体" w:eastAsia="黑体"/>
              <w:szCs w:val="32"/>
            </w:rPr>
            <w:fldChar w:fldCharType="begin"/>
          </w:r>
          <w:r>
            <w:rPr>
              <w:rFonts w:hint="eastAsia" w:ascii="黑体" w:hAnsi="宋体" w:eastAsia="黑体"/>
              <w:szCs w:val="32"/>
            </w:rPr>
            <w:instrText xml:space="preserve"> HYPERLINK \l _Toc10160 </w:instrText>
          </w:r>
          <w:r>
            <w:rPr>
              <w:rFonts w:hint="eastAsia" w:ascii="黑体" w:hAnsi="宋体" w:eastAsia="黑体"/>
              <w:szCs w:val="32"/>
            </w:rPr>
            <w:fldChar w:fldCharType="separate"/>
          </w:r>
          <w:r>
            <w:rPr>
              <w:rFonts w:hint="eastAsia" w:ascii="黑体" w:hAnsi="宋体" w:eastAsia="黑体"/>
              <w:szCs w:val="32"/>
            </w:rPr>
            <w:t>十一、国有资本经营预算财政拨款收入支出决算表</w:t>
          </w:r>
          <w:r>
            <w:rPr>
              <w:rFonts w:hint="eastAsia" w:ascii="黑体" w:hAnsi="宋体" w:eastAsia="黑体"/>
              <w:szCs w:val="32"/>
            </w:rPr>
            <w:tab/>
          </w:r>
          <w:r>
            <w:rPr>
              <w:rFonts w:hint="eastAsia" w:ascii="黑体" w:hAnsi="宋体" w:eastAsia="黑体"/>
              <w:szCs w:val="32"/>
            </w:rPr>
            <w:fldChar w:fldCharType="begin"/>
          </w:r>
          <w:r>
            <w:rPr>
              <w:rFonts w:hint="eastAsia" w:ascii="黑体" w:hAnsi="宋体" w:eastAsia="黑体"/>
              <w:szCs w:val="32"/>
            </w:rPr>
            <w:instrText xml:space="preserve"> PAGEREF _Toc10160 \h </w:instrText>
          </w:r>
          <w:r>
            <w:rPr>
              <w:rFonts w:hint="eastAsia" w:ascii="黑体" w:hAnsi="宋体" w:eastAsia="黑体"/>
              <w:szCs w:val="32"/>
            </w:rPr>
            <w:fldChar w:fldCharType="separate"/>
          </w:r>
          <w:r>
            <w:rPr>
              <w:rFonts w:hint="eastAsia" w:ascii="黑体" w:hAnsi="宋体" w:eastAsia="黑体"/>
              <w:szCs w:val="32"/>
            </w:rPr>
            <w:t>36</w:t>
          </w:r>
          <w:r>
            <w:rPr>
              <w:rFonts w:hint="eastAsia" w:ascii="黑体" w:hAnsi="宋体" w:eastAsia="黑体"/>
              <w:szCs w:val="32"/>
            </w:rPr>
            <w:fldChar w:fldCharType="end"/>
          </w:r>
          <w:r>
            <w:rPr>
              <w:rFonts w:hint="eastAsia" w:ascii="黑体" w:hAnsi="宋体" w:eastAsia="黑体"/>
              <w:szCs w:val="32"/>
            </w:rPr>
            <w:fldChar w:fldCharType="end"/>
          </w:r>
        </w:p>
        <w:p>
          <w:pPr>
            <w:pStyle w:val="14"/>
            <w:tabs>
              <w:tab w:val="right" w:leader="dot" w:pos="8306"/>
              <w:tab w:val="clear" w:pos="8296"/>
            </w:tabs>
            <w:rPr>
              <w:rFonts w:hint="eastAsia" w:ascii="黑体" w:hAnsi="宋体" w:eastAsia="黑体"/>
              <w:szCs w:val="32"/>
            </w:rPr>
          </w:pPr>
          <w:r>
            <w:rPr>
              <w:rFonts w:hint="eastAsia" w:ascii="黑体" w:hAnsi="宋体" w:eastAsia="黑体"/>
              <w:szCs w:val="32"/>
            </w:rPr>
            <w:fldChar w:fldCharType="begin"/>
          </w:r>
          <w:r>
            <w:rPr>
              <w:rFonts w:hint="eastAsia" w:ascii="黑体" w:hAnsi="宋体" w:eastAsia="黑体"/>
              <w:szCs w:val="32"/>
            </w:rPr>
            <w:instrText xml:space="preserve"> HYPERLINK \l _Toc99 </w:instrText>
          </w:r>
          <w:r>
            <w:rPr>
              <w:rFonts w:hint="eastAsia" w:ascii="黑体" w:hAnsi="宋体" w:eastAsia="黑体"/>
              <w:szCs w:val="32"/>
            </w:rPr>
            <w:fldChar w:fldCharType="separate"/>
          </w:r>
          <w:r>
            <w:rPr>
              <w:rFonts w:hint="eastAsia" w:ascii="黑体" w:hAnsi="宋体" w:eastAsia="黑体"/>
              <w:szCs w:val="32"/>
            </w:rPr>
            <w:t>十二、国有资本经营预算财政拨款支出决算表</w:t>
          </w:r>
          <w:r>
            <w:rPr>
              <w:rFonts w:hint="eastAsia" w:ascii="黑体" w:hAnsi="宋体" w:eastAsia="黑体"/>
              <w:szCs w:val="32"/>
            </w:rPr>
            <w:tab/>
          </w:r>
          <w:r>
            <w:rPr>
              <w:rFonts w:hint="eastAsia" w:ascii="黑体" w:hAnsi="宋体" w:eastAsia="黑体"/>
              <w:szCs w:val="32"/>
            </w:rPr>
            <w:fldChar w:fldCharType="begin"/>
          </w:r>
          <w:r>
            <w:rPr>
              <w:rFonts w:hint="eastAsia" w:ascii="黑体" w:hAnsi="宋体" w:eastAsia="黑体"/>
              <w:szCs w:val="32"/>
            </w:rPr>
            <w:instrText xml:space="preserve"> PAGEREF _Toc99 \h </w:instrText>
          </w:r>
          <w:r>
            <w:rPr>
              <w:rFonts w:hint="eastAsia" w:ascii="黑体" w:hAnsi="宋体" w:eastAsia="黑体"/>
              <w:szCs w:val="32"/>
            </w:rPr>
            <w:fldChar w:fldCharType="separate"/>
          </w:r>
          <w:r>
            <w:rPr>
              <w:rFonts w:hint="eastAsia" w:ascii="黑体" w:hAnsi="宋体" w:eastAsia="黑体"/>
              <w:szCs w:val="32"/>
            </w:rPr>
            <w:t>36</w:t>
          </w:r>
          <w:r>
            <w:rPr>
              <w:rFonts w:hint="eastAsia" w:ascii="黑体" w:hAnsi="宋体" w:eastAsia="黑体"/>
              <w:szCs w:val="32"/>
            </w:rPr>
            <w:fldChar w:fldCharType="end"/>
          </w:r>
          <w:r>
            <w:rPr>
              <w:rFonts w:hint="eastAsia" w:ascii="黑体" w:hAnsi="宋体" w:eastAsia="黑体"/>
              <w:szCs w:val="32"/>
            </w:rPr>
            <w:fldChar w:fldCharType="end"/>
          </w:r>
        </w:p>
        <w:p>
          <w:pPr>
            <w:pStyle w:val="14"/>
            <w:tabs>
              <w:tab w:val="right" w:leader="dot" w:pos="8306"/>
              <w:tab w:val="clear" w:pos="8296"/>
            </w:tabs>
          </w:pPr>
          <w:r>
            <w:rPr>
              <w:rFonts w:hint="eastAsia" w:ascii="黑体" w:hAnsi="宋体" w:eastAsia="黑体"/>
              <w:szCs w:val="32"/>
            </w:rPr>
            <w:fldChar w:fldCharType="begin"/>
          </w:r>
          <w:r>
            <w:rPr>
              <w:rFonts w:hint="eastAsia" w:ascii="黑体" w:hAnsi="宋体" w:eastAsia="黑体"/>
              <w:szCs w:val="32"/>
            </w:rPr>
            <w:instrText xml:space="preserve"> HYPERLINK \l _Toc29893 </w:instrText>
          </w:r>
          <w:r>
            <w:rPr>
              <w:rFonts w:hint="eastAsia" w:ascii="黑体" w:hAnsi="宋体" w:eastAsia="黑体"/>
              <w:szCs w:val="32"/>
            </w:rPr>
            <w:fldChar w:fldCharType="separate"/>
          </w:r>
          <w:r>
            <w:rPr>
              <w:rFonts w:hint="eastAsia" w:ascii="黑体" w:hAnsi="宋体" w:eastAsia="黑体"/>
              <w:szCs w:val="32"/>
            </w:rPr>
            <w:t>十三、财政拨款“三公”经费支出决算表</w:t>
          </w:r>
          <w:r>
            <w:rPr>
              <w:rFonts w:hint="eastAsia" w:ascii="黑体" w:hAnsi="宋体" w:eastAsia="黑体"/>
              <w:szCs w:val="32"/>
            </w:rPr>
            <w:tab/>
          </w:r>
          <w:r>
            <w:rPr>
              <w:rFonts w:hint="eastAsia" w:ascii="黑体" w:hAnsi="宋体" w:eastAsia="黑体"/>
              <w:szCs w:val="32"/>
            </w:rPr>
            <w:fldChar w:fldCharType="begin"/>
          </w:r>
          <w:r>
            <w:rPr>
              <w:rFonts w:hint="eastAsia" w:ascii="黑体" w:hAnsi="宋体" w:eastAsia="黑体"/>
              <w:szCs w:val="32"/>
            </w:rPr>
            <w:instrText xml:space="preserve"> PAGEREF _Toc29893 \h </w:instrText>
          </w:r>
          <w:r>
            <w:rPr>
              <w:rFonts w:hint="eastAsia" w:ascii="黑体" w:hAnsi="宋体" w:eastAsia="黑体"/>
              <w:szCs w:val="32"/>
            </w:rPr>
            <w:fldChar w:fldCharType="separate"/>
          </w:r>
          <w:r>
            <w:rPr>
              <w:rFonts w:hint="eastAsia" w:ascii="黑体" w:hAnsi="宋体" w:eastAsia="黑体"/>
              <w:szCs w:val="32"/>
            </w:rPr>
            <w:t>36</w:t>
          </w:r>
          <w:r>
            <w:rPr>
              <w:rFonts w:hint="eastAsia" w:ascii="黑体" w:hAnsi="宋体" w:eastAsia="黑体"/>
              <w:szCs w:val="32"/>
            </w:rPr>
            <w:fldChar w:fldCharType="end"/>
          </w:r>
          <w:r>
            <w:rPr>
              <w:rFonts w:hint="eastAsia" w:ascii="黑体" w:hAnsi="宋体" w:eastAsia="黑体"/>
              <w:szCs w:val="32"/>
            </w:rPr>
            <w:fldChar w:fldCharType="end"/>
          </w:r>
        </w:p>
        <w:p>
          <w:pPr>
            <w:rPr>
              <w:b/>
            </w:rPr>
          </w:pPr>
          <w:r>
            <w:fldChar w:fldCharType="end"/>
          </w:r>
        </w:p>
      </w:sdtContent>
    </w:sdt>
    <w:p>
      <w:pPr>
        <w:rPr>
          <w:rFonts w:ascii="方正小标宋简体" w:hAnsi="宋体" w:eastAsia="方正小标宋简体"/>
          <w:sz w:val="36"/>
          <w:szCs w:val="36"/>
        </w:rPr>
      </w:pPr>
      <w:r>
        <w:rPr>
          <w:rFonts w:ascii="方正小标宋简体" w:hAnsi="宋体" w:eastAsia="方正小标宋简体"/>
          <w:sz w:val="36"/>
          <w:szCs w:val="36"/>
        </w:rPr>
        <w:br w:type="page"/>
      </w:r>
    </w:p>
    <w:p>
      <w:pPr>
        <w:pStyle w:val="3"/>
        <w:jc w:val="center"/>
        <w:rPr>
          <w:rFonts w:ascii="黑体" w:hAnsi="黑体" w:eastAsia="黑体"/>
          <w:bCs w:val="0"/>
        </w:rPr>
      </w:pPr>
      <w:bookmarkStart w:id="16" w:name="_Toc15377196"/>
      <w:bookmarkStart w:id="17" w:name="_Toc15396599"/>
      <w:bookmarkStart w:id="18" w:name="_Toc12192"/>
      <w:r>
        <w:rPr>
          <w:rFonts w:hint="eastAsia" w:ascii="黑体" w:hAnsi="黑体" w:eastAsia="黑体"/>
          <w:b w:val="0"/>
        </w:rPr>
        <w:t xml:space="preserve">第一部分 </w:t>
      </w:r>
      <w:r>
        <w:rPr>
          <w:rStyle w:val="31"/>
          <w:rFonts w:hint="eastAsia" w:ascii="黑体" w:hAnsi="黑体" w:eastAsia="黑体"/>
          <w:b w:val="0"/>
          <w:bCs w:val="0"/>
        </w:rPr>
        <w:t>部门概况</w:t>
      </w:r>
      <w:bookmarkEnd w:id="16"/>
      <w:bookmarkEnd w:id="17"/>
      <w:bookmarkEnd w:id="18"/>
    </w:p>
    <w:p>
      <w:pPr>
        <w:pStyle w:val="4"/>
        <w:pageBreakBefore w:val="0"/>
        <w:numPr>
          <w:ilvl w:val="0"/>
          <w:numId w:val="0"/>
        </w:numPr>
        <w:kinsoku/>
        <w:wordWrap/>
        <w:overflowPunct/>
        <w:topLinePunct w:val="0"/>
        <w:bidi w:val="0"/>
        <w:adjustRightInd w:val="0"/>
        <w:snapToGrid w:val="0"/>
        <w:spacing w:before="0" w:after="0" w:line="353" w:lineRule="auto"/>
        <w:ind w:left="617" w:leftChars="0" w:right="0" w:rightChars="0" w:hanging="617" w:hangingChars="193"/>
        <w:textAlignment w:val="auto"/>
        <w:rPr>
          <w:rFonts w:ascii="黑体" w:hAnsi="黑体" w:eastAsia="黑体"/>
          <w:b w:val="0"/>
        </w:rPr>
      </w:pPr>
      <w:bookmarkStart w:id="19" w:name="_Toc10954"/>
      <w:r>
        <w:rPr>
          <w:rFonts w:hint="eastAsia" w:ascii="黑体" w:hAnsi="黑体" w:eastAsia="黑体"/>
          <w:b w:val="0"/>
          <w:lang w:val="en-US" w:eastAsia="zh-CN"/>
        </w:rPr>
        <w:t>一、</w:t>
      </w:r>
      <w:r>
        <w:rPr>
          <w:rFonts w:hint="eastAsia" w:ascii="黑体" w:hAnsi="黑体" w:eastAsia="黑体"/>
          <w:b w:val="0"/>
        </w:rPr>
        <w:t>部门职责</w:t>
      </w:r>
      <w:bookmarkEnd w:id="19"/>
    </w:p>
    <w:p>
      <w:pPr>
        <w:pageBreakBefore w:val="0"/>
        <w:kinsoku/>
        <w:wordWrap/>
        <w:overflowPunct/>
        <w:topLinePunct w:val="0"/>
        <w:bidi w:val="0"/>
        <w:adjustRightInd w:val="0"/>
        <w:snapToGrid w:val="0"/>
        <w:spacing w:line="353" w:lineRule="auto"/>
        <w:ind w:left="0" w:right="0" w:firstLine="640" w:firstLineChars="200"/>
        <w:textAlignment w:val="auto"/>
        <w:rPr>
          <w:rFonts w:ascii="仿宋" w:hAnsi="仿宋" w:eastAsia="仿宋"/>
          <w:sz w:val="32"/>
          <w:szCs w:val="32"/>
        </w:rPr>
      </w:pPr>
      <w:r>
        <w:rPr>
          <w:rFonts w:hint="eastAsia" w:ascii="仿宋" w:hAnsi="仿宋" w:eastAsia="仿宋"/>
          <w:sz w:val="32"/>
          <w:szCs w:val="32"/>
        </w:rPr>
        <w:t>1.组织拟订全区政务服务、行政审批制度改革的发展规划、政策和措施并组织、指导实施。</w:t>
      </w:r>
    </w:p>
    <w:p>
      <w:pPr>
        <w:pageBreakBefore w:val="0"/>
        <w:kinsoku/>
        <w:wordWrap/>
        <w:overflowPunct/>
        <w:topLinePunct w:val="0"/>
        <w:bidi w:val="0"/>
        <w:adjustRightInd w:val="0"/>
        <w:snapToGrid w:val="0"/>
        <w:spacing w:line="353" w:lineRule="auto"/>
        <w:ind w:left="0" w:right="0" w:firstLine="640" w:firstLineChars="200"/>
        <w:textAlignment w:val="auto"/>
        <w:rPr>
          <w:rFonts w:ascii="仿宋" w:hAnsi="仿宋" w:eastAsia="仿宋"/>
          <w:sz w:val="32"/>
          <w:szCs w:val="32"/>
        </w:rPr>
      </w:pPr>
      <w:r>
        <w:rPr>
          <w:rFonts w:hint="eastAsia" w:ascii="仿宋" w:hAnsi="仿宋" w:eastAsia="仿宋"/>
          <w:sz w:val="32"/>
          <w:szCs w:val="32"/>
        </w:rPr>
        <w:t>2.按照省、市、区部署和要求，推进相对集中行政许可权改革。负责对划转的行政许可事项进行集中办理；规范行政审批行为，优化办事流程，推进行政审批标准化建设和依法规范公开运行；协调审批事项涉及的各职能部门完成现场勘查、技术论证、社会听证、行政收费等。</w:t>
      </w:r>
    </w:p>
    <w:p>
      <w:pPr>
        <w:pageBreakBefore w:val="0"/>
        <w:kinsoku/>
        <w:wordWrap/>
        <w:overflowPunct/>
        <w:topLinePunct w:val="0"/>
        <w:bidi w:val="0"/>
        <w:adjustRightInd w:val="0"/>
        <w:snapToGrid w:val="0"/>
        <w:spacing w:line="353" w:lineRule="auto"/>
        <w:ind w:left="0" w:right="0" w:firstLine="640" w:firstLineChars="200"/>
        <w:textAlignment w:val="auto"/>
        <w:rPr>
          <w:rFonts w:ascii="仿宋" w:hAnsi="仿宋" w:eastAsia="仿宋"/>
          <w:sz w:val="32"/>
          <w:szCs w:val="32"/>
        </w:rPr>
      </w:pPr>
      <w:r>
        <w:rPr>
          <w:rFonts w:hint="eastAsia" w:ascii="仿宋" w:hAnsi="仿宋" w:eastAsia="仿宋"/>
          <w:sz w:val="32"/>
          <w:szCs w:val="32"/>
        </w:rPr>
        <w:t>3.负责政务服务管理工作。指导、协调并推进全区政务服务体系建设。指导、协调和监督区级部门（单位）政务服务工作。指导、监督相关电子政务服务平台建设和运行工作。</w:t>
      </w:r>
    </w:p>
    <w:p>
      <w:pPr>
        <w:pageBreakBefore w:val="0"/>
        <w:kinsoku/>
        <w:wordWrap/>
        <w:overflowPunct/>
        <w:topLinePunct w:val="0"/>
        <w:bidi w:val="0"/>
        <w:adjustRightInd w:val="0"/>
        <w:snapToGrid w:val="0"/>
        <w:spacing w:line="353" w:lineRule="auto"/>
        <w:ind w:left="0" w:right="0" w:firstLine="640" w:firstLineChars="200"/>
        <w:textAlignment w:val="auto"/>
        <w:rPr>
          <w:rFonts w:ascii="仿宋" w:hAnsi="仿宋" w:eastAsia="仿宋"/>
          <w:sz w:val="32"/>
          <w:szCs w:val="32"/>
        </w:rPr>
      </w:pPr>
      <w:r>
        <w:rPr>
          <w:rFonts w:hint="eastAsia" w:ascii="仿宋" w:hAnsi="仿宋" w:eastAsia="仿宋"/>
          <w:sz w:val="32"/>
          <w:szCs w:val="32"/>
        </w:rPr>
        <w:t>4.负责指导、协调、监督、考核进部门（单位）的政务服务工作，审核进驻政务服务事项。对部门（单位）独立设置的办事大厅进行业务指导和监督。</w:t>
      </w:r>
    </w:p>
    <w:p>
      <w:pPr>
        <w:pageBreakBefore w:val="0"/>
        <w:kinsoku/>
        <w:wordWrap/>
        <w:overflowPunct/>
        <w:topLinePunct w:val="0"/>
        <w:bidi w:val="0"/>
        <w:adjustRightInd w:val="0"/>
        <w:snapToGrid w:val="0"/>
        <w:spacing w:line="353" w:lineRule="auto"/>
        <w:ind w:left="0" w:right="0" w:firstLine="640" w:firstLineChars="200"/>
        <w:textAlignment w:val="auto"/>
        <w:rPr>
          <w:rFonts w:ascii="仿宋" w:hAnsi="仿宋" w:eastAsia="仿宋"/>
          <w:sz w:val="32"/>
          <w:szCs w:val="32"/>
        </w:rPr>
      </w:pPr>
      <w:r>
        <w:rPr>
          <w:rFonts w:hint="eastAsia" w:ascii="仿宋" w:hAnsi="仿宋" w:eastAsia="仿宋"/>
          <w:sz w:val="32"/>
          <w:szCs w:val="32"/>
        </w:rPr>
        <w:t>5.负责职能范围内的安全生产和职业健康、生态环境保护、审批服务便民化等工作。</w:t>
      </w:r>
    </w:p>
    <w:p>
      <w:pPr>
        <w:pageBreakBefore w:val="0"/>
        <w:kinsoku/>
        <w:wordWrap/>
        <w:overflowPunct/>
        <w:topLinePunct w:val="0"/>
        <w:bidi w:val="0"/>
        <w:adjustRightInd w:val="0"/>
        <w:snapToGrid w:val="0"/>
        <w:spacing w:line="353" w:lineRule="auto"/>
        <w:ind w:left="0" w:right="0" w:firstLine="640" w:firstLineChars="200"/>
        <w:textAlignment w:val="auto"/>
        <w:outlineLvl w:val="3"/>
        <w:rPr>
          <w:rFonts w:hint="eastAsia" w:ascii="仿宋" w:hAnsi="仿宋" w:eastAsia="仿宋"/>
          <w:sz w:val="32"/>
          <w:szCs w:val="32"/>
        </w:rPr>
      </w:pPr>
      <w:r>
        <w:rPr>
          <w:rFonts w:hint="eastAsia" w:ascii="仿宋" w:hAnsi="仿宋" w:eastAsia="仿宋"/>
          <w:sz w:val="32"/>
          <w:szCs w:val="32"/>
        </w:rPr>
        <w:t>6.完成区委、区政府交办的其他任务。</w:t>
      </w:r>
    </w:p>
    <w:p>
      <w:pPr>
        <w:pageBreakBefore w:val="0"/>
        <w:kinsoku/>
        <w:wordWrap/>
        <w:overflowPunct/>
        <w:topLinePunct w:val="0"/>
        <w:bidi w:val="0"/>
        <w:adjustRightInd w:val="0"/>
        <w:snapToGrid w:val="0"/>
        <w:spacing w:line="353" w:lineRule="auto"/>
        <w:ind w:left="0" w:right="0" w:firstLine="640" w:firstLineChars="200"/>
        <w:textAlignment w:val="auto"/>
        <w:outlineLvl w:val="3"/>
        <w:rPr>
          <w:rFonts w:ascii="仿宋" w:hAnsi="仿宋" w:eastAsia="仿宋"/>
          <w:sz w:val="32"/>
          <w:szCs w:val="32"/>
        </w:rPr>
      </w:pPr>
      <w:r>
        <w:rPr>
          <w:rFonts w:hint="eastAsia" w:ascii="仿宋" w:hAnsi="仿宋" w:eastAsia="仿宋"/>
          <w:sz w:val="32"/>
          <w:szCs w:val="32"/>
        </w:rPr>
        <w:t>7.职能转变。坚持以人民为中心的发展思想，以方便企业和群众办事为目标，努力提高政务服务质量和效率。规范行政审批行为，优化办事流程，加快推进审批服务便民化相关举措，持续开展减证便民行政，积极推进政务服务“一网、一门、一次”改革。</w:t>
      </w:r>
    </w:p>
    <w:p>
      <w:pPr>
        <w:pStyle w:val="4"/>
        <w:pageBreakBefore w:val="0"/>
        <w:kinsoku/>
        <w:wordWrap/>
        <w:overflowPunct/>
        <w:topLinePunct w:val="0"/>
        <w:bidi w:val="0"/>
        <w:adjustRightInd w:val="0"/>
        <w:snapToGrid w:val="0"/>
        <w:spacing w:before="0" w:after="0" w:line="353" w:lineRule="auto"/>
        <w:ind w:left="0" w:right="0"/>
        <w:textAlignment w:val="auto"/>
        <w:rPr>
          <w:rStyle w:val="32"/>
          <w:b w:val="0"/>
          <w:bCs w:val="0"/>
        </w:rPr>
      </w:pPr>
      <w:bookmarkStart w:id="20" w:name="_Toc3158"/>
      <w:bookmarkStart w:id="21" w:name="_Toc15396601"/>
      <w:bookmarkStart w:id="22" w:name="_Toc15377200"/>
      <w:r>
        <w:rPr>
          <w:rFonts w:hint="eastAsia" w:ascii="黑体" w:eastAsia="黑体"/>
          <w:b w:val="0"/>
        </w:rPr>
        <w:t>二、</w:t>
      </w:r>
      <w:r>
        <w:rPr>
          <w:rFonts w:hint="eastAsia" w:ascii="黑体" w:hAnsi="黑体" w:eastAsia="黑体"/>
          <w:b w:val="0"/>
        </w:rPr>
        <w:t>机</w:t>
      </w:r>
      <w:r>
        <w:rPr>
          <w:rStyle w:val="32"/>
          <w:rFonts w:hint="eastAsia" w:ascii="黑体" w:hAnsi="黑体" w:eastAsia="黑体"/>
          <w:b w:val="0"/>
          <w:bCs w:val="0"/>
        </w:rPr>
        <w:t>构设置</w:t>
      </w:r>
      <w:bookmarkEnd w:id="20"/>
      <w:bookmarkEnd w:id="21"/>
      <w:bookmarkEnd w:id="22"/>
    </w:p>
    <w:p>
      <w:pPr>
        <w:pageBreakBefore w:val="0"/>
        <w:kinsoku/>
        <w:wordWrap/>
        <w:overflowPunct/>
        <w:topLinePunct w:val="0"/>
        <w:bidi w:val="0"/>
        <w:adjustRightInd w:val="0"/>
        <w:snapToGrid w:val="0"/>
        <w:spacing w:line="353" w:lineRule="auto"/>
        <w:ind w:left="0" w:right="0" w:firstLine="800" w:firstLineChars="250"/>
        <w:textAlignment w:val="auto"/>
        <w:rPr>
          <w:rFonts w:ascii="仿宋" w:hAnsi="仿宋" w:eastAsia="仿宋"/>
          <w:sz w:val="32"/>
          <w:szCs w:val="32"/>
        </w:rPr>
      </w:pPr>
      <w:r>
        <w:rPr>
          <w:rFonts w:hint="eastAsia" w:ascii="仿宋" w:hAnsi="仿宋" w:eastAsia="仿宋"/>
          <w:sz w:val="32"/>
          <w:szCs w:val="32"/>
        </w:rPr>
        <w:t>西区行政审批局下属二级预算单位1个，其中行政单位0个，参照公务员法管理的事业单位</w:t>
      </w:r>
      <w:r>
        <w:rPr>
          <w:rFonts w:hint="eastAsia" w:ascii="仿宋" w:hAnsi="仿宋" w:eastAsia="仿宋"/>
          <w:bCs/>
          <w:sz w:val="32"/>
          <w:szCs w:val="32"/>
        </w:rPr>
        <w:t>0</w:t>
      </w:r>
      <w:r>
        <w:rPr>
          <w:rFonts w:hint="eastAsia" w:ascii="仿宋" w:hAnsi="仿宋" w:eastAsia="仿宋"/>
          <w:sz w:val="32"/>
          <w:szCs w:val="32"/>
        </w:rPr>
        <w:t>个，其他事业单位1个。</w:t>
      </w:r>
    </w:p>
    <w:p>
      <w:pPr>
        <w:pStyle w:val="2"/>
        <w:pageBreakBefore w:val="0"/>
        <w:kinsoku/>
        <w:wordWrap/>
        <w:overflowPunct/>
        <w:topLinePunct w:val="0"/>
        <w:bidi w:val="0"/>
        <w:adjustRightInd w:val="0"/>
        <w:snapToGrid w:val="0"/>
        <w:spacing w:beforeLines="0" w:line="353" w:lineRule="auto"/>
        <w:ind w:left="0" w:right="0" w:firstLine="672" w:firstLineChars="210"/>
        <w:textAlignment w:val="auto"/>
        <w:rPr>
          <w:rFonts w:hint="eastAsia" w:ascii="仿宋" w:hAnsi="仿宋" w:eastAsia="仿宋"/>
          <w:sz w:val="32"/>
          <w:szCs w:val="32"/>
        </w:rPr>
      </w:pPr>
      <w:r>
        <w:rPr>
          <w:rFonts w:hint="eastAsia" w:ascii="仿宋" w:hAnsi="仿宋" w:eastAsia="仿宋"/>
          <w:sz w:val="32"/>
          <w:szCs w:val="32"/>
        </w:rPr>
        <w:t>纳入西区行政审批局2022年度部门决算编制范围的二级预算单位包括：</w:t>
      </w:r>
    </w:p>
    <w:p>
      <w:pPr>
        <w:pStyle w:val="2"/>
        <w:pageBreakBefore w:val="0"/>
        <w:kinsoku/>
        <w:wordWrap/>
        <w:overflowPunct/>
        <w:topLinePunct w:val="0"/>
        <w:bidi w:val="0"/>
        <w:adjustRightInd w:val="0"/>
        <w:snapToGrid w:val="0"/>
        <w:spacing w:beforeLines="0" w:line="353" w:lineRule="auto"/>
        <w:ind w:left="0" w:right="0" w:firstLine="672" w:firstLineChars="210"/>
        <w:textAlignment w:val="auto"/>
        <w:rPr>
          <w:rFonts w:ascii="仿宋" w:hAnsi="仿宋" w:eastAsia="仿宋"/>
          <w:sz w:val="32"/>
          <w:szCs w:val="32"/>
        </w:rPr>
      </w:pPr>
      <w:r>
        <w:rPr>
          <w:rFonts w:hint="eastAsia" w:ascii="仿宋" w:hAnsi="仿宋" w:eastAsia="仿宋"/>
          <w:sz w:val="32"/>
          <w:szCs w:val="32"/>
        </w:rPr>
        <w:t>1.攀枝花市西区政务服务中心</w:t>
      </w:r>
    </w:p>
    <w:p>
      <w:pPr>
        <w:pageBreakBefore w:val="0"/>
        <w:widowControl/>
        <w:kinsoku/>
        <w:wordWrap/>
        <w:overflowPunct/>
        <w:topLinePunct w:val="0"/>
        <w:bidi w:val="0"/>
        <w:adjustRightInd w:val="0"/>
        <w:snapToGrid w:val="0"/>
        <w:spacing w:line="353" w:lineRule="auto"/>
        <w:ind w:left="0" w:right="0"/>
        <w:jc w:val="left"/>
        <w:textAlignment w:val="auto"/>
        <w:rPr>
          <w:rFonts w:ascii="仿宋" w:hAnsi="仿宋" w:eastAsia="仿宋"/>
          <w:kern w:val="0"/>
          <w:sz w:val="32"/>
          <w:szCs w:val="32"/>
        </w:rPr>
      </w:pPr>
      <w:r>
        <w:rPr>
          <w:rFonts w:ascii="仿宋" w:hAnsi="仿宋" w:eastAsia="仿宋"/>
          <w:sz w:val="32"/>
          <w:szCs w:val="32"/>
        </w:rPr>
        <w:br w:type="page"/>
      </w:r>
    </w:p>
    <w:p>
      <w:pPr>
        <w:pStyle w:val="3"/>
        <w:pageBreakBefore w:val="0"/>
        <w:kinsoku/>
        <w:wordWrap/>
        <w:overflowPunct/>
        <w:topLinePunct w:val="0"/>
        <w:bidi w:val="0"/>
        <w:adjustRightInd w:val="0"/>
        <w:snapToGrid w:val="0"/>
        <w:spacing w:before="0" w:after="0" w:line="353" w:lineRule="auto"/>
        <w:ind w:left="0" w:right="0"/>
        <w:jc w:val="center"/>
        <w:textAlignment w:val="auto"/>
        <w:rPr>
          <w:rStyle w:val="31"/>
          <w:rFonts w:ascii="黑体" w:hAnsi="黑体" w:eastAsia="黑体"/>
          <w:b w:val="0"/>
          <w:bCs/>
        </w:rPr>
      </w:pPr>
      <w:bookmarkStart w:id="23" w:name="_Toc15396602"/>
      <w:bookmarkStart w:id="24" w:name="_Toc15377204"/>
      <w:bookmarkStart w:id="25" w:name="_Toc11782"/>
      <w:r>
        <w:rPr>
          <w:rFonts w:hint="eastAsia" w:ascii="黑体" w:hAnsi="黑体" w:eastAsia="黑体"/>
          <w:b w:val="0"/>
        </w:rPr>
        <w:t>第二部分 2022年度</w:t>
      </w:r>
      <w:r>
        <w:rPr>
          <w:rStyle w:val="31"/>
          <w:rFonts w:hint="eastAsia" w:ascii="黑体" w:hAnsi="黑体" w:eastAsia="黑体"/>
          <w:b w:val="0"/>
          <w:bCs/>
        </w:rPr>
        <w:t>部门决算情况说明</w:t>
      </w:r>
      <w:bookmarkEnd w:id="23"/>
      <w:bookmarkEnd w:id="24"/>
      <w:bookmarkEnd w:id="25"/>
    </w:p>
    <w:p>
      <w:pPr>
        <w:pageBreakBefore w:val="0"/>
        <w:kinsoku/>
        <w:wordWrap/>
        <w:overflowPunct/>
        <w:topLinePunct w:val="0"/>
        <w:bidi w:val="0"/>
        <w:adjustRightInd w:val="0"/>
        <w:snapToGrid w:val="0"/>
        <w:spacing w:line="353" w:lineRule="auto"/>
        <w:ind w:left="0" w:right="0"/>
        <w:textAlignment w:val="auto"/>
      </w:pPr>
    </w:p>
    <w:p>
      <w:pPr>
        <w:pStyle w:val="30"/>
        <w:keepNext w:val="0"/>
        <w:keepLines w:val="0"/>
        <w:pageBreakBefore w:val="0"/>
        <w:numPr>
          <w:ilvl w:val="0"/>
          <w:numId w:val="1"/>
        </w:numPr>
        <w:kinsoku/>
        <w:wordWrap/>
        <w:overflowPunct/>
        <w:topLinePunct w:val="0"/>
        <w:autoSpaceDE/>
        <w:autoSpaceDN/>
        <w:bidi w:val="0"/>
        <w:adjustRightInd w:val="0"/>
        <w:snapToGrid w:val="0"/>
        <w:spacing w:line="353" w:lineRule="auto"/>
        <w:ind w:left="0" w:leftChars="0" w:right="0" w:firstLine="640" w:firstLineChars="200"/>
        <w:textAlignment w:val="auto"/>
        <w:outlineLvl w:val="1"/>
        <w:rPr>
          <w:rStyle w:val="32"/>
          <w:rFonts w:ascii="黑体" w:hAnsi="黑体" w:eastAsia="黑体"/>
          <w:b w:val="0"/>
        </w:rPr>
      </w:pPr>
      <w:bookmarkStart w:id="26" w:name="_Toc30633"/>
      <w:bookmarkStart w:id="27" w:name="_Toc15396603"/>
      <w:bookmarkStart w:id="28" w:name="_Toc15377205"/>
      <w:r>
        <w:rPr>
          <w:rFonts w:hint="eastAsia" w:ascii="黑体" w:hAnsi="黑体" w:eastAsia="黑体"/>
          <w:sz w:val="32"/>
          <w:szCs w:val="32"/>
        </w:rPr>
        <w:t>收</w:t>
      </w:r>
      <w:r>
        <w:rPr>
          <w:rStyle w:val="32"/>
          <w:rFonts w:hint="eastAsia" w:ascii="黑体" w:hAnsi="黑体" w:eastAsia="黑体"/>
          <w:b w:val="0"/>
        </w:rPr>
        <w:t>入支出决算总体情况说明</w:t>
      </w:r>
      <w:bookmarkEnd w:id="26"/>
      <w:bookmarkEnd w:id="27"/>
      <w:bookmarkEnd w:id="28"/>
    </w:p>
    <w:p>
      <w:pPr>
        <w:keepNext w:val="0"/>
        <w:keepLines w:val="0"/>
        <w:pageBreakBefore w:val="0"/>
        <w:kinsoku/>
        <w:wordWrap/>
        <w:overflowPunct/>
        <w:topLinePunct w:val="0"/>
        <w:autoSpaceDE/>
        <w:autoSpaceDN/>
        <w:bidi w:val="0"/>
        <w:adjustRightInd w:val="0"/>
        <w:snapToGrid w:val="0"/>
        <w:spacing w:line="353" w:lineRule="auto"/>
        <w:ind w:left="0" w:right="0" w:firstLine="640" w:firstLineChars="200"/>
        <w:textAlignment w:val="auto"/>
        <w:rPr>
          <w:rFonts w:ascii="仿宋" w:hAnsi="仿宋" w:eastAsia="仿宋"/>
          <w:sz w:val="32"/>
          <w:szCs w:val="32"/>
        </w:rPr>
      </w:pPr>
      <w:r>
        <w:rPr>
          <w:rFonts w:hint="eastAsia" w:ascii="仿宋" w:hAnsi="仿宋" w:eastAsia="仿宋"/>
          <w:sz w:val="32"/>
          <w:szCs w:val="32"/>
        </w:rPr>
        <w:t>2022年度收、支总计319.2万元。与2021年相比，收、支总计各减少33.97万元，下降10</w:t>
      </w:r>
      <w:r>
        <w:rPr>
          <w:rFonts w:ascii="仿宋" w:hAnsi="仿宋" w:eastAsia="仿宋"/>
          <w:sz w:val="32"/>
          <w:szCs w:val="32"/>
        </w:rPr>
        <w:t>%</w:t>
      </w:r>
      <w:r>
        <w:rPr>
          <w:rFonts w:hint="eastAsia" w:ascii="仿宋" w:hAnsi="仿宋" w:eastAsia="仿宋"/>
          <w:sz w:val="32"/>
          <w:szCs w:val="32"/>
        </w:rPr>
        <w:t>。主要变动原因是年底财政资金紧张未支付，项目经费减少。</w:t>
      </w:r>
    </w:p>
    <w:p>
      <w:pPr>
        <w:keepNext w:val="0"/>
        <w:keepLines w:val="0"/>
        <w:pageBreakBefore w:val="0"/>
        <w:widowControl/>
        <w:kinsoku/>
        <w:wordWrap/>
        <w:overflowPunct/>
        <w:topLinePunct w:val="0"/>
        <w:autoSpaceDE/>
        <w:autoSpaceDN/>
        <w:bidi w:val="0"/>
        <w:adjustRightInd w:val="0"/>
        <w:snapToGrid w:val="0"/>
        <w:spacing w:line="353" w:lineRule="auto"/>
        <w:ind w:left="0" w:right="0" w:firstLine="480" w:firstLineChars="200"/>
        <w:jc w:val="left"/>
        <w:textAlignment w:val="auto"/>
        <w:rPr>
          <w:rFonts w:hint="eastAsia" w:ascii="宋体" w:hAnsi="宋体" w:cs="宋体"/>
          <w:kern w:val="0"/>
          <w:sz w:val="24"/>
        </w:rPr>
      </w:pPr>
      <w:r>
        <w:rPr>
          <w:rFonts w:ascii="宋体" w:hAnsi="宋体" w:cs="宋体"/>
          <w:kern w:val="0"/>
          <w:sz w:val="24"/>
        </w:rPr>
        <w:drawing>
          <wp:inline distT="0" distB="0" distL="0" distR="0">
            <wp:extent cx="3829050" cy="2743200"/>
            <wp:effectExtent l="19050" t="0" r="0" b="0"/>
            <wp:docPr id="1" name="图片 1" descr="C:\Users\Administrator\AppData\Roaming\Tencent\Users\248301485\QQ\WinTemp\RichOle\MTCT[]VVAA`%BVT~@NRYP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Roaming\Tencent\Users\248301485\QQ\WinTemp\RichOle\MTCT[]VVAA`%BVT~@NRYPA0.png"/>
                    <pic:cNvPicPr>
                      <a:picLocks noChangeAspect="1" noChangeArrowheads="1"/>
                    </pic:cNvPicPr>
                  </pic:nvPicPr>
                  <pic:blipFill>
                    <a:blip r:embed="rId6"/>
                    <a:srcRect/>
                    <a:stretch>
                      <a:fillRect/>
                    </a:stretch>
                  </pic:blipFill>
                  <pic:spPr>
                    <a:xfrm>
                      <a:off x="0" y="0"/>
                      <a:ext cx="3829050" cy="2743200"/>
                    </a:xfrm>
                    <a:prstGeom prst="rect">
                      <a:avLst/>
                    </a:prstGeom>
                    <a:noFill/>
                    <a:ln w="9525">
                      <a:noFill/>
                      <a:miter lim="800000"/>
                      <a:headEnd/>
                      <a:tailEnd/>
                    </a:ln>
                  </pic:spPr>
                </pic:pic>
              </a:graphicData>
            </a:graphic>
          </wp:inline>
        </w:drawing>
      </w:r>
    </w:p>
    <w:p>
      <w:pPr>
        <w:keepNext w:val="0"/>
        <w:keepLines w:val="0"/>
        <w:pageBreakBefore w:val="0"/>
        <w:kinsoku/>
        <w:wordWrap/>
        <w:overflowPunct/>
        <w:topLinePunct w:val="0"/>
        <w:autoSpaceDE/>
        <w:autoSpaceDN/>
        <w:bidi w:val="0"/>
        <w:adjustRightInd w:val="0"/>
        <w:snapToGrid w:val="0"/>
        <w:spacing w:line="353" w:lineRule="auto"/>
        <w:ind w:left="0" w:right="0" w:firstLine="640" w:firstLineChars="200"/>
        <w:textAlignment w:val="auto"/>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keepNext w:val="0"/>
        <w:keepLines w:val="0"/>
        <w:pageBreakBefore w:val="0"/>
        <w:kinsoku/>
        <w:wordWrap/>
        <w:overflowPunct/>
        <w:topLinePunct w:val="0"/>
        <w:autoSpaceDE/>
        <w:autoSpaceDN/>
        <w:bidi w:val="0"/>
        <w:adjustRightInd w:val="0"/>
        <w:snapToGrid w:val="0"/>
        <w:spacing w:line="353" w:lineRule="auto"/>
        <w:ind w:left="0" w:right="0" w:firstLine="640" w:firstLineChars="200"/>
        <w:jc w:val="left"/>
        <w:textAlignment w:val="auto"/>
        <w:rPr>
          <w:rFonts w:ascii="仿宋_GB2312" w:eastAsia="仿宋_GB2312"/>
          <w:sz w:val="32"/>
          <w:szCs w:val="32"/>
        </w:rPr>
      </w:pPr>
    </w:p>
    <w:p>
      <w:pPr>
        <w:pStyle w:val="30"/>
        <w:keepNext w:val="0"/>
        <w:keepLines w:val="0"/>
        <w:pageBreakBefore w:val="0"/>
        <w:numPr>
          <w:ilvl w:val="0"/>
          <w:numId w:val="1"/>
        </w:numPr>
        <w:kinsoku/>
        <w:wordWrap/>
        <w:overflowPunct/>
        <w:topLinePunct w:val="0"/>
        <w:autoSpaceDE/>
        <w:autoSpaceDN/>
        <w:bidi w:val="0"/>
        <w:adjustRightInd w:val="0"/>
        <w:snapToGrid w:val="0"/>
        <w:spacing w:line="353" w:lineRule="auto"/>
        <w:ind w:left="0" w:leftChars="0" w:right="0" w:firstLine="640" w:firstLineChars="200"/>
        <w:textAlignment w:val="auto"/>
        <w:outlineLvl w:val="1"/>
        <w:rPr>
          <w:rStyle w:val="32"/>
          <w:rFonts w:ascii="黑体" w:hAnsi="黑体" w:eastAsia="黑体"/>
          <w:b w:val="0"/>
        </w:rPr>
      </w:pPr>
      <w:bookmarkStart w:id="29" w:name="_Toc18842"/>
      <w:bookmarkStart w:id="30" w:name="_Toc15396604"/>
      <w:bookmarkStart w:id="31" w:name="_Toc15377206"/>
      <w:r>
        <w:rPr>
          <w:rFonts w:hint="eastAsia" w:ascii="黑体" w:hAnsi="黑体" w:eastAsia="黑体"/>
          <w:sz w:val="32"/>
          <w:szCs w:val="32"/>
        </w:rPr>
        <w:t>收</w:t>
      </w:r>
      <w:r>
        <w:rPr>
          <w:rStyle w:val="32"/>
          <w:rFonts w:hint="eastAsia" w:ascii="黑体" w:hAnsi="黑体" w:eastAsia="黑体"/>
          <w:b w:val="0"/>
        </w:rPr>
        <w:t>入决算情况说明</w:t>
      </w:r>
      <w:bookmarkEnd w:id="29"/>
      <w:bookmarkEnd w:id="30"/>
      <w:bookmarkEnd w:id="31"/>
    </w:p>
    <w:p>
      <w:pPr>
        <w:keepNext w:val="0"/>
        <w:keepLines w:val="0"/>
        <w:pageBreakBefore w:val="0"/>
        <w:kinsoku/>
        <w:wordWrap/>
        <w:overflowPunct/>
        <w:topLinePunct w:val="0"/>
        <w:autoSpaceDE/>
        <w:autoSpaceDN/>
        <w:bidi w:val="0"/>
        <w:adjustRightInd w:val="0"/>
        <w:snapToGrid w:val="0"/>
        <w:spacing w:line="353" w:lineRule="auto"/>
        <w:ind w:left="0" w:right="0" w:firstLine="640" w:firstLineChars="200"/>
        <w:textAlignment w:val="auto"/>
        <w:outlineLvl w:val="1"/>
        <w:rPr>
          <w:rFonts w:ascii="仿宋" w:hAnsi="仿宋" w:eastAsia="仿宋"/>
          <w:sz w:val="32"/>
          <w:szCs w:val="32"/>
        </w:rPr>
      </w:pPr>
      <w:bookmarkStart w:id="32" w:name="_Toc22121"/>
      <w:bookmarkStart w:id="33" w:name="_Toc25162"/>
      <w:r>
        <w:rPr>
          <w:rFonts w:ascii="仿宋" w:hAnsi="仿宋" w:eastAsia="仿宋"/>
          <w:sz w:val="32"/>
          <w:szCs w:val="32"/>
        </w:rPr>
        <w:t>20</w:t>
      </w:r>
      <w:r>
        <w:rPr>
          <w:rFonts w:hint="eastAsia" w:ascii="仿宋" w:hAnsi="仿宋" w:eastAsia="仿宋"/>
          <w:sz w:val="32"/>
          <w:szCs w:val="32"/>
        </w:rPr>
        <w:t>22年本年收入合计304.4万元，其中：一般公共预算财政拨款收入263.2万元，占86</w:t>
      </w:r>
      <w:r>
        <w:rPr>
          <w:rFonts w:ascii="仿宋" w:hAnsi="仿宋" w:eastAsia="仿宋"/>
          <w:sz w:val="32"/>
          <w:szCs w:val="32"/>
        </w:rPr>
        <w:t>%</w:t>
      </w:r>
      <w:r>
        <w:rPr>
          <w:rFonts w:hint="eastAsia" w:ascii="仿宋" w:hAnsi="仿宋" w:eastAsia="仿宋"/>
          <w:sz w:val="32"/>
          <w:szCs w:val="32"/>
        </w:rPr>
        <w:t>；政府性基金预算财政拨款收入41.2万元，占14</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bookmarkEnd w:id="32"/>
      <w:bookmarkEnd w:id="33"/>
    </w:p>
    <w:p>
      <w:pPr>
        <w:keepNext w:val="0"/>
        <w:keepLines w:val="0"/>
        <w:pageBreakBefore w:val="0"/>
        <w:widowControl/>
        <w:kinsoku/>
        <w:wordWrap/>
        <w:overflowPunct/>
        <w:topLinePunct w:val="0"/>
        <w:autoSpaceDE/>
        <w:autoSpaceDN/>
        <w:bidi w:val="0"/>
        <w:adjustRightInd w:val="0"/>
        <w:snapToGrid w:val="0"/>
        <w:spacing w:line="353" w:lineRule="auto"/>
        <w:ind w:left="0" w:right="0" w:firstLine="480" w:firstLineChars="200"/>
        <w:jc w:val="left"/>
        <w:textAlignment w:val="auto"/>
        <w:rPr>
          <w:rFonts w:ascii="宋体" w:hAnsi="宋体" w:cs="宋体"/>
          <w:kern w:val="0"/>
          <w:sz w:val="24"/>
        </w:rPr>
      </w:pPr>
      <w:r>
        <w:rPr>
          <w:rFonts w:ascii="宋体" w:hAnsi="宋体" w:cs="宋体"/>
          <w:kern w:val="0"/>
          <w:sz w:val="24"/>
        </w:rPr>
        <w:drawing>
          <wp:inline distT="0" distB="0" distL="0" distR="0">
            <wp:extent cx="3771900" cy="2676525"/>
            <wp:effectExtent l="19050" t="0" r="0" b="0"/>
            <wp:docPr id="3" name="图片 3" descr="C:\Users\Administrator\AppData\Roaming\Tencent\Users\248301485\QQ\WinTemp\RichOle\Y9L@Q1L2QX$2LA5UKSZ}$C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AppData\Roaming\Tencent\Users\248301485\QQ\WinTemp\RichOle\Y9L@Q1L2QX$2LA5UKSZ}$CN.png"/>
                    <pic:cNvPicPr>
                      <a:picLocks noChangeAspect="1" noChangeArrowheads="1"/>
                    </pic:cNvPicPr>
                  </pic:nvPicPr>
                  <pic:blipFill>
                    <a:blip r:embed="rId7"/>
                    <a:srcRect/>
                    <a:stretch>
                      <a:fillRect/>
                    </a:stretch>
                  </pic:blipFill>
                  <pic:spPr>
                    <a:xfrm>
                      <a:off x="0" y="0"/>
                      <a:ext cx="3771900" cy="2676525"/>
                    </a:xfrm>
                    <a:prstGeom prst="rect">
                      <a:avLst/>
                    </a:prstGeom>
                    <a:noFill/>
                    <a:ln w="9525">
                      <a:noFill/>
                      <a:miter lim="800000"/>
                      <a:headEnd/>
                      <a:tailEnd/>
                    </a:ln>
                  </pic:spPr>
                </pic:pic>
              </a:graphicData>
            </a:graphic>
          </wp:inline>
        </w:drawing>
      </w:r>
    </w:p>
    <w:p>
      <w:pPr>
        <w:keepNext w:val="0"/>
        <w:keepLines w:val="0"/>
        <w:pageBreakBefore w:val="0"/>
        <w:kinsoku/>
        <w:wordWrap/>
        <w:overflowPunct/>
        <w:topLinePunct w:val="0"/>
        <w:autoSpaceDE/>
        <w:autoSpaceDN/>
        <w:bidi w:val="0"/>
        <w:adjustRightInd w:val="0"/>
        <w:snapToGrid w:val="0"/>
        <w:spacing w:line="353" w:lineRule="auto"/>
        <w:ind w:left="0" w:right="0" w:firstLine="640" w:firstLineChars="200"/>
        <w:textAlignment w:val="auto"/>
        <w:rPr>
          <w:rFonts w:ascii="仿宋" w:hAnsi="仿宋" w:eastAsia="仿宋"/>
          <w:sz w:val="32"/>
          <w:szCs w:val="32"/>
        </w:rPr>
      </w:pPr>
      <w:r>
        <w:rPr>
          <w:rFonts w:hint="eastAsia" w:ascii="仿宋" w:hAnsi="仿宋" w:eastAsia="仿宋"/>
          <w:sz w:val="32"/>
          <w:szCs w:val="32"/>
        </w:rPr>
        <w:t>（图2：收入决算结构图）（饼状图）</w:t>
      </w:r>
    </w:p>
    <w:p>
      <w:pPr>
        <w:keepNext w:val="0"/>
        <w:keepLines w:val="0"/>
        <w:pageBreakBefore w:val="0"/>
        <w:kinsoku/>
        <w:wordWrap/>
        <w:overflowPunct/>
        <w:topLinePunct w:val="0"/>
        <w:autoSpaceDE/>
        <w:autoSpaceDN/>
        <w:bidi w:val="0"/>
        <w:adjustRightInd w:val="0"/>
        <w:snapToGrid w:val="0"/>
        <w:spacing w:line="353" w:lineRule="auto"/>
        <w:ind w:left="0" w:right="0" w:firstLine="640" w:firstLineChars="200"/>
        <w:textAlignment w:val="auto"/>
        <w:rPr>
          <w:rFonts w:ascii="仿宋_GB2312" w:eastAsia="仿宋_GB2312"/>
          <w:sz w:val="32"/>
          <w:szCs w:val="32"/>
        </w:rPr>
      </w:pPr>
    </w:p>
    <w:p>
      <w:pPr>
        <w:pStyle w:val="30"/>
        <w:keepNext w:val="0"/>
        <w:keepLines w:val="0"/>
        <w:pageBreakBefore w:val="0"/>
        <w:numPr>
          <w:ilvl w:val="0"/>
          <w:numId w:val="1"/>
        </w:numPr>
        <w:kinsoku/>
        <w:wordWrap/>
        <w:overflowPunct/>
        <w:topLinePunct w:val="0"/>
        <w:autoSpaceDE/>
        <w:autoSpaceDN/>
        <w:bidi w:val="0"/>
        <w:adjustRightInd w:val="0"/>
        <w:snapToGrid w:val="0"/>
        <w:spacing w:line="353" w:lineRule="auto"/>
        <w:ind w:left="0" w:leftChars="0" w:right="0" w:firstLine="640" w:firstLineChars="200"/>
        <w:textAlignment w:val="auto"/>
        <w:outlineLvl w:val="1"/>
        <w:rPr>
          <w:rStyle w:val="32"/>
          <w:rFonts w:ascii="黑体" w:hAnsi="黑体" w:eastAsia="黑体"/>
          <w:b w:val="0"/>
        </w:rPr>
      </w:pPr>
      <w:bookmarkStart w:id="34" w:name="_Toc15396605"/>
      <w:bookmarkStart w:id="35" w:name="_Toc15377207"/>
      <w:bookmarkStart w:id="36" w:name="_Toc14984"/>
      <w:r>
        <w:rPr>
          <w:rFonts w:hint="eastAsia" w:ascii="黑体" w:hAnsi="黑体" w:eastAsia="黑体"/>
          <w:sz w:val="32"/>
          <w:szCs w:val="32"/>
        </w:rPr>
        <w:t>支</w:t>
      </w:r>
      <w:r>
        <w:rPr>
          <w:rStyle w:val="32"/>
          <w:rFonts w:hint="eastAsia" w:ascii="黑体" w:hAnsi="黑体" w:eastAsia="黑体"/>
          <w:b w:val="0"/>
        </w:rPr>
        <w:t>出决算情况说明</w:t>
      </w:r>
      <w:bookmarkEnd w:id="34"/>
      <w:bookmarkEnd w:id="35"/>
      <w:bookmarkEnd w:id="36"/>
    </w:p>
    <w:p>
      <w:pPr>
        <w:keepNext w:val="0"/>
        <w:keepLines w:val="0"/>
        <w:pageBreakBefore w:val="0"/>
        <w:kinsoku/>
        <w:wordWrap/>
        <w:overflowPunct/>
        <w:topLinePunct w:val="0"/>
        <w:autoSpaceDE/>
        <w:autoSpaceDN/>
        <w:bidi w:val="0"/>
        <w:adjustRightInd w:val="0"/>
        <w:snapToGrid w:val="0"/>
        <w:spacing w:line="353" w:lineRule="auto"/>
        <w:ind w:left="0" w:right="0" w:firstLine="640" w:firstLineChars="200"/>
        <w:textAlignment w:val="auto"/>
        <w:outlineLvl w:val="1"/>
        <w:rPr>
          <w:rFonts w:ascii="仿宋" w:hAnsi="仿宋" w:eastAsia="仿宋"/>
          <w:sz w:val="32"/>
          <w:szCs w:val="32"/>
        </w:rPr>
      </w:pPr>
      <w:bookmarkStart w:id="37" w:name="_Toc30523"/>
      <w:bookmarkStart w:id="38" w:name="_Toc4490"/>
      <w:r>
        <w:rPr>
          <w:rFonts w:ascii="仿宋" w:hAnsi="仿宋" w:eastAsia="仿宋"/>
          <w:sz w:val="32"/>
          <w:szCs w:val="32"/>
        </w:rPr>
        <w:t>20</w:t>
      </w:r>
      <w:r>
        <w:rPr>
          <w:rFonts w:hint="eastAsia" w:ascii="仿宋" w:hAnsi="仿宋" w:eastAsia="仿宋"/>
          <w:sz w:val="32"/>
          <w:szCs w:val="32"/>
        </w:rPr>
        <w:t>22年本年支出合计319.2万元，其中：基本支出263.2万元，占82</w:t>
      </w:r>
      <w:r>
        <w:rPr>
          <w:rFonts w:ascii="仿宋" w:hAnsi="仿宋" w:eastAsia="仿宋"/>
          <w:sz w:val="32"/>
          <w:szCs w:val="32"/>
        </w:rPr>
        <w:t>%</w:t>
      </w:r>
      <w:r>
        <w:rPr>
          <w:rFonts w:hint="eastAsia" w:ascii="仿宋" w:hAnsi="仿宋" w:eastAsia="仿宋"/>
          <w:sz w:val="32"/>
          <w:szCs w:val="32"/>
        </w:rPr>
        <w:t>；项目支出56万元，占18</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bookmarkEnd w:id="37"/>
      <w:bookmarkEnd w:id="38"/>
    </w:p>
    <w:p>
      <w:pPr>
        <w:keepNext w:val="0"/>
        <w:keepLines w:val="0"/>
        <w:pageBreakBefore w:val="0"/>
        <w:widowControl/>
        <w:kinsoku/>
        <w:wordWrap/>
        <w:overflowPunct/>
        <w:topLinePunct w:val="0"/>
        <w:autoSpaceDE/>
        <w:autoSpaceDN/>
        <w:bidi w:val="0"/>
        <w:adjustRightInd w:val="0"/>
        <w:snapToGrid w:val="0"/>
        <w:spacing w:line="353" w:lineRule="auto"/>
        <w:ind w:left="0" w:right="0" w:firstLine="480" w:firstLineChars="200"/>
        <w:jc w:val="left"/>
        <w:textAlignment w:val="auto"/>
        <w:rPr>
          <w:rFonts w:ascii="宋体" w:hAnsi="宋体" w:cs="宋体"/>
          <w:kern w:val="0"/>
          <w:sz w:val="24"/>
        </w:rPr>
      </w:pPr>
      <w:r>
        <w:rPr>
          <w:rFonts w:ascii="宋体" w:hAnsi="宋体" w:cs="宋体"/>
          <w:kern w:val="0"/>
          <w:sz w:val="24"/>
        </w:rPr>
        <w:drawing>
          <wp:inline distT="0" distB="0" distL="0" distR="0">
            <wp:extent cx="2962275" cy="2638425"/>
            <wp:effectExtent l="19050" t="0" r="9525" b="0"/>
            <wp:docPr id="5" name="图片 5" descr="C:\Users\Administrator\AppData\Roaming\Tencent\Users\248301485\QQ\WinTemp\RichOle\0}ZBT6$9M20O3KKM5KP$DS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AppData\Roaming\Tencent\Users\248301485\QQ\WinTemp\RichOle\0}ZBT6$9M20O3KKM5KP$DSL.png"/>
                    <pic:cNvPicPr>
                      <a:picLocks noChangeAspect="1" noChangeArrowheads="1"/>
                    </pic:cNvPicPr>
                  </pic:nvPicPr>
                  <pic:blipFill>
                    <a:blip r:embed="rId8"/>
                    <a:srcRect/>
                    <a:stretch>
                      <a:fillRect/>
                    </a:stretch>
                  </pic:blipFill>
                  <pic:spPr>
                    <a:xfrm>
                      <a:off x="0" y="0"/>
                      <a:ext cx="2962275" cy="2638425"/>
                    </a:xfrm>
                    <a:prstGeom prst="rect">
                      <a:avLst/>
                    </a:prstGeom>
                    <a:noFill/>
                    <a:ln w="9525">
                      <a:noFill/>
                      <a:miter lim="800000"/>
                      <a:headEnd/>
                      <a:tailEnd/>
                    </a:ln>
                  </pic:spPr>
                </pic:pic>
              </a:graphicData>
            </a:graphic>
          </wp:inline>
        </w:drawing>
      </w:r>
    </w:p>
    <w:p>
      <w:pPr>
        <w:keepNext w:val="0"/>
        <w:keepLines w:val="0"/>
        <w:pageBreakBefore w:val="0"/>
        <w:kinsoku/>
        <w:wordWrap/>
        <w:overflowPunct/>
        <w:topLinePunct w:val="0"/>
        <w:autoSpaceDE/>
        <w:autoSpaceDN/>
        <w:bidi w:val="0"/>
        <w:adjustRightInd w:val="0"/>
        <w:snapToGrid w:val="0"/>
        <w:spacing w:line="353" w:lineRule="auto"/>
        <w:ind w:left="0" w:right="0" w:firstLine="640" w:firstLineChars="200"/>
        <w:textAlignment w:val="auto"/>
        <w:rPr>
          <w:rFonts w:ascii="仿宋" w:hAnsi="仿宋" w:eastAsia="仿宋"/>
          <w:sz w:val="32"/>
          <w:szCs w:val="32"/>
        </w:rPr>
      </w:pPr>
      <w:r>
        <w:rPr>
          <w:rFonts w:hint="eastAsia" w:ascii="仿宋" w:hAnsi="仿宋" w:eastAsia="仿宋"/>
          <w:sz w:val="32"/>
          <w:szCs w:val="32"/>
        </w:rPr>
        <w:t>（图3：支出决算结构图）（饼状图）</w:t>
      </w:r>
    </w:p>
    <w:p>
      <w:pPr>
        <w:keepNext w:val="0"/>
        <w:keepLines w:val="0"/>
        <w:pageBreakBefore w:val="0"/>
        <w:kinsoku/>
        <w:wordWrap/>
        <w:overflowPunct/>
        <w:topLinePunct w:val="0"/>
        <w:autoSpaceDE/>
        <w:autoSpaceDN/>
        <w:bidi w:val="0"/>
        <w:adjustRightInd w:val="0"/>
        <w:snapToGrid w:val="0"/>
        <w:spacing w:line="353" w:lineRule="auto"/>
        <w:ind w:left="0" w:right="0" w:firstLine="640" w:firstLineChars="200"/>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val="0"/>
        <w:snapToGrid w:val="0"/>
        <w:spacing w:line="353" w:lineRule="auto"/>
        <w:ind w:left="0" w:right="0" w:firstLine="640" w:firstLineChars="200"/>
        <w:textAlignment w:val="auto"/>
        <w:outlineLvl w:val="1"/>
        <w:rPr>
          <w:rStyle w:val="32"/>
          <w:rFonts w:ascii="黑体" w:hAnsi="黑体" w:eastAsia="黑体"/>
          <w:b w:val="0"/>
        </w:rPr>
      </w:pPr>
      <w:bookmarkStart w:id="39" w:name="_Toc15377208"/>
      <w:bookmarkStart w:id="40" w:name="_Toc11231"/>
      <w:bookmarkStart w:id="41" w:name="_Toc15396606"/>
      <w:r>
        <w:rPr>
          <w:rFonts w:hint="eastAsia" w:ascii="黑体" w:hAnsi="黑体" w:eastAsia="黑体"/>
          <w:sz w:val="32"/>
          <w:szCs w:val="32"/>
        </w:rPr>
        <w:t>四、财</w:t>
      </w:r>
      <w:r>
        <w:rPr>
          <w:rStyle w:val="32"/>
          <w:rFonts w:hint="eastAsia" w:ascii="黑体" w:hAnsi="黑体" w:eastAsia="黑体"/>
          <w:b w:val="0"/>
        </w:rPr>
        <w:t>政拨款收入支出决算总体情况说明</w:t>
      </w:r>
      <w:bookmarkEnd w:id="39"/>
      <w:bookmarkEnd w:id="40"/>
      <w:bookmarkEnd w:id="41"/>
    </w:p>
    <w:p>
      <w:pPr>
        <w:keepNext w:val="0"/>
        <w:keepLines w:val="0"/>
        <w:pageBreakBefore w:val="0"/>
        <w:kinsoku/>
        <w:wordWrap/>
        <w:overflowPunct/>
        <w:topLinePunct w:val="0"/>
        <w:autoSpaceDE/>
        <w:autoSpaceDN/>
        <w:bidi w:val="0"/>
        <w:adjustRightInd w:val="0"/>
        <w:snapToGrid w:val="0"/>
        <w:spacing w:line="353" w:lineRule="auto"/>
        <w:ind w:left="0" w:right="0" w:firstLine="640" w:firstLineChars="200"/>
        <w:textAlignment w:val="auto"/>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22年财政拨款收、支总计319.2万元。与2021年相比，收、支总计各减少33.97万元，下降10</w:t>
      </w:r>
      <w:r>
        <w:rPr>
          <w:rFonts w:ascii="仿宋" w:hAnsi="仿宋" w:eastAsia="仿宋"/>
          <w:sz w:val="32"/>
          <w:szCs w:val="32"/>
        </w:rPr>
        <w:t>%</w:t>
      </w:r>
      <w:r>
        <w:rPr>
          <w:rFonts w:hint="eastAsia" w:ascii="仿宋" w:hAnsi="仿宋" w:eastAsia="仿宋"/>
          <w:sz w:val="32"/>
          <w:szCs w:val="32"/>
        </w:rPr>
        <w:t>。主要变动原因是年底财政资金紧张未支付，项目经费减少。</w:t>
      </w:r>
    </w:p>
    <w:p>
      <w:pPr>
        <w:keepNext w:val="0"/>
        <w:keepLines w:val="0"/>
        <w:pageBreakBefore w:val="0"/>
        <w:widowControl/>
        <w:kinsoku/>
        <w:wordWrap/>
        <w:overflowPunct/>
        <w:topLinePunct w:val="0"/>
        <w:autoSpaceDE/>
        <w:autoSpaceDN/>
        <w:bidi w:val="0"/>
        <w:adjustRightInd w:val="0"/>
        <w:snapToGrid w:val="0"/>
        <w:spacing w:line="353" w:lineRule="auto"/>
        <w:ind w:left="0" w:right="0" w:firstLine="480" w:firstLineChars="200"/>
        <w:jc w:val="left"/>
        <w:textAlignment w:val="auto"/>
        <w:rPr>
          <w:rFonts w:ascii="宋体" w:hAnsi="宋体" w:cs="宋体"/>
          <w:kern w:val="0"/>
          <w:sz w:val="24"/>
        </w:rPr>
      </w:pPr>
      <w:r>
        <w:rPr>
          <w:rFonts w:ascii="宋体" w:hAnsi="宋体" w:cs="宋体"/>
          <w:kern w:val="0"/>
          <w:sz w:val="24"/>
        </w:rPr>
        <w:drawing>
          <wp:inline distT="0" distB="0" distL="0" distR="0">
            <wp:extent cx="3781425" cy="2400300"/>
            <wp:effectExtent l="19050" t="0" r="9525" b="0"/>
            <wp:docPr id="7" name="图片 7" descr="C:\Users\Administrator\AppData\Roaming\Tencent\Users\248301485\QQ\WinTemp\RichOle\S3C%X9WT)OLX8SCU4BU421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AppData\Roaming\Tencent\Users\248301485\QQ\WinTemp\RichOle\S3C%X9WT)OLX8SCU4BU421G.png"/>
                    <pic:cNvPicPr>
                      <a:picLocks noChangeAspect="1" noChangeArrowheads="1"/>
                    </pic:cNvPicPr>
                  </pic:nvPicPr>
                  <pic:blipFill>
                    <a:blip r:embed="rId9"/>
                    <a:srcRect/>
                    <a:stretch>
                      <a:fillRect/>
                    </a:stretch>
                  </pic:blipFill>
                  <pic:spPr>
                    <a:xfrm>
                      <a:off x="0" y="0"/>
                      <a:ext cx="3781425" cy="2400300"/>
                    </a:xfrm>
                    <a:prstGeom prst="rect">
                      <a:avLst/>
                    </a:prstGeom>
                    <a:noFill/>
                    <a:ln w="9525">
                      <a:noFill/>
                      <a:miter lim="800000"/>
                      <a:headEnd/>
                      <a:tailEnd/>
                    </a:ln>
                  </pic:spPr>
                </pic:pic>
              </a:graphicData>
            </a:graphic>
          </wp:inline>
        </w:drawing>
      </w:r>
    </w:p>
    <w:p>
      <w:pPr>
        <w:keepNext w:val="0"/>
        <w:keepLines w:val="0"/>
        <w:pageBreakBefore w:val="0"/>
        <w:kinsoku/>
        <w:wordWrap/>
        <w:overflowPunct/>
        <w:topLinePunct w:val="0"/>
        <w:autoSpaceDE/>
        <w:autoSpaceDN/>
        <w:bidi w:val="0"/>
        <w:adjustRightInd w:val="0"/>
        <w:snapToGrid w:val="0"/>
        <w:spacing w:line="353" w:lineRule="auto"/>
        <w:ind w:left="0" w:right="0" w:firstLine="640" w:firstLineChars="200"/>
        <w:textAlignment w:val="auto"/>
        <w:rPr>
          <w:rFonts w:ascii="仿宋" w:hAnsi="仿宋" w:eastAsia="仿宋"/>
          <w:sz w:val="32"/>
          <w:szCs w:val="32"/>
        </w:rPr>
      </w:pPr>
      <w:r>
        <w:rPr>
          <w:rFonts w:hint="eastAsia" w:ascii="仿宋" w:hAnsi="仿宋" w:eastAsia="仿宋"/>
          <w:sz w:val="32"/>
          <w:szCs w:val="32"/>
        </w:rPr>
        <w:t>（图4：财政拨款收、支决算总计变动情况）（柱状图）</w:t>
      </w:r>
    </w:p>
    <w:p>
      <w:pPr>
        <w:keepNext w:val="0"/>
        <w:keepLines w:val="0"/>
        <w:pageBreakBefore w:val="0"/>
        <w:kinsoku/>
        <w:wordWrap/>
        <w:overflowPunct/>
        <w:topLinePunct w:val="0"/>
        <w:autoSpaceDE/>
        <w:autoSpaceDN/>
        <w:bidi w:val="0"/>
        <w:adjustRightInd w:val="0"/>
        <w:snapToGrid w:val="0"/>
        <w:spacing w:line="353" w:lineRule="auto"/>
        <w:ind w:left="0" w:right="0" w:firstLine="643" w:firstLineChars="200"/>
        <w:textAlignment w:val="auto"/>
        <w:rPr>
          <w:rFonts w:ascii="仿宋" w:hAnsi="仿宋" w:eastAsia="仿宋"/>
          <w:b/>
          <w:sz w:val="32"/>
          <w:szCs w:val="32"/>
        </w:rPr>
      </w:pPr>
    </w:p>
    <w:p>
      <w:pPr>
        <w:pageBreakBefore w:val="0"/>
        <w:kinsoku/>
        <w:wordWrap/>
        <w:overflowPunct/>
        <w:topLinePunct w:val="0"/>
        <w:bidi w:val="0"/>
        <w:adjustRightInd w:val="0"/>
        <w:snapToGrid w:val="0"/>
        <w:spacing w:line="353" w:lineRule="auto"/>
        <w:ind w:left="0" w:right="0" w:firstLine="640" w:firstLineChars="200"/>
        <w:textAlignment w:val="auto"/>
        <w:outlineLvl w:val="1"/>
        <w:rPr>
          <w:rStyle w:val="32"/>
          <w:rFonts w:ascii="黑体" w:hAnsi="黑体" w:eastAsia="黑体"/>
          <w:b w:val="0"/>
        </w:rPr>
      </w:pPr>
      <w:bookmarkStart w:id="42" w:name="_Toc15377209"/>
      <w:bookmarkStart w:id="43" w:name="_Toc15396607"/>
      <w:bookmarkStart w:id="44" w:name="_Toc7145"/>
      <w:r>
        <w:rPr>
          <w:rFonts w:hint="eastAsia" w:ascii="黑体" w:hAnsi="黑体" w:eastAsia="黑体"/>
          <w:sz w:val="32"/>
          <w:szCs w:val="32"/>
        </w:rPr>
        <w:t>五、</w:t>
      </w:r>
      <w:r>
        <w:rPr>
          <w:rFonts w:hint="eastAsia" w:ascii="黑体" w:hAnsi="黑体" w:eastAsia="黑体"/>
          <w:b/>
          <w:sz w:val="32"/>
          <w:szCs w:val="32"/>
        </w:rPr>
        <w:t>一</w:t>
      </w:r>
      <w:r>
        <w:rPr>
          <w:rStyle w:val="32"/>
          <w:rFonts w:hint="eastAsia" w:ascii="黑体" w:hAnsi="黑体" w:eastAsia="黑体"/>
          <w:b w:val="0"/>
        </w:rPr>
        <w:t>般公共预算财政拨款支出决算情况说明</w:t>
      </w:r>
      <w:bookmarkEnd w:id="42"/>
      <w:bookmarkEnd w:id="43"/>
      <w:bookmarkEnd w:id="44"/>
    </w:p>
    <w:p>
      <w:pPr>
        <w:pageBreakBefore w:val="0"/>
        <w:kinsoku/>
        <w:wordWrap/>
        <w:overflowPunct/>
        <w:topLinePunct w:val="0"/>
        <w:bidi w:val="0"/>
        <w:adjustRightInd w:val="0"/>
        <w:snapToGrid w:val="0"/>
        <w:spacing w:line="353" w:lineRule="auto"/>
        <w:ind w:left="0" w:right="0" w:firstLine="643" w:firstLineChars="200"/>
        <w:textAlignment w:val="auto"/>
        <w:outlineLvl w:val="2"/>
        <w:rPr>
          <w:rFonts w:ascii="仿宋" w:hAnsi="仿宋" w:eastAsia="仿宋"/>
          <w:b/>
          <w:sz w:val="32"/>
          <w:szCs w:val="32"/>
        </w:rPr>
      </w:pPr>
      <w:bookmarkStart w:id="45" w:name="_Toc15377210"/>
      <w:r>
        <w:rPr>
          <w:rFonts w:hint="eastAsia" w:ascii="仿宋" w:hAnsi="仿宋" w:eastAsia="仿宋"/>
          <w:b/>
          <w:sz w:val="32"/>
          <w:szCs w:val="32"/>
        </w:rPr>
        <w:t>（一）一般公共预算财政拨款支出决算总体情况</w:t>
      </w:r>
      <w:bookmarkEnd w:id="45"/>
    </w:p>
    <w:p>
      <w:pPr>
        <w:pageBreakBefore w:val="0"/>
        <w:kinsoku/>
        <w:wordWrap/>
        <w:overflowPunct/>
        <w:topLinePunct w:val="0"/>
        <w:bidi w:val="0"/>
        <w:adjustRightInd w:val="0"/>
        <w:snapToGrid w:val="0"/>
        <w:spacing w:line="353" w:lineRule="auto"/>
        <w:ind w:left="0" w:right="0" w:firstLine="640" w:firstLineChars="200"/>
        <w:textAlignment w:val="auto"/>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22年一般公共预算财政拨款支出263.2万元，占本年支出合计的82</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21年相比，一般公共预算财政拨款支出增加18.99万元，增长8</w:t>
      </w:r>
      <w:r>
        <w:rPr>
          <w:rFonts w:ascii="仿宋" w:hAnsi="仿宋" w:eastAsia="仿宋"/>
          <w:sz w:val="32"/>
          <w:szCs w:val="32"/>
        </w:rPr>
        <w:t>%</w:t>
      </w:r>
      <w:r>
        <w:rPr>
          <w:rFonts w:hint="eastAsia" w:ascii="仿宋" w:hAnsi="仿宋" w:eastAsia="仿宋"/>
          <w:sz w:val="32"/>
          <w:szCs w:val="32"/>
        </w:rPr>
        <w:t>。主要变动原因是人员经费增加。</w:t>
      </w:r>
    </w:p>
    <w:p>
      <w:pPr>
        <w:pageBreakBefore w:val="0"/>
        <w:widowControl/>
        <w:kinsoku/>
        <w:wordWrap/>
        <w:overflowPunct/>
        <w:topLinePunct w:val="0"/>
        <w:bidi w:val="0"/>
        <w:adjustRightInd w:val="0"/>
        <w:snapToGrid w:val="0"/>
        <w:spacing w:line="353" w:lineRule="auto"/>
        <w:ind w:left="0" w:right="0"/>
        <w:jc w:val="left"/>
        <w:textAlignment w:val="auto"/>
        <w:rPr>
          <w:rFonts w:ascii="宋体" w:hAnsi="宋体" w:cs="宋体"/>
          <w:kern w:val="0"/>
          <w:sz w:val="24"/>
        </w:rPr>
      </w:pPr>
      <w:r>
        <w:rPr>
          <w:rFonts w:ascii="宋体" w:hAnsi="宋体" w:cs="宋体"/>
          <w:kern w:val="0"/>
          <w:sz w:val="24"/>
        </w:rPr>
        <w:drawing>
          <wp:inline distT="0" distB="0" distL="0" distR="0">
            <wp:extent cx="3181350" cy="2276475"/>
            <wp:effectExtent l="19050" t="0" r="0" b="0"/>
            <wp:docPr id="9" name="图片 9" descr="C:\Users\Administrator\AppData\Roaming\Tencent\Users\248301485\QQ\WinTemp\RichOle\VD5PL9K_RWF2)LG0SGG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AppData\Roaming\Tencent\Users\248301485\QQ\WinTemp\RichOle\VD5PL9K_RWF2)LG0SGGP}[3.png"/>
                    <pic:cNvPicPr>
                      <a:picLocks noChangeAspect="1" noChangeArrowheads="1"/>
                    </pic:cNvPicPr>
                  </pic:nvPicPr>
                  <pic:blipFill>
                    <a:blip r:embed="rId10"/>
                    <a:srcRect/>
                    <a:stretch>
                      <a:fillRect/>
                    </a:stretch>
                  </pic:blipFill>
                  <pic:spPr>
                    <a:xfrm>
                      <a:off x="0" y="0"/>
                      <a:ext cx="3181350" cy="2276475"/>
                    </a:xfrm>
                    <a:prstGeom prst="rect">
                      <a:avLst/>
                    </a:prstGeom>
                    <a:noFill/>
                    <a:ln w="9525">
                      <a:noFill/>
                      <a:miter lim="800000"/>
                      <a:headEnd/>
                      <a:tailEnd/>
                    </a:ln>
                  </pic:spPr>
                </pic:pic>
              </a:graphicData>
            </a:graphic>
          </wp:inline>
        </w:drawing>
      </w:r>
    </w:p>
    <w:p>
      <w:pPr>
        <w:pageBreakBefore w:val="0"/>
        <w:kinsoku/>
        <w:wordWrap/>
        <w:overflowPunct/>
        <w:topLinePunct w:val="0"/>
        <w:bidi w:val="0"/>
        <w:adjustRightInd w:val="0"/>
        <w:snapToGrid w:val="0"/>
        <w:spacing w:line="353" w:lineRule="auto"/>
        <w:ind w:left="0" w:right="0" w:firstLine="640" w:firstLineChars="200"/>
        <w:textAlignment w:val="auto"/>
        <w:rPr>
          <w:rFonts w:ascii="仿宋" w:hAnsi="仿宋" w:eastAsia="仿宋"/>
          <w:sz w:val="32"/>
          <w:szCs w:val="32"/>
        </w:rPr>
      </w:pPr>
      <w:r>
        <w:rPr>
          <w:rFonts w:hint="eastAsia" w:ascii="仿宋" w:hAnsi="仿宋" w:eastAsia="仿宋"/>
          <w:sz w:val="32"/>
          <w:szCs w:val="32"/>
        </w:rPr>
        <w:t>（图5：一般公共预算财政拨款支出决算变动情况）（柱状图）</w:t>
      </w:r>
    </w:p>
    <w:p>
      <w:pPr>
        <w:pageBreakBefore w:val="0"/>
        <w:kinsoku/>
        <w:wordWrap/>
        <w:overflowPunct/>
        <w:topLinePunct w:val="0"/>
        <w:bidi w:val="0"/>
        <w:adjustRightInd w:val="0"/>
        <w:snapToGrid w:val="0"/>
        <w:spacing w:line="353" w:lineRule="auto"/>
        <w:ind w:left="0" w:right="0" w:firstLine="640" w:firstLineChars="200"/>
        <w:textAlignment w:val="auto"/>
        <w:rPr>
          <w:rFonts w:ascii="仿宋" w:hAnsi="仿宋" w:eastAsia="仿宋"/>
          <w:sz w:val="32"/>
          <w:szCs w:val="32"/>
        </w:rPr>
      </w:pPr>
    </w:p>
    <w:p>
      <w:pPr>
        <w:pageBreakBefore w:val="0"/>
        <w:kinsoku/>
        <w:wordWrap/>
        <w:overflowPunct/>
        <w:topLinePunct w:val="0"/>
        <w:bidi w:val="0"/>
        <w:adjustRightInd w:val="0"/>
        <w:snapToGrid w:val="0"/>
        <w:spacing w:line="353" w:lineRule="auto"/>
        <w:ind w:left="0" w:right="0" w:firstLine="643" w:firstLineChars="200"/>
        <w:textAlignment w:val="auto"/>
        <w:outlineLvl w:val="2"/>
        <w:rPr>
          <w:rFonts w:ascii="仿宋" w:hAnsi="仿宋" w:eastAsia="仿宋"/>
          <w:b/>
          <w:sz w:val="32"/>
          <w:szCs w:val="32"/>
        </w:rPr>
      </w:pPr>
      <w:bookmarkStart w:id="46" w:name="_Toc15377211"/>
      <w:r>
        <w:rPr>
          <w:rFonts w:hint="eastAsia" w:ascii="仿宋" w:hAnsi="仿宋" w:eastAsia="仿宋"/>
          <w:b/>
          <w:sz w:val="32"/>
          <w:szCs w:val="32"/>
        </w:rPr>
        <w:t>（二）一般公共预算财政拨款支出决算结构情况</w:t>
      </w:r>
      <w:bookmarkEnd w:id="46"/>
    </w:p>
    <w:p>
      <w:pPr>
        <w:pageBreakBefore w:val="0"/>
        <w:kinsoku/>
        <w:wordWrap/>
        <w:overflowPunct/>
        <w:topLinePunct w:val="0"/>
        <w:bidi w:val="0"/>
        <w:adjustRightInd w:val="0"/>
        <w:snapToGrid w:val="0"/>
        <w:spacing w:line="353" w:lineRule="auto"/>
        <w:ind w:left="0" w:right="0" w:firstLine="640"/>
        <w:textAlignment w:val="auto"/>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22年一般公共预算财政拨款支出263.2万元，主要用于以下方面</w:t>
      </w:r>
      <w:r>
        <w:rPr>
          <w:rFonts w:hint="eastAsia" w:ascii="仿宋" w:hAnsi="仿宋" w:eastAsia="仿宋"/>
          <w:sz w:val="32"/>
          <w:szCs w:val="32"/>
          <w:lang w:eastAsia="zh-CN"/>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rPr>
        <w:t>206.72万元，占79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rPr>
        <w:t>17.75万元，占8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15.8万元，占6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22.94万元，占7</w:t>
      </w:r>
      <w:r>
        <w:rPr>
          <w:rFonts w:ascii="仿宋" w:hAnsi="仿宋" w:eastAsia="仿宋"/>
          <w:sz w:val="32"/>
          <w:szCs w:val="32"/>
        </w:rPr>
        <w:t>%</w:t>
      </w:r>
      <w:r>
        <w:rPr>
          <w:rFonts w:hint="eastAsia" w:ascii="仿宋" w:hAnsi="仿宋" w:eastAsia="仿宋"/>
          <w:sz w:val="32"/>
          <w:szCs w:val="32"/>
        </w:rPr>
        <w:t>。</w:t>
      </w:r>
    </w:p>
    <w:p>
      <w:pPr>
        <w:pageBreakBefore w:val="0"/>
        <w:widowControl/>
        <w:kinsoku/>
        <w:wordWrap/>
        <w:overflowPunct/>
        <w:topLinePunct w:val="0"/>
        <w:bidi w:val="0"/>
        <w:adjustRightInd w:val="0"/>
        <w:snapToGrid w:val="0"/>
        <w:spacing w:line="353" w:lineRule="auto"/>
        <w:ind w:left="0" w:right="0"/>
        <w:jc w:val="left"/>
        <w:textAlignment w:val="auto"/>
        <w:rPr>
          <w:rFonts w:ascii="宋体" w:hAnsi="宋体" w:cs="宋体"/>
          <w:kern w:val="0"/>
          <w:sz w:val="24"/>
        </w:rPr>
      </w:pPr>
      <w:r>
        <w:rPr>
          <w:rFonts w:ascii="宋体" w:hAnsi="宋体" w:cs="宋体"/>
          <w:kern w:val="0"/>
          <w:sz w:val="24"/>
        </w:rPr>
        <w:drawing>
          <wp:inline distT="0" distB="0" distL="0" distR="0">
            <wp:extent cx="4048125" cy="2552700"/>
            <wp:effectExtent l="19050" t="0" r="9525" b="0"/>
            <wp:docPr id="11" name="图片 11" descr="C:\Users\Administrator\AppData\Roaming\Tencent\Users\248301485\QQ\WinTemp\RichOle\7M5]}$K$`I$}FDG(%D7I]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AppData\Roaming\Tencent\Users\248301485\QQ\WinTemp\RichOle\7M5]}$K$`I$}FDG(%D7I]DA.png"/>
                    <pic:cNvPicPr>
                      <a:picLocks noChangeAspect="1" noChangeArrowheads="1"/>
                    </pic:cNvPicPr>
                  </pic:nvPicPr>
                  <pic:blipFill>
                    <a:blip r:embed="rId11"/>
                    <a:srcRect/>
                    <a:stretch>
                      <a:fillRect/>
                    </a:stretch>
                  </pic:blipFill>
                  <pic:spPr>
                    <a:xfrm>
                      <a:off x="0" y="0"/>
                      <a:ext cx="4048125" cy="2552700"/>
                    </a:xfrm>
                    <a:prstGeom prst="rect">
                      <a:avLst/>
                    </a:prstGeom>
                    <a:noFill/>
                    <a:ln w="9525">
                      <a:noFill/>
                      <a:miter lim="800000"/>
                      <a:headEnd/>
                      <a:tailEnd/>
                    </a:ln>
                  </pic:spPr>
                </pic:pic>
              </a:graphicData>
            </a:graphic>
          </wp:inline>
        </w:drawing>
      </w:r>
    </w:p>
    <w:p>
      <w:pPr>
        <w:pageBreakBefore w:val="0"/>
        <w:kinsoku/>
        <w:wordWrap/>
        <w:overflowPunct/>
        <w:topLinePunct w:val="0"/>
        <w:bidi w:val="0"/>
        <w:adjustRightInd w:val="0"/>
        <w:snapToGrid w:val="0"/>
        <w:spacing w:line="353" w:lineRule="auto"/>
        <w:ind w:left="0" w:right="0" w:firstLine="640" w:firstLineChars="200"/>
        <w:textAlignment w:val="auto"/>
        <w:rPr>
          <w:rFonts w:ascii="仿宋" w:hAnsi="仿宋" w:eastAsia="仿宋"/>
          <w:sz w:val="32"/>
          <w:szCs w:val="32"/>
        </w:rPr>
      </w:pPr>
      <w:r>
        <w:rPr>
          <w:rFonts w:hint="eastAsia" w:ascii="仿宋" w:hAnsi="仿宋" w:eastAsia="仿宋"/>
          <w:sz w:val="32"/>
          <w:szCs w:val="32"/>
        </w:rPr>
        <w:t>（图6：一般公共预算财政拨款支出决算结构）（饼状图）</w:t>
      </w:r>
    </w:p>
    <w:p>
      <w:pPr>
        <w:pageBreakBefore w:val="0"/>
        <w:kinsoku/>
        <w:wordWrap/>
        <w:overflowPunct/>
        <w:topLinePunct w:val="0"/>
        <w:bidi w:val="0"/>
        <w:adjustRightInd w:val="0"/>
        <w:snapToGrid w:val="0"/>
        <w:spacing w:line="353" w:lineRule="auto"/>
        <w:ind w:left="0" w:right="0" w:firstLine="640" w:firstLineChars="200"/>
        <w:textAlignment w:val="auto"/>
        <w:rPr>
          <w:rFonts w:ascii="仿宋" w:hAnsi="仿宋" w:eastAsia="仿宋"/>
          <w:sz w:val="32"/>
          <w:szCs w:val="32"/>
        </w:rPr>
      </w:pPr>
    </w:p>
    <w:p>
      <w:pPr>
        <w:pageBreakBefore w:val="0"/>
        <w:kinsoku/>
        <w:wordWrap/>
        <w:overflowPunct/>
        <w:topLinePunct w:val="0"/>
        <w:bidi w:val="0"/>
        <w:adjustRightInd w:val="0"/>
        <w:snapToGrid w:val="0"/>
        <w:spacing w:line="353" w:lineRule="auto"/>
        <w:ind w:left="0" w:right="0" w:firstLine="643" w:firstLineChars="200"/>
        <w:textAlignment w:val="auto"/>
        <w:outlineLvl w:val="2"/>
        <w:rPr>
          <w:rFonts w:ascii="仿宋" w:hAnsi="仿宋" w:eastAsia="仿宋"/>
          <w:b/>
          <w:sz w:val="32"/>
          <w:szCs w:val="32"/>
        </w:rPr>
      </w:pPr>
      <w:bookmarkStart w:id="47" w:name="_Toc15377212"/>
      <w:r>
        <w:rPr>
          <w:rFonts w:hint="eastAsia" w:ascii="仿宋" w:hAnsi="仿宋" w:eastAsia="仿宋"/>
          <w:b/>
          <w:sz w:val="32"/>
          <w:szCs w:val="32"/>
        </w:rPr>
        <w:t>（三）一般公共预算财政拨款支出决算具体情况</w:t>
      </w:r>
      <w:bookmarkEnd w:id="47"/>
    </w:p>
    <w:p>
      <w:pPr>
        <w:pageBreakBefore w:val="0"/>
        <w:kinsoku/>
        <w:wordWrap/>
        <w:overflowPunct/>
        <w:topLinePunct w:val="0"/>
        <w:bidi w:val="0"/>
        <w:adjustRightInd w:val="0"/>
        <w:snapToGrid w:val="0"/>
        <w:spacing w:line="353" w:lineRule="auto"/>
        <w:ind w:left="0" w:right="0" w:firstLine="643" w:firstLineChars="200"/>
        <w:textAlignment w:val="auto"/>
        <w:outlineLvl w:val="1"/>
        <w:rPr>
          <w:rFonts w:ascii="仿宋" w:hAnsi="仿宋" w:eastAsia="仿宋"/>
          <w:sz w:val="32"/>
          <w:szCs w:val="32"/>
        </w:rPr>
      </w:pPr>
      <w:bookmarkStart w:id="48" w:name="_Toc17139"/>
      <w:bookmarkStart w:id="49" w:name="_Toc15378460"/>
      <w:bookmarkStart w:id="50" w:name="_Toc30553"/>
      <w:bookmarkStart w:id="51" w:name="_Toc15377444"/>
      <w:bookmarkStart w:id="52" w:name="_Toc15377213"/>
      <w:r>
        <w:rPr>
          <w:rFonts w:hint="eastAsia" w:ascii="仿宋" w:hAnsi="仿宋" w:eastAsia="仿宋"/>
          <w:b/>
          <w:sz w:val="32"/>
          <w:szCs w:val="32"/>
        </w:rPr>
        <w:t>2022年一般公共预算支出决算数为263.2万元</w:t>
      </w:r>
      <w:r>
        <w:rPr>
          <w:rFonts w:hint="eastAsia" w:ascii="仿宋" w:hAnsi="仿宋" w:eastAsia="仿宋"/>
          <w:sz w:val="32"/>
          <w:szCs w:val="32"/>
        </w:rPr>
        <w:t>，</w:t>
      </w:r>
      <w:r>
        <w:rPr>
          <w:rStyle w:val="19"/>
          <w:rFonts w:hint="eastAsia" w:ascii="仿宋" w:hAnsi="仿宋" w:eastAsia="仿宋"/>
          <w:bCs/>
          <w:sz w:val="32"/>
          <w:szCs w:val="32"/>
        </w:rPr>
        <w:t>完成预算100</w:t>
      </w:r>
      <w:r>
        <w:rPr>
          <w:rStyle w:val="19"/>
          <w:rFonts w:ascii="仿宋" w:hAnsi="仿宋" w:eastAsia="仿宋"/>
          <w:bCs/>
          <w:sz w:val="32"/>
          <w:szCs w:val="32"/>
        </w:rPr>
        <w:t>%</w:t>
      </w:r>
      <w:r>
        <w:rPr>
          <w:rStyle w:val="19"/>
          <w:rFonts w:hint="eastAsia" w:ascii="仿宋" w:hAnsi="仿宋" w:eastAsia="仿宋"/>
          <w:bCs/>
          <w:sz w:val="32"/>
          <w:szCs w:val="32"/>
        </w:rPr>
        <w:t>。其中：</w:t>
      </w:r>
      <w:bookmarkEnd w:id="48"/>
      <w:bookmarkEnd w:id="49"/>
      <w:bookmarkEnd w:id="50"/>
      <w:bookmarkEnd w:id="51"/>
      <w:bookmarkEnd w:id="52"/>
    </w:p>
    <w:p>
      <w:pPr>
        <w:pageBreakBefore w:val="0"/>
        <w:kinsoku/>
        <w:wordWrap/>
        <w:overflowPunct/>
        <w:topLinePunct w:val="0"/>
        <w:bidi w:val="0"/>
        <w:adjustRightInd w:val="0"/>
        <w:snapToGrid w:val="0"/>
        <w:spacing w:line="353" w:lineRule="auto"/>
        <w:ind w:left="0" w:right="0" w:firstLine="643" w:firstLineChars="200"/>
        <w:textAlignment w:val="auto"/>
        <w:rPr>
          <w:rFonts w:ascii="仿宋" w:hAnsi="仿宋" w:eastAsia="仿宋"/>
          <w:b/>
          <w:sz w:val="32"/>
          <w:szCs w:val="32"/>
        </w:rPr>
      </w:pPr>
      <w:r>
        <w:rPr>
          <w:rStyle w:val="19"/>
          <w:rFonts w:ascii="仿宋" w:hAnsi="仿宋" w:eastAsia="仿宋"/>
          <w:bCs/>
          <w:sz w:val="32"/>
          <w:szCs w:val="32"/>
        </w:rPr>
        <w:t>1.</w:t>
      </w:r>
      <w:r>
        <w:rPr>
          <w:rStyle w:val="19"/>
          <w:rFonts w:hint="eastAsia" w:ascii="仿宋" w:hAnsi="仿宋" w:eastAsia="仿宋"/>
          <w:bCs/>
          <w:sz w:val="32"/>
          <w:szCs w:val="32"/>
        </w:rPr>
        <w:t>一般公共服务支出（类）政府办公厅（室）及相关机构事务（款）行政运行（项）</w:t>
      </w:r>
      <w:r>
        <w:rPr>
          <w:rStyle w:val="19"/>
          <w:rFonts w:hint="eastAsia" w:ascii="仿宋" w:hAnsi="仿宋" w:eastAsia="仿宋"/>
          <w:bCs/>
          <w:sz w:val="32"/>
          <w:szCs w:val="32"/>
          <w:lang w:eastAsia="zh-CN"/>
        </w:rPr>
        <w:t>：</w:t>
      </w:r>
      <w:r>
        <w:rPr>
          <w:rStyle w:val="19"/>
          <w:rFonts w:hint="eastAsia" w:ascii="仿宋" w:hAnsi="仿宋" w:eastAsia="仿宋"/>
          <w:b w:val="0"/>
          <w:bCs/>
          <w:sz w:val="32"/>
          <w:szCs w:val="32"/>
        </w:rPr>
        <w:t>支出决算为88.17万元，完成预算100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，决算数等于预算数。</w:t>
      </w:r>
    </w:p>
    <w:p>
      <w:pPr>
        <w:pageBreakBefore w:val="0"/>
        <w:kinsoku/>
        <w:wordWrap/>
        <w:overflowPunct/>
        <w:topLinePunct w:val="0"/>
        <w:bidi w:val="0"/>
        <w:adjustRightInd w:val="0"/>
        <w:snapToGrid w:val="0"/>
        <w:spacing w:line="353" w:lineRule="auto"/>
        <w:ind w:left="0" w:right="0" w:firstLine="643" w:firstLineChars="200"/>
        <w:textAlignment w:val="auto"/>
        <w:rPr>
          <w:rFonts w:ascii="仿宋" w:hAnsi="仿宋" w:eastAsia="仿宋"/>
          <w:b/>
          <w:sz w:val="32"/>
          <w:szCs w:val="32"/>
        </w:rPr>
      </w:pPr>
      <w:r>
        <w:rPr>
          <w:rStyle w:val="19"/>
          <w:rFonts w:ascii="仿宋" w:hAnsi="仿宋" w:eastAsia="仿宋"/>
          <w:bCs/>
          <w:sz w:val="32"/>
          <w:szCs w:val="32"/>
        </w:rPr>
        <w:t>2.</w:t>
      </w:r>
      <w:r>
        <w:rPr>
          <w:rStyle w:val="19"/>
          <w:rFonts w:hint="eastAsia" w:ascii="仿宋" w:hAnsi="仿宋" w:eastAsia="仿宋"/>
          <w:bCs/>
          <w:sz w:val="32"/>
          <w:szCs w:val="32"/>
        </w:rPr>
        <w:t>一般公共服务支出（类）政府办公厅（室）及相关机构事务（款）事业运行（项）</w:t>
      </w:r>
      <w:r>
        <w:rPr>
          <w:rStyle w:val="19"/>
          <w:rFonts w:hint="eastAsia" w:ascii="仿宋" w:hAnsi="仿宋" w:eastAsia="仿宋"/>
          <w:bCs/>
          <w:sz w:val="32"/>
          <w:szCs w:val="32"/>
          <w:lang w:eastAsia="zh-CN"/>
        </w:rPr>
        <w:t>：</w:t>
      </w:r>
      <w:r>
        <w:rPr>
          <w:rStyle w:val="19"/>
          <w:rFonts w:hint="eastAsia" w:ascii="仿宋" w:hAnsi="仿宋" w:eastAsia="仿宋"/>
          <w:b w:val="0"/>
          <w:bCs/>
          <w:sz w:val="32"/>
          <w:szCs w:val="32"/>
        </w:rPr>
        <w:t>支出决算为118.54万元，完成预算100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，决算数等于预算数。</w:t>
      </w:r>
    </w:p>
    <w:p>
      <w:pPr>
        <w:pageBreakBefore w:val="0"/>
        <w:kinsoku/>
        <w:wordWrap/>
        <w:overflowPunct/>
        <w:topLinePunct w:val="0"/>
        <w:bidi w:val="0"/>
        <w:adjustRightInd w:val="0"/>
        <w:snapToGrid w:val="0"/>
        <w:spacing w:line="353" w:lineRule="auto"/>
        <w:ind w:left="0" w:right="0" w:firstLine="643" w:firstLineChars="200"/>
        <w:textAlignment w:val="auto"/>
        <w:rPr>
          <w:rFonts w:ascii="仿宋" w:hAnsi="仿宋" w:eastAsia="仿宋"/>
          <w:b/>
          <w:sz w:val="32"/>
          <w:szCs w:val="32"/>
        </w:rPr>
      </w:pPr>
      <w:r>
        <w:rPr>
          <w:rStyle w:val="19"/>
          <w:rFonts w:ascii="仿宋" w:hAnsi="仿宋" w:eastAsia="仿宋"/>
          <w:bCs/>
          <w:sz w:val="32"/>
          <w:szCs w:val="32"/>
        </w:rPr>
        <w:t>3.</w:t>
      </w:r>
      <w:r>
        <w:rPr>
          <w:rStyle w:val="19"/>
          <w:rFonts w:hint="eastAsia" w:ascii="仿宋" w:hAnsi="仿宋" w:eastAsia="仿宋"/>
          <w:bCs/>
          <w:sz w:val="32"/>
          <w:szCs w:val="32"/>
        </w:rPr>
        <w:t>社会保障和就业支出（类）行政事业单位养老支出（款）机关事业单位基本养老保险缴费支出（项）</w:t>
      </w:r>
      <w:r>
        <w:rPr>
          <w:rStyle w:val="19"/>
          <w:rFonts w:hint="eastAsia" w:ascii="仿宋" w:hAnsi="仿宋" w:eastAsia="仿宋"/>
          <w:bCs/>
          <w:sz w:val="32"/>
          <w:szCs w:val="32"/>
          <w:lang w:eastAsia="zh-CN"/>
        </w:rPr>
        <w:t>：</w:t>
      </w:r>
      <w:r>
        <w:rPr>
          <w:rStyle w:val="19"/>
          <w:rFonts w:hint="eastAsia" w:ascii="仿宋" w:hAnsi="仿宋" w:eastAsia="仿宋"/>
          <w:b w:val="0"/>
          <w:bCs/>
          <w:sz w:val="32"/>
          <w:szCs w:val="32"/>
        </w:rPr>
        <w:t>支出决算为17.75万元，完成预算100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w:t>
      </w:r>
    </w:p>
    <w:p>
      <w:pPr>
        <w:pageBreakBefore w:val="0"/>
        <w:kinsoku/>
        <w:wordWrap/>
        <w:overflowPunct/>
        <w:topLinePunct w:val="0"/>
        <w:bidi w:val="0"/>
        <w:adjustRightInd w:val="0"/>
        <w:snapToGrid w:val="0"/>
        <w:spacing w:line="353" w:lineRule="auto"/>
        <w:ind w:left="0" w:right="0" w:firstLine="640"/>
        <w:textAlignment w:val="auto"/>
        <w:rPr>
          <w:rStyle w:val="19"/>
          <w:rFonts w:ascii="仿宋" w:hAnsi="仿宋" w:eastAsia="仿宋"/>
          <w:b w:val="0"/>
          <w:bCs/>
          <w:sz w:val="32"/>
          <w:szCs w:val="32"/>
        </w:rPr>
      </w:pPr>
      <w:r>
        <w:rPr>
          <w:rStyle w:val="19"/>
          <w:rFonts w:hint="eastAsia" w:ascii="仿宋" w:hAnsi="仿宋" w:eastAsia="仿宋"/>
          <w:bCs/>
          <w:sz w:val="32"/>
          <w:szCs w:val="32"/>
        </w:rPr>
        <w:t>4</w:t>
      </w:r>
      <w:r>
        <w:rPr>
          <w:rStyle w:val="19"/>
          <w:rFonts w:ascii="仿宋" w:hAnsi="仿宋" w:eastAsia="仿宋"/>
          <w:bCs/>
          <w:sz w:val="32"/>
          <w:szCs w:val="32"/>
        </w:rPr>
        <w:t>.</w:t>
      </w:r>
      <w:r>
        <w:rPr>
          <w:rStyle w:val="19"/>
          <w:rFonts w:hint="eastAsia" w:ascii="仿宋" w:hAnsi="仿宋" w:eastAsia="仿宋"/>
          <w:bCs/>
          <w:sz w:val="32"/>
          <w:szCs w:val="32"/>
        </w:rPr>
        <w:t xml:space="preserve"> 卫生健康支出（类）行政事业单位医疗（款）行政单位医疗（项）</w:t>
      </w:r>
      <w:r>
        <w:rPr>
          <w:rStyle w:val="19"/>
          <w:rFonts w:hint="eastAsia" w:ascii="仿宋" w:hAnsi="仿宋" w:eastAsia="仿宋"/>
          <w:bCs/>
          <w:sz w:val="32"/>
          <w:szCs w:val="32"/>
          <w:lang w:eastAsia="zh-CN"/>
        </w:rPr>
        <w:t>：</w:t>
      </w:r>
      <w:r>
        <w:rPr>
          <w:rStyle w:val="19"/>
          <w:rFonts w:hint="eastAsia" w:ascii="仿宋" w:hAnsi="仿宋" w:eastAsia="仿宋"/>
          <w:b w:val="0"/>
          <w:bCs/>
          <w:sz w:val="32"/>
          <w:szCs w:val="32"/>
        </w:rPr>
        <w:t>支出决算为5.5万元，完成预算100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，决算数等于预算数。</w:t>
      </w:r>
    </w:p>
    <w:p>
      <w:pPr>
        <w:pStyle w:val="2"/>
        <w:pageBreakBefore w:val="0"/>
        <w:kinsoku/>
        <w:wordWrap/>
        <w:overflowPunct/>
        <w:topLinePunct w:val="0"/>
        <w:bidi w:val="0"/>
        <w:adjustRightInd w:val="0"/>
        <w:snapToGrid w:val="0"/>
        <w:spacing w:beforeLines="0" w:line="353" w:lineRule="auto"/>
        <w:ind w:left="0" w:right="0" w:firstLine="642"/>
        <w:textAlignment w:val="auto"/>
        <w:rPr>
          <w:rStyle w:val="19"/>
          <w:rFonts w:ascii="仿宋" w:hAnsi="仿宋" w:eastAsia="仿宋"/>
          <w:b w:val="0"/>
          <w:bCs/>
          <w:sz w:val="32"/>
          <w:szCs w:val="32"/>
        </w:rPr>
      </w:pPr>
      <w:r>
        <w:rPr>
          <w:rStyle w:val="19"/>
          <w:rFonts w:hint="eastAsia" w:ascii="仿宋" w:hAnsi="仿宋" w:eastAsia="仿宋"/>
          <w:bCs/>
          <w:sz w:val="32"/>
          <w:szCs w:val="32"/>
        </w:rPr>
        <w:t>5</w:t>
      </w:r>
      <w:r>
        <w:rPr>
          <w:rStyle w:val="19"/>
          <w:rFonts w:ascii="仿宋" w:hAnsi="仿宋" w:eastAsia="仿宋"/>
          <w:bCs/>
          <w:sz w:val="32"/>
          <w:szCs w:val="32"/>
        </w:rPr>
        <w:t>.</w:t>
      </w:r>
      <w:r>
        <w:rPr>
          <w:rStyle w:val="19"/>
          <w:rFonts w:hint="eastAsia" w:ascii="仿宋" w:hAnsi="仿宋" w:eastAsia="仿宋"/>
          <w:bCs/>
          <w:sz w:val="32"/>
          <w:szCs w:val="32"/>
        </w:rPr>
        <w:t>卫生健康支出（类）行政事业单位医疗（款）事业单位医疗（项）</w:t>
      </w:r>
      <w:r>
        <w:rPr>
          <w:rStyle w:val="19"/>
          <w:rFonts w:hint="eastAsia" w:ascii="仿宋" w:hAnsi="仿宋" w:eastAsia="仿宋"/>
          <w:bCs/>
          <w:sz w:val="32"/>
          <w:szCs w:val="32"/>
          <w:lang w:eastAsia="zh-CN"/>
        </w:rPr>
        <w:t>：</w:t>
      </w:r>
      <w:r>
        <w:rPr>
          <w:rStyle w:val="19"/>
          <w:rFonts w:hint="eastAsia" w:ascii="仿宋" w:hAnsi="仿宋" w:eastAsia="仿宋"/>
          <w:b w:val="0"/>
          <w:bCs/>
          <w:sz w:val="32"/>
          <w:szCs w:val="32"/>
        </w:rPr>
        <w:t>支出决算为9.13万元，完成预算100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，决算数等于预算数。</w:t>
      </w:r>
    </w:p>
    <w:p>
      <w:pPr>
        <w:pStyle w:val="2"/>
        <w:pageBreakBefore w:val="0"/>
        <w:kinsoku/>
        <w:wordWrap/>
        <w:overflowPunct/>
        <w:topLinePunct w:val="0"/>
        <w:bidi w:val="0"/>
        <w:adjustRightInd w:val="0"/>
        <w:snapToGrid w:val="0"/>
        <w:spacing w:beforeLines="0" w:line="353" w:lineRule="auto"/>
        <w:ind w:left="0" w:right="0"/>
        <w:textAlignment w:val="auto"/>
      </w:pPr>
      <w:r>
        <w:rPr>
          <w:rStyle w:val="19"/>
          <w:rFonts w:hint="eastAsia" w:ascii="仿宋" w:hAnsi="仿宋" w:eastAsia="仿宋"/>
          <w:bCs/>
          <w:sz w:val="32"/>
          <w:szCs w:val="32"/>
        </w:rPr>
        <w:t xml:space="preserve">    6</w:t>
      </w:r>
      <w:r>
        <w:rPr>
          <w:rStyle w:val="19"/>
          <w:rFonts w:ascii="仿宋" w:hAnsi="仿宋" w:eastAsia="仿宋"/>
          <w:bCs/>
          <w:sz w:val="32"/>
          <w:szCs w:val="32"/>
        </w:rPr>
        <w:t>.</w:t>
      </w:r>
      <w:r>
        <w:rPr>
          <w:rStyle w:val="19"/>
          <w:rFonts w:hint="eastAsia" w:ascii="仿宋" w:hAnsi="仿宋" w:eastAsia="仿宋"/>
          <w:bCs/>
          <w:sz w:val="32"/>
          <w:szCs w:val="32"/>
        </w:rPr>
        <w:t>卫生健康支出（类）行政事业单位医疗（款）公务员医疗补助（项）</w:t>
      </w:r>
      <w:r>
        <w:rPr>
          <w:rStyle w:val="19"/>
          <w:rFonts w:hint="eastAsia" w:ascii="仿宋" w:hAnsi="仿宋" w:eastAsia="仿宋"/>
          <w:bCs/>
          <w:sz w:val="32"/>
          <w:szCs w:val="32"/>
          <w:lang w:eastAsia="zh-CN"/>
        </w:rPr>
        <w:t>：</w:t>
      </w:r>
      <w:r>
        <w:rPr>
          <w:rStyle w:val="19"/>
          <w:rFonts w:hint="eastAsia" w:ascii="仿宋" w:hAnsi="仿宋" w:eastAsia="仿宋"/>
          <w:b w:val="0"/>
          <w:bCs/>
          <w:sz w:val="32"/>
          <w:szCs w:val="32"/>
        </w:rPr>
        <w:t>支出决算为0.37万元，完成预算100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，决算数等于预算数。</w:t>
      </w:r>
    </w:p>
    <w:p>
      <w:pPr>
        <w:pStyle w:val="2"/>
        <w:pageBreakBefore w:val="0"/>
        <w:kinsoku/>
        <w:wordWrap/>
        <w:overflowPunct/>
        <w:topLinePunct w:val="0"/>
        <w:bidi w:val="0"/>
        <w:adjustRightInd w:val="0"/>
        <w:snapToGrid w:val="0"/>
        <w:spacing w:beforeLines="0" w:line="353" w:lineRule="auto"/>
        <w:ind w:left="0" w:right="0"/>
        <w:textAlignment w:val="auto"/>
      </w:pPr>
      <w:r>
        <w:rPr>
          <w:rStyle w:val="19"/>
          <w:rFonts w:hint="eastAsia" w:ascii="仿宋" w:hAnsi="仿宋" w:eastAsia="仿宋"/>
          <w:bCs/>
          <w:sz w:val="32"/>
          <w:szCs w:val="32"/>
        </w:rPr>
        <w:t xml:space="preserve">    7</w:t>
      </w:r>
      <w:r>
        <w:rPr>
          <w:rStyle w:val="19"/>
          <w:rFonts w:ascii="仿宋" w:hAnsi="仿宋" w:eastAsia="仿宋"/>
          <w:bCs/>
          <w:sz w:val="32"/>
          <w:szCs w:val="32"/>
        </w:rPr>
        <w:t>.</w:t>
      </w:r>
      <w:r>
        <w:rPr>
          <w:rStyle w:val="19"/>
          <w:rFonts w:hint="eastAsia" w:ascii="仿宋" w:hAnsi="仿宋" w:eastAsia="仿宋"/>
          <w:bCs/>
          <w:sz w:val="32"/>
          <w:szCs w:val="32"/>
        </w:rPr>
        <w:t>卫生健康支出（类）行政事业单位医疗（款）</w:t>
      </w:r>
      <w:r>
        <w:rPr>
          <w:rStyle w:val="19"/>
          <w:rFonts w:hint="eastAsia" w:ascii="仿宋" w:hAnsi="仿宋" w:eastAsia="仿宋"/>
          <w:bCs/>
        </w:rPr>
        <w:t>其他</w:t>
      </w:r>
      <w:r>
        <w:rPr>
          <w:rStyle w:val="19"/>
          <w:rFonts w:hint="eastAsia" w:ascii="仿宋" w:hAnsi="仿宋" w:eastAsia="仿宋"/>
          <w:bCs/>
          <w:kern w:val="2"/>
        </w:rPr>
        <w:t>行政事业单位医疗支出</w:t>
      </w:r>
      <w:r>
        <w:rPr>
          <w:rStyle w:val="19"/>
          <w:rFonts w:hint="eastAsia" w:ascii="仿宋" w:hAnsi="仿宋" w:eastAsia="仿宋"/>
          <w:bCs/>
          <w:kern w:val="2"/>
          <w:sz w:val="32"/>
          <w:szCs w:val="32"/>
        </w:rPr>
        <w:t>（项）</w:t>
      </w:r>
      <w:r>
        <w:rPr>
          <w:rStyle w:val="19"/>
          <w:rFonts w:hint="eastAsia" w:ascii="仿宋" w:hAnsi="仿宋" w:eastAsia="仿宋"/>
          <w:bCs/>
          <w:kern w:val="2"/>
          <w:sz w:val="32"/>
          <w:szCs w:val="32"/>
          <w:lang w:eastAsia="zh-CN"/>
        </w:rPr>
        <w:t>：</w:t>
      </w:r>
      <w:r>
        <w:rPr>
          <w:rStyle w:val="19"/>
          <w:rFonts w:hint="eastAsia" w:ascii="仿宋" w:hAnsi="仿宋" w:eastAsia="仿宋"/>
          <w:b w:val="0"/>
          <w:bCs/>
          <w:sz w:val="32"/>
          <w:szCs w:val="32"/>
        </w:rPr>
        <w:t>支出决算为0.81万元，完成预算100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，决算数等于预算数。</w:t>
      </w:r>
    </w:p>
    <w:p>
      <w:pPr>
        <w:pStyle w:val="2"/>
        <w:pageBreakBefore w:val="0"/>
        <w:kinsoku/>
        <w:wordWrap/>
        <w:overflowPunct/>
        <w:topLinePunct w:val="0"/>
        <w:bidi w:val="0"/>
        <w:adjustRightInd w:val="0"/>
        <w:snapToGrid w:val="0"/>
        <w:spacing w:beforeLines="0" w:line="353" w:lineRule="auto"/>
        <w:ind w:left="0" w:right="0"/>
        <w:textAlignment w:val="auto"/>
        <w:rPr>
          <w:rStyle w:val="19"/>
          <w:b w:val="0"/>
        </w:rPr>
      </w:pPr>
      <w:r>
        <w:rPr>
          <w:rStyle w:val="19"/>
          <w:rFonts w:hint="eastAsia" w:ascii="仿宋" w:hAnsi="仿宋" w:eastAsia="仿宋"/>
          <w:bCs/>
          <w:sz w:val="32"/>
          <w:szCs w:val="32"/>
        </w:rPr>
        <w:t xml:space="preserve">    8</w:t>
      </w:r>
      <w:r>
        <w:rPr>
          <w:rStyle w:val="19"/>
          <w:rFonts w:ascii="仿宋" w:hAnsi="仿宋" w:eastAsia="仿宋"/>
          <w:bCs/>
          <w:sz w:val="32"/>
          <w:szCs w:val="32"/>
        </w:rPr>
        <w:t>.</w:t>
      </w:r>
      <w:r>
        <w:rPr>
          <w:rStyle w:val="19"/>
          <w:rFonts w:hint="eastAsia" w:ascii="仿宋" w:hAnsi="仿宋" w:eastAsia="仿宋"/>
          <w:bCs/>
          <w:sz w:val="32"/>
          <w:szCs w:val="32"/>
        </w:rPr>
        <w:t xml:space="preserve"> 住房保障支出（类）住房改革支出（款）住房公积金（项）</w:t>
      </w:r>
      <w:r>
        <w:rPr>
          <w:rStyle w:val="19"/>
          <w:rFonts w:hint="eastAsia" w:ascii="仿宋" w:hAnsi="仿宋" w:eastAsia="仿宋"/>
          <w:bCs/>
          <w:sz w:val="32"/>
          <w:szCs w:val="32"/>
          <w:lang w:eastAsia="zh-CN"/>
        </w:rPr>
        <w:t>：</w:t>
      </w:r>
      <w:r>
        <w:rPr>
          <w:rStyle w:val="19"/>
          <w:rFonts w:hint="eastAsia" w:ascii="仿宋" w:hAnsi="仿宋" w:eastAsia="仿宋"/>
          <w:b w:val="0"/>
          <w:bCs/>
          <w:sz w:val="32"/>
          <w:szCs w:val="32"/>
        </w:rPr>
        <w:t>支出决算为22.94万元，完成预算100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，决算数等于预算数。</w:t>
      </w:r>
    </w:p>
    <w:p>
      <w:pPr>
        <w:pageBreakBefore w:val="0"/>
        <w:tabs>
          <w:tab w:val="right" w:pos="8306"/>
        </w:tabs>
        <w:kinsoku/>
        <w:wordWrap/>
        <w:overflowPunct/>
        <w:topLinePunct w:val="0"/>
        <w:bidi w:val="0"/>
        <w:adjustRightInd w:val="0"/>
        <w:snapToGrid w:val="0"/>
        <w:spacing w:line="353" w:lineRule="auto"/>
        <w:ind w:left="0" w:right="0" w:firstLine="640"/>
        <w:textAlignment w:val="auto"/>
        <w:outlineLvl w:val="1"/>
        <w:rPr>
          <w:rStyle w:val="32"/>
        </w:rPr>
      </w:pPr>
      <w:bookmarkStart w:id="53" w:name="_Toc15396608"/>
      <w:bookmarkStart w:id="54" w:name="_Toc8723"/>
      <w:bookmarkStart w:id="5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2"/>
          <w:rFonts w:hint="eastAsia" w:ascii="黑体" w:hAnsi="黑体" w:eastAsia="黑体"/>
          <w:b w:val="0"/>
        </w:rPr>
        <w:t>般公共预算财政拨款基本支出决算情况说明</w:t>
      </w:r>
      <w:bookmarkEnd w:id="53"/>
      <w:bookmarkEnd w:id="54"/>
      <w:bookmarkEnd w:id="55"/>
      <w:r>
        <w:rPr>
          <w:rStyle w:val="32"/>
          <w:rFonts w:ascii="黑体" w:hAnsi="黑体" w:eastAsia="黑体"/>
          <w:b w:val="0"/>
        </w:rPr>
        <w:tab/>
      </w:r>
    </w:p>
    <w:p>
      <w:pPr>
        <w:pageBreakBefore w:val="0"/>
        <w:kinsoku/>
        <w:wordWrap/>
        <w:overflowPunct/>
        <w:topLinePunct w:val="0"/>
        <w:bidi w:val="0"/>
        <w:adjustRightInd w:val="0"/>
        <w:snapToGrid w:val="0"/>
        <w:spacing w:line="353" w:lineRule="auto"/>
        <w:ind w:left="0" w:right="0" w:firstLine="645"/>
        <w:textAlignment w:val="auto"/>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22年一般公共预算财政拨款基本支出263.2万元，其中：</w:t>
      </w:r>
    </w:p>
    <w:p>
      <w:pPr>
        <w:pageBreakBefore w:val="0"/>
        <w:kinsoku/>
        <w:wordWrap/>
        <w:overflowPunct/>
        <w:topLinePunct w:val="0"/>
        <w:bidi w:val="0"/>
        <w:adjustRightInd w:val="0"/>
        <w:snapToGrid w:val="0"/>
        <w:spacing w:line="353" w:lineRule="auto"/>
        <w:ind w:left="0" w:right="0" w:firstLine="645"/>
        <w:textAlignment w:val="auto"/>
        <w:rPr>
          <w:rFonts w:ascii="仿宋" w:hAnsi="仿宋" w:eastAsia="仿宋"/>
          <w:b/>
          <w:sz w:val="32"/>
          <w:szCs w:val="32"/>
        </w:rPr>
      </w:pPr>
      <w:r>
        <w:rPr>
          <w:rFonts w:hint="eastAsia" w:ascii="仿宋" w:hAnsi="仿宋" w:eastAsia="仿宋"/>
          <w:sz w:val="32"/>
          <w:szCs w:val="32"/>
        </w:rPr>
        <w:t>人员经费250.69万元，主要包括：基本工资、津贴补贴、奖金、绩效工资、机关事业单位基本养老保险缴费、职工基本医疗保险缴费、公务员医疗补助缴费、其他社会保障缴费、其他工资福利支出、住房公积金。</w:t>
      </w:r>
      <w:r>
        <w:rPr>
          <w:rFonts w:ascii="仿宋" w:hAnsi="仿宋" w:eastAsia="仿宋"/>
          <w:sz w:val="32"/>
          <w:szCs w:val="32"/>
        </w:rPr>
        <w:br w:type="textWrapping"/>
      </w:r>
      <w:r>
        <w:rPr>
          <w:rFonts w:hint="eastAsia" w:ascii="仿宋" w:hAnsi="仿宋" w:eastAsia="仿宋"/>
          <w:sz w:val="32"/>
          <w:szCs w:val="32"/>
        </w:rPr>
        <w:t>　　公用经费12.51万元，主要包括：办公费、邮电费、差旅费、维修（护）费、培训费、劳务费、工会经费、福利费、其他交通费、办公设备购置。</w:t>
      </w:r>
    </w:p>
    <w:p>
      <w:pPr>
        <w:pageBreakBefore w:val="0"/>
        <w:kinsoku/>
        <w:wordWrap/>
        <w:overflowPunct/>
        <w:topLinePunct w:val="0"/>
        <w:bidi w:val="0"/>
        <w:adjustRightInd w:val="0"/>
        <w:snapToGrid w:val="0"/>
        <w:spacing w:line="353" w:lineRule="auto"/>
        <w:ind w:left="0" w:right="0" w:firstLine="640"/>
        <w:textAlignment w:val="auto"/>
        <w:outlineLvl w:val="1"/>
        <w:rPr>
          <w:rStyle w:val="32"/>
          <w:rFonts w:ascii="黑体" w:hAnsi="黑体" w:eastAsia="黑体"/>
          <w:b w:val="0"/>
        </w:rPr>
      </w:pPr>
      <w:bookmarkStart w:id="56" w:name="_Toc27570"/>
      <w:bookmarkStart w:id="57" w:name="_Toc15396609"/>
      <w:bookmarkStart w:id="58" w:name="_Toc15377215"/>
      <w:r>
        <w:rPr>
          <w:rFonts w:hint="eastAsia" w:ascii="黑体" w:eastAsia="黑体"/>
          <w:sz w:val="32"/>
          <w:szCs w:val="32"/>
        </w:rPr>
        <w:t>七、</w:t>
      </w:r>
      <w:r>
        <w:rPr>
          <w:rStyle w:val="32"/>
          <w:rFonts w:hint="eastAsia" w:ascii="黑体" w:hAnsi="黑体" w:eastAsia="黑体"/>
          <w:b w:val="0"/>
        </w:rPr>
        <w:t>财政拨款</w:t>
      </w:r>
      <w:r>
        <w:rPr>
          <w:rStyle w:val="32"/>
          <w:rFonts w:hint="eastAsia" w:ascii="黑体" w:hAnsi="黑体" w:eastAsia="黑体"/>
        </w:rPr>
        <w:t>“</w:t>
      </w:r>
      <w:r>
        <w:rPr>
          <w:rStyle w:val="32"/>
          <w:rFonts w:hint="eastAsia" w:ascii="黑体" w:hAnsi="黑体" w:eastAsia="黑体"/>
          <w:b w:val="0"/>
        </w:rPr>
        <w:t>三公”经费支出决算情况说明</w:t>
      </w:r>
      <w:bookmarkEnd w:id="56"/>
      <w:bookmarkEnd w:id="57"/>
      <w:bookmarkEnd w:id="58"/>
    </w:p>
    <w:p>
      <w:pPr>
        <w:pageBreakBefore w:val="0"/>
        <w:kinsoku/>
        <w:wordWrap/>
        <w:overflowPunct/>
        <w:topLinePunct w:val="0"/>
        <w:bidi w:val="0"/>
        <w:adjustRightInd w:val="0"/>
        <w:snapToGrid w:val="0"/>
        <w:spacing w:line="353" w:lineRule="auto"/>
        <w:ind w:left="0" w:right="0" w:firstLine="640"/>
        <w:textAlignment w:val="auto"/>
        <w:outlineLvl w:val="2"/>
        <w:rPr>
          <w:rFonts w:ascii="仿宋" w:hAnsi="仿宋" w:eastAsia="仿宋"/>
          <w:b/>
          <w:sz w:val="32"/>
          <w:szCs w:val="32"/>
        </w:rPr>
      </w:pPr>
      <w:bookmarkStart w:id="59" w:name="_Toc15377216"/>
      <w:r>
        <w:rPr>
          <w:rFonts w:hint="eastAsia" w:ascii="仿宋" w:hAnsi="仿宋" w:eastAsia="仿宋"/>
          <w:b/>
          <w:sz w:val="32"/>
          <w:szCs w:val="32"/>
        </w:rPr>
        <w:t>（一）“三公”经费财政拨款支出决算总体情况说明</w:t>
      </w:r>
      <w:bookmarkEnd w:id="59"/>
    </w:p>
    <w:p>
      <w:pPr>
        <w:pageBreakBefore w:val="0"/>
        <w:kinsoku/>
        <w:wordWrap/>
        <w:overflowPunct/>
        <w:topLinePunct w:val="0"/>
        <w:bidi w:val="0"/>
        <w:adjustRightInd w:val="0"/>
        <w:snapToGrid w:val="0"/>
        <w:spacing w:line="353" w:lineRule="auto"/>
        <w:ind w:left="0" w:right="0" w:firstLine="640"/>
        <w:textAlignment w:val="auto"/>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22年“三公”经费财政拨款支出决算为0万元，完成预算0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lang w:val="en-US" w:eastAsia="zh-CN"/>
        </w:rPr>
        <w:t>与上年数据持平</w:t>
      </w:r>
      <w:r>
        <w:rPr>
          <w:rFonts w:hint="eastAsia" w:ascii="仿宋" w:hAnsi="仿宋" w:eastAsia="仿宋"/>
          <w:sz w:val="32"/>
          <w:szCs w:val="32"/>
        </w:rPr>
        <w:t>。</w:t>
      </w:r>
    </w:p>
    <w:p>
      <w:pPr>
        <w:pageBreakBefore w:val="0"/>
        <w:kinsoku/>
        <w:wordWrap/>
        <w:overflowPunct/>
        <w:topLinePunct w:val="0"/>
        <w:bidi w:val="0"/>
        <w:adjustRightInd w:val="0"/>
        <w:snapToGrid w:val="0"/>
        <w:spacing w:line="353" w:lineRule="auto"/>
        <w:ind w:left="0" w:right="0" w:firstLine="640"/>
        <w:textAlignment w:val="auto"/>
        <w:outlineLvl w:val="2"/>
        <w:rPr>
          <w:rFonts w:ascii="仿宋" w:hAnsi="仿宋" w:eastAsia="仿宋"/>
          <w:b/>
          <w:sz w:val="32"/>
          <w:szCs w:val="32"/>
        </w:rPr>
      </w:pPr>
      <w:bookmarkStart w:id="60" w:name="_Toc15377217"/>
      <w:r>
        <w:rPr>
          <w:rFonts w:hint="eastAsia" w:ascii="仿宋" w:hAnsi="仿宋" w:eastAsia="仿宋"/>
          <w:b/>
          <w:sz w:val="32"/>
          <w:szCs w:val="32"/>
        </w:rPr>
        <w:t>（二）“三公”经费财政拨款支出决算具体情况说明</w:t>
      </w:r>
      <w:bookmarkEnd w:id="60"/>
    </w:p>
    <w:p>
      <w:pPr>
        <w:pageBreakBefore w:val="0"/>
        <w:kinsoku/>
        <w:wordWrap/>
        <w:overflowPunct/>
        <w:topLinePunct w:val="0"/>
        <w:bidi w:val="0"/>
        <w:adjustRightInd w:val="0"/>
        <w:snapToGrid w:val="0"/>
        <w:spacing w:line="353" w:lineRule="auto"/>
        <w:ind w:left="0" w:right="0" w:firstLine="640"/>
        <w:textAlignment w:val="auto"/>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；公务接待费支出决算0万元，占0</w:t>
      </w:r>
      <w:r>
        <w:rPr>
          <w:rFonts w:ascii="仿宋" w:hAnsi="仿宋" w:eastAsia="仿宋"/>
          <w:sz w:val="32"/>
          <w:szCs w:val="32"/>
        </w:rPr>
        <w:t>%</w:t>
      </w:r>
      <w:r>
        <w:rPr>
          <w:rFonts w:hint="eastAsia" w:ascii="仿宋" w:hAnsi="仿宋" w:eastAsia="仿宋"/>
          <w:sz w:val="32"/>
          <w:szCs w:val="32"/>
        </w:rPr>
        <w:t>。具体情况如下：</w:t>
      </w:r>
    </w:p>
    <w:p>
      <w:pPr>
        <w:pageBreakBefore w:val="0"/>
        <w:kinsoku/>
        <w:wordWrap/>
        <w:overflowPunct/>
        <w:topLinePunct w:val="0"/>
        <w:bidi w:val="0"/>
        <w:adjustRightInd w:val="0"/>
        <w:snapToGrid w:val="0"/>
        <w:spacing w:line="353" w:lineRule="auto"/>
        <w:ind w:left="0" w:right="0" w:firstLine="640"/>
        <w:textAlignment w:val="auto"/>
        <w:rPr>
          <w:rFonts w:hint="eastAsia" w:ascii="仿宋" w:hAnsi="仿宋" w:eastAsia="仿宋"/>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9"/>
          <w:rFonts w:hint="eastAsia" w:ascii="仿宋" w:hAnsi="仿宋" w:eastAsia="仿宋"/>
          <w:b w:val="0"/>
          <w:bCs/>
          <w:sz w:val="32"/>
          <w:szCs w:val="32"/>
        </w:rPr>
        <w:t>完成预算0</w:t>
      </w:r>
      <w:r>
        <w:rPr>
          <w:rStyle w:val="19"/>
          <w:rFonts w:ascii="仿宋" w:hAnsi="仿宋" w:eastAsia="仿宋"/>
          <w:b w:val="0"/>
          <w:bCs/>
          <w:sz w:val="32"/>
          <w:szCs w:val="32"/>
        </w:rPr>
        <w:t>%</w:t>
      </w:r>
      <w:r>
        <w:rPr>
          <w:rStyle w:val="19"/>
          <w:rFonts w:hint="eastAsia" w:ascii="仿宋" w:hAnsi="仿宋" w:eastAsia="仿宋"/>
          <w:b w:val="0"/>
          <w:bCs/>
          <w:sz w:val="32"/>
          <w:szCs w:val="32"/>
        </w:rPr>
        <w:t>。</w:t>
      </w:r>
      <w:r>
        <w:rPr>
          <w:rFonts w:hint="eastAsia" w:ascii="仿宋" w:hAnsi="仿宋" w:eastAsia="仿宋"/>
          <w:sz w:val="32"/>
          <w:szCs w:val="32"/>
        </w:rPr>
        <w:t>全年安排因公出国（境）团组0次，出国（境）0人。</w:t>
      </w:r>
    </w:p>
    <w:p>
      <w:pPr>
        <w:pageBreakBefore w:val="0"/>
        <w:kinsoku/>
        <w:wordWrap/>
        <w:overflowPunct/>
        <w:topLinePunct w:val="0"/>
        <w:bidi w:val="0"/>
        <w:adjustRightInd w:val="0"/>
        <w:snapToGrid w:val="0"/>
        <w:spacing w:line="353" w:lineRule="auto"/>
        <w:ind w:left="0" w:right="0" w:firstLine="640"/>
        <w:textAlignment w:val="auto"/>
        <w:rPr>
          <w:rFonts w:ascii="仿宋" w:hAnsi="仿宋" w:eastAsia="仿宋"/>
          <w:sz w:val="32"/>
          <w:szCs w:val="32"/>
        </w:rPr>
      </w:pPr>
      <w:r>
        <w:rPr>
          <w:rFonts w:hint="eastAsia" w:ascii="仿宋" w:hAnsi="仿宋" w:eastAsia="仿宋"/>
          <w:sz w:val="32"/>
          <w:szCs w:val="32"/>
        </w:rPr>
        <w:t>开支内容包括：无。</w:t>
      </w:r>
    </w:p>
    <w:p>
      <w:pPr>
        <w:pageBreakBefore w:val="0"/>
        <w:kinsoku/>
        <w:wordWrap/>
        <w:overflowPunct/>
        <w:topLinePunct w:val="0"/>
        <w:bidi w:val="0"/>
        <w:adjustRightInd w:val="0"/>
        <w:snapToGrid w:val="0"/>
        <w:spacing w:line="353" w:lineRule="auto"/>
        <w:ind w:left="0" w:right="0" w:firstLine="640"/>
        <w:textAlignment w:val="auto"/>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r>
        <w:rPr>
          <w:rFonts w:hint="eastAsia" w:ascii="仿宋_GB2312" w:eastAsia="仿宋_GB2312"/>
          <w:sz w:val="32"/>
          <w:szCs w:val="32"/>
          <w:lang w:eastAsia="zh-CN"/>
        </w:rPr>
        <w:t>，</w:t>
      </w:r>
      <w:r>
        <w:rPr>
          <w:rStyle w:val="19"/>
          <w:rFonts w:hint="eastAsia" w:ascii="仿宋" w:hAnsi="仿宋" w:eastAsia="仿宋"/>
          <w:b w:val="0"/>
          <w:bCs/>
          <w:sz w:val="32"/>
          <w:szCs w:val="32"/>
        </w:rPr>
        <w:t>完成预算0</w:t>
      </w:r>
      <w:r>
        <w:rPr>
          <w:rStyle w:val="19"/>
          <w:rFonts w:ascii="仿宋" w:hAnsi="仿宋" w:eastAsia="仿宋"/>
          <w:b w:val="0"/>
          <w:bCs/>
          <w:sz w:val="32"/>
          <w:szCs w:val="32"/>
        </w:rPr>
        <w:t>%</w:t>
      </w:r>
      <w:r>
        <w:rPr>
          <w:rFonts w:hint="eastAsia" w:ascii="仿宋" w:hAnsi="仿宋" w:eastAsia="仿宋"/>
          <w:sz w:val="32"/>
          <w:szCs w:val="32"/>
        </w:rPr>
        <w:t>，</w:t>
      </w:r>
      <w:r>
        <w:rPr>
          <w:rFonts w:hint="eastAsia" w:ascii="仿宋" w:hAnsi="仿宋" w:eastAsia="仿宋"/>
          <w:sz w:val="32"/>
          <w:szCs w:val="32"/>
          <w:lang w:val="en-US" w:eastAsia="zh-CN"/>
        </w:rPr>
        <w:t>与上年数据持平。</w:t>
      </w:r>
    </w:p>
    <w:p>
      <w:pPr>
        <w:pageBreakBefore w:val="0"/>
        <w:kinsoku/>
        <w:wordWrap/>
        <w:overflowPunct/>
        <w:topLinePunct w:val="0"/>
        <w:bidi w:val="0"/>
        <w:adjustRightInd w:val="0"/>
        <w:snapToGrid w:val="0"/>
        <w:spacing w:line="353" w:lineRule="auto"/>
        <w:ind w:left="0" w:right="0" w:firstLine="640" w:firstLineChars="200"/>
        <w:textAlignment w:val="auto"/>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w:t>
      </w:r>
      <w:r>
        <w:rPr>
          <w:rFonts w:hint="eastAsia" w:ascii="仿宋" w:hAnsi="仿宋" w:eastAsia="仿宋"/>
          <w:sz w:val="32"/>
          <w:szCs w:val="32"/>
        </w:rPr>
        <w:t>全年按规定更新购置公务用车0辆，其中：轿车0辆、金额0万元，越野车0辆、金额0万元，载客汽车0辆、金额0万元。截至</w:t>
      </w:r>
      <w:r>
        <w:rPr>
          <w:rFonts w:ascii="仿宋" w:hAnsi="仿宋" w:eastAsia="仿宋"/>
          <w:sz w:val="32"/>
          <w:szCs w:val="32"/>
        </w:rPr>
        <w:t>20</w:t>
      </w:r>
      <w:r>
        <w:rPr>
          <w:rFonts w:hint="eastAsia" w:ascii="仿宋" w:hAnsi="仿宋" w:eastAsia="仿宋"/>
          <w:sz w:val="32"/>
          <w:szCs w:val="32"/>
        </w:rPr>
        <w:t>22年</w:t>
      </w:r>
      <w:r>
        <w:rPr>
          <w:rFonts w:ascii="仿宋" w:hAnsi="仿宋" w:eastAsia="仿宋"/>
          <w:sz w:val="32"/>
          <w:szCs w:val="32"/>
        </w:rPr>
        <w:t>12</w:t>
      </w:r>
      <w:r>
        <w:rPr>
          <w:rFonts w:hint="eastAsia" w:ascii="仿宋" w:hAnsi="仿宋" w:eastAsia="仿宋"/>
          <w:sz w:val="32"/>
          <w:szCs w:val="32"/>
        </w:rPr>
        <w:t>月底，单位共有公务用车0辆，其中：轿车0辆、越野车0辆、载客汽车0辆。</w:t>
      </w:r>
    </w:p>
    <w:p>
      <w:pPr>
        <w:pageBreakBefore w:val="0"/>
        <w:kinsoku/>
        <w:wordWrap/>
        <w:overflowPunct/>
        <w:topLinePunct w:val="0"/>
        <w:bidi w:val="0"/>
        <w:adjustRightInd w:val="0"/>
        <w:snapToGrid w:val="0"/>
        <w:spacing w:line="353" w:lineRule="auto"/>
        <w:ind w:left="0" w:right="0" w:firstLine="640"/>
        <w:textAlignment w:val="auto"/>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r>
        <w:rPr>
          <w:rFonts w:hint="eastAsia" w:ascii="仿宋_GB2312" w:eastAsia="仿宋_GB2312"/>
          <w:sz w:val="32"/>
          <w:szCs w:val="32"/>
          <w:lang w:eastAsia="zh-CN"/>
        </w:rPr>
        <w:t>。</w:t>
      </w:r>
    </w:p>
    <w:p>
      <w:pPr>
        <w:pageBreakBefore w:val="0"/>
        <w:kinsoku/>
        <w:wordWrap/>
        <w:overflowPunct/>
        <w:topLinePunct w:val="0"/>
        <w:bidi w:val="0"/>
        <w:adjustRightInd w:val="0"/>
        <w:snapToGrid w:val="0"/>
        <w:spacing w:line="353" w:lineRule="auto"/>
        <w:ind w:left="0" w:right="0" w:firstLine="640"/>
        <w:textAlignment w:val="auto"/>
        <w:rPr>
          <w:rStyle w:val="19"/>
          <w:rFonts w:ascii="仿宋" w:hAnsi="仿宋" w:eastAsia="仿宋"/>
          <w:bCs/>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0万元，</w:t>
      </w:r>
      <w:r>
        <w:rPr>
          <w:rStyle w:val="19"/>
          <w:rFonts w:hint="eastAsia" w:ascii="仿宋" w:hAnsi="仿宋" w:eastAsia="仿宋"/>
          <w:b w:val="0"/>
          <w:bCs/>
          <w:sz w:val="32"/>
          <w:szCs w:val="32"/>
        </w:rPr>
        <w:t>完成预算0</w:t>
      </w:r>
      <w:r>
        <w:rPr>
          <w:rStyle w:val="19"/>
          <w:rFonts w:ascii="仿宋" w:hAnsi="仿宋" w:eastAsia="仿宋"/>
          <w:b w:val="0"/>
          <w:bCs/>
          <w:sz w:val="32"/>
          <w:szCs w:val="32"/>
        </w:rPr>
        <w:t>%</w:t>
      </w:r>
      <w:r>
        <w:rPr>
          <w:rFonts w:hint="eastAsia" w:ascii="仿宋" w:hAnsi="仿宋" w:eastAsia="仿宋"/>
          <w:sz w:val="32"/>
          <w:szCs w:val="32"/>
        </w:rPr>
        <w:t>，</w:t>
      </w:r>
      <w:r>
        <w:rPr>
          <w:rFonts w:hint="eastAsia" w:ascii="仿宋" w:hAnsi="仿宋" w:eastAsia="仿宋"/>
          <w:sz w:val="32"/>
          <w:szCs w:val="32"/>
          <w:lang w:val="en-US" w:eastAsia="zh-CN"/>
        </w:rPr>
        <w:t>与上年数据持平。</w:t>
      </w:r>
      <w:r>
        <w:rPr>
          <w:rStyle w:val="19"/>
          <w:rFonts w:hint="eastAsia" w:ascii="仿宋" w:hAnsi="仿宋" w:eastAsia="仿宋"/>
          <w:b w:val="0"/>
          <w:bCs/>
          <w:sz w:val="32"/>
          <w:szCs w:val="32"/>
        </w:rPr>
        <w:t>其中：</w:t>
      </w:r>
    </w:p>
    <w:p>
      <w:pPr>
        <w:pageBreakBefore w:val="0"/>
        <w:kinsoku/>
        <w:wordWrap/>
        <w:overflowPunct/>
        <w:topLinePunct w:val="0"/>
        <w:bidi w:val="0"/>
        <w:adjustRightInd w:val="0"/>
        <w:snapToGrid w:val="0"/>
        <w:spacing w:line="353" w:lineRule="auto"/>
        <w:ind w:left="0" w:right="0" w:firstLine="640"/>
        <w:textAlignment w:val="auto"/>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w:t>
      </w:r>
      <w:r>
        <w:rPr>
          <w:rFonts w:hint="eastAsia" w:ascii="仿宋_GB2312" w:eastAsia="仿宋_GB2312"/>
          <w:sz w:val="32"/>
          <w:szCs w:val="32"/>
        </w:rPr>
        <w:t>万元</w:t>
      </w:r>
      <w:r>
        <w:rPr>
          <w:rStyle w:val="19"/>
          <w:rFonts w:hint="eastAsia" w:ascii="仿宋" w:hAnsi="仿宋" w:eastAsia="仿宋"/>
          <w:b w:val="0"/>
          <w:bCs/>
          <w:sz w:val="32"/>
          <w:szCs w:val="32"/>
        </w:rPr>
        <w:t>。</w:t>
      </w:r>
    </w:p>
    <w:p>
      <w:pPr>
        <w:pageBreakBefore w:val="0"/>
        <w:kinsoku/>
        <w:wordWrap/>
        <w:overflowPunct/>
        <w:topLinePunct w:val="0"/>
        <w:bidi w:val="0"/>
        <w:adjustRightInd w:val="0"/>
        <w:snapToGrid w:val="0"/>
        <w:spacing w:line="353" w:lineRule="auto"/>
        <w:ind w:left="0" w:right="0" w:firstLine="643" w:firstLineChars="200"/>
        <w:textAlignment w:val="auto"/>
        <w:rPr>
          <w:rFonts w:hint="eastAsia" w:ascii="仿宋" w:hAnsi="仿宋" w:eastAsia="仿宋"/>
          <w:sz w:val="32"/>
          <w:szCs w:val="32"/>
        </w:rPr>
      </w:pPr>
      <w:r>
        <w:rPr>
          <w:rFonts w:hint="eastAsia" w:ascii="仿宋" w:hAnsi="仿宋" w:eastAsia="仿宋"/>
          <w:b/>
          <w:sz w:val="32"/>
          <w:szCs w:val="32"/>
        </w:rPr>
        <w:t>外事接待支出</w:t>
      </w:r>
      <w:r>
        <w:rPr>
          <w:rFonts w:hint="eastAsia" w:ascii="仿宋" w:hAnsi="仿宋" w:eastAsia="仿宋"/>
          <w:sz w:val="32"/>
          <w:szCs w:val="32"/>
        </w:rPr>
        <w:t>0万元。</w:t>
      </w:r>
    </w:p>
    <w:p>
      <w:pPr>
        <w:pageBreakBefore w:val="0"/>
        <w:kinsoku/>
        <w:wordWrap/>
        <w:overflowPunct/>
        <w:topLinePunct w:val="0"/>
        <w:bidi w:val="0"/>
        <w:adjustRightInd w:val="0"/>
        <w:snapToGrid w:val="0"/>
        <w:spacing w:line="353" w:lineRule="auto"/>
        <w:ind w:left="0" w:right="0" w:firstLine="640" w:firstLineChars="200"/>
        <w:textAlignment w:val="auto"/>
        <w:rPr>
          <w:rFonts w:ascii="仿宋" w:hAnsi="仿宋" w:eastAsia="仿宋"/>
          <w:sz w:val="32"/>
          <w:szCs w:val="32"/>
        </w:rPr>
      </w:pPr>
      <w:r>
        <w:rPr>
          <w:rFonts w:hint="eastAsia" w:ascii="仿宋" w:hAnsi="仿宋" w:eastAsia="仿宋"/>
          <w:sz w:val="32"/>
          <w:szCs w:val="32"/>
        </w:rPr>
        <w:t>外事接待0批次，0人次（不包括陪同人员），共计支出0万元。</w:t>
      </w:r>
      <w:bookmarkStart w:id="61" w:name="_Toc15396610"/>
      <w:bookmarkStart w:id="62" w:name="_Toc15377218"/>
    </w:p>
    <w:p>
      <w:pPr>
        <w:pageBreakBefore w:val="0"/>
        <w:kinsoku/>
        <w:wordWrap/>
        <w:overflowPunct/>
        <w:topLinePunct w:val="0"/>
        <w:bidi w:val="0"/>
        <w:adjustRightInd w:val="0"/>
        <w:snapToGrid w:val="0"/>
        <w:spacing w:line="353" w:lineRule="auto"/>
        <w:ind w:left="0" w:right="0" w:firstLine="640"/>
        <w:textAlignment w:val="auto"/>
        <w:outlineLvl w:val="1"/>
        <w:rPr>
          <w:rStyle w:val="32"/>
          <w:rFonts w:ascii="黑体" w:hAnsi="黑体" w:eastAsia="黑体"/>
        </w:rPr>
      </w:pPr>
      <w:bookmarkStart w:id="63" w:name="_Toc28316"/>
      <w:r>
        <w:rPr>
          <w:rFonts w:hint="eastAsia" w:ascii="黑体" w:eastAsia="黑体"/>
          <w:sz w:val="32"/>
          <w:szCs w:val="32"/>
        </w:rPr>
        <w:t>八、</w:t>
      </w:r>
      <w:r>
        <w:rPr>
          <w:rStyle w:val="32"/>
          <w:rFonts w:hint="eastAsia" w:ascii="黑体" w:hAnsi="黑体" w:eastAsia="黑体"/>
          <w:b w:val="0"/>
        </w:rPr>
        <w:t>政府性基金预算支出决算情况说明</w:t>
      </w:r>
      <w:bookmarkEnd w:id="61"/>
      <w:bookmarkEnd w:id="62"/>
      <w:bookmarkEnd w:id="63"/>
    </w:p>
    <w:p>
      <w:pPr>
        <w:pageBreakBefore w:val="0"/>
        <w:kinsoku/>
        <w:wordWrap/>
        <w:overflowPunct/>
        <w:topLinePunct w:val="0"/>
        <w:bidi w:val="0"/>
        <w:adjustRightInd w:val="0"/>
        <w:snapToGrid w:val="0"/>
        <w:spacing w:line="353" w:lineRule="auto"/>
        <w:ind w:left="0" w:right="0" w:firstLine="640"/>
        <w:textAlignment w:val="auto"/>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22年政府性基金预算财政拨款支出56万元。</w:t>
      </w:r>
    </w:p>
    <w:p>
      <w:pPr>
        <w:pageBreakBefore w:val="0"/>
        <w:numPr>
          <w:ilvl w:val="0"/>
          <w:numId w:val="2"/>
        </w:numPr>
        <w:kinsoku/>
        <w:wordWrap/>
        <w:overflowPunct/>
        <w:topLinePunct w:val="0"/>
        <w:bidi w:val="0"/>
        <w:adjustRightInd w:val="0"/>
        <w:snapToGrid w:val="0"/>
        <w:spacing w:line="353" w:lineRule="auto"/>
        <w:ind w:left="0" w:right="0" w:firstLine="640"/>
        <w:textAlignment w:val="auto"/>
        <w:outlineLvl w:val="1"/>
        <w:rPr>
          <w:rStyle w:val="32"/>
          <w:rFonts w:ascii="黑体" w:hAnsi="黑体" w:eastAsia="黑体"/>
          <w:b w:val="0"/>
        </w:rPr>
      </w:pPr>
      <w:bookmarkStart w:id="64" w:name="_Toc15396611"/>
      <w:bookmarkStart w:id="65" w:name="_Toc20217"/>
      <w:bookmarkStart w:id="66" w:name="_Toc15377219"/>
      <w:r>
        <w:rPr>
          <w:rStyle w:val="32"/>
          <w:rFonts w:hint="eastAsia" w:ascii="黑体" w:hAnsi="黑体" w:eastAsia="黑体"/>
          <w:b w:val="0"/>
        </w:rPr>
        <w:t>国有资本经营预算支出决算情况说明</w:t>
      </w:r>
      <w:bookmarkEnd w:id="64"/>
      <w:bookmarkEnd w:id="65"/>
      <w:bookmarkEnd w:id="66"/>
    </w:p>
    <w:p>
      <w:pPr>
        <w:pageBreakBefore w:val="0"/>
        <w:kinsoku/>
        <w:wordWrap/>
        <w:overflowPunct/>
        <w:topLinePunct w:val="0"/>
        <w:bidi w:val="0"/>
        <w:adjustRightInd w:val="0"/>
        <w:snapToGrid w:val="0"/>
        <w:spacing w:line="353" w:lineRule="auto"/>
        <w:ind w:left="0" w:right="0" w:firstLine="640"/>
        <w:textAlignment w:val="auto"/>
        <w:rPr>
          <w:rFonts w:ascii="仿宋" w:hAnsi="仿宋" w:eastAsia="仿宋" w:cs="方正小标宋简体"/>
          <w:sz w:val="44"/>
          <w:szCs w:val="44"/>
        </w:rPr>
      </w:pPr>
      <w:r>
        <w:rPr>
          <w:rFonts w:ascii="仿宋" w:hAnsi="仿宋" w:eastAsia="仿宋"/>
          <w:sz w:val="32"/>
          <w:szCs w:val="32"/>
        </w:rPr>
        <w:t>20</w:t>
      </w:r>
      <w:r>
        <w:rPr>
          <w:rFonts w:hint="eastAsia" w:ascii="仿宋" w:hAnsi="仿宋" w:eastAsia="仿宋"/>
          <w:sz w:val="32"/>
          <w:szCs w:val="32"/>
        </w:rPr>
        <w:t>22年国有资本经营预算财政拨款支出0万元。</w:t>
      </w:r>
    </w:p>
    <w:p>
      <w:pPr>
        <w:pageBreakBefore w:val="0"/>
        <w:numPr>
          <w:ilvl w:val="0"/>
          <w:numId w:val="2"/>
        </w:numPr>
        <w:kinsoku/>
        <w:wordWrap/>
        <w:overflowPunct/>
        <w:topLinePunct w:val="0"/>
        <w:bidi w:val="0"/>
        <w:adjustRightInd w:val="0"/>
        <w:snapToGrid w:val="0"/>
        <w:spacing w:line="353" w:lineRule="auto"/>
        <w:ind w:left="0" w:right="0" w:firstLine="640"/>
        <w:textAlignment w:val="auto"/>
        <w:outlineLvl w:val="1"/>
        <w:rPr>
          <w:rStyle w:val="32"/>
          <w:rFonts w:ascii="黑体" w:hAnsi="黑体" w:eastAsia="黑体"/>
          <w:b w:val="0"/>
        </w:rPr>
      </w:pPr>
      <w:bookmarkStart w:id="67" w:name="_Toc15377221"/>
      <w:bookmarkStart w:id="68" w:name="_Toc6469"/>
      <w:bookmarkStart w:id="69" w:name="_Toc15396612"/>
      <w:r>
        <w:rPr>
          <w:rStyle w:val="32"/>
          <w:rFonts w:hint="eastAsia" w:ascii="黑体" w:hAnsi="黑体" w:eastAsia="黑体"/>
          <w:b w:val="0"/>
        </w:rPr>
        <w:t>其他重要事项的情况说明</w:t>
      </w:r>
      <w:bookmarkEnd w:id="67"/>
      <w:bookmarkEnd w:id="68"/>
      <w:bookmarkEnd w:id="69"/>
    </w:p>
    <w:p>
      <w:pPr>
        <w:pageBreakBefore w:val="0"/>
        <w:kinsoku/>
        <w:wordWrap/>
        <w:overflowPunct/>
        <w:topLinePunct w:val="0"/>
        <w:bidi w:val="0"/>
        <w:adjustRightInd w:val="0"/>
        <w:snapToGrid w:val="0"/>
        <w:spacing w:line="353" w:lineRule="auto"/>
        <w:ind w:left="0" w:right="0" w:firstLine="643" w:firstLineChars="200"/>
        <w:textAlignment w:val="auto"/>
        <w:outlineLvl w:val="2"/>
        <w:rPr>
          <w:rFonts w:ascii="仿宋" w:hAnsi="仿宋" w:eastAsia="仿宋"/>
          <w:sz w:val="32"/>
          <w:szCs w:val="32"/>
        </w:rPr>
      </w:pPr>
      <w:bookmarkStart w:id="70" w:name="_Toc15377222"/>
      <w:r>
        <w:rPr>
          <w:rFonts w:hint="eastAsia" w:ascii="仿宋" w:hAnsi="仿宋" w:eastAsia="仿宋"/>
          <w:b/>
          <w:sz w:val="32"/>
          <w:szCs w:val="32"/>
        </w:rPr>
        <w:t>（一）机关运行经费支出情况</w:t>
      </w:r>
      <w:bookmarkEnd w:id="70"/>
    </w:p>
    <w:p>
      <w:pPr>
        <w:pageBreakBefore w:val="0"/>
        <w:kinsoku/>
        <w:wordWrap/>
        <w:overflowPunct/>
        <w:topLinePunct w:val="0"/>
        <w:bidi w:val="0"/>
        <w:adjustRightInd w:val="0"/>
        <w:snapToGrid w:val="0"/>
        <w:spacing w:line="353" w:lineRule="auto"/>
        <w:ind w:left="0" w:right="0" w:firstLine="640" w:firstLineChars="200"/>
        <w:textAlignment w:val="auto"/>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22年，西区行政审批局机关运行经费支出12.51万元，比</w:t>
      </w:r>
      <w:r>
        <w:rPr>
          <w:rFonts w:ascii="仿宋" w:hAnsi="仿宋" w:eastAsia="仿宋"/>
          <w:sz w:val="32"/>
          <w:szCs w:val="32"/>
        </w:rPr>
        <w:t>20</w:t>
      </w:r>
      <w:r>
        <w:rPr>
          <w:rFonts w:hint="eastAsia" w:ascii="仿宋" w:hAnsi="仿宋" w:eastAsia="仿宋"/>
          <w:sz w:val="32"/>
          <w:szCs w:val="32"/>
        </w:rPr>
        <w:t>21年减少1.23万元，下降9</w:t>
      </w:r>
      <w:r>
        <w:rPr>
          <w:rFonts w:ascii="仿宋" w:hAnsi="仿宋" w:eastAsia="仿宋"/>
          <w:sz w:val="32"/>
          <w:szCs w:val="32"/>
        </w:rPr>
        <w:t>%</w:t>
      </w:r>
      <w:r>
        <w:rPr>
          <w:rFonts w:hint="eastAsia" w:ascii="仿宋" w:hAnsi="仿宋" w:eastAsia="仿宋"/>
          <w:sz w:val="32"/>
          <w:szCs w:val="32"/>
        </w:rPr>
        <w:t>。主要原因是压缩公用经费，厉行节约。</w:t>
      </w:r>
    </w:p>
    <w:p>
      <w:pPr>
        <w:pageBreakBefore w:val="0"/>
        <w:kinsoku/>
        <w:wordWrap/>
        <w:overflowPunct/>
        <w:topLinePunct w:val="0"/>
        <w:autoSpaceDE w:val="0"/>
        <w:autoSpaceDN w:val="0"/>
        <w:bidi w:val="0"/>
        <w:adjustRightInd w:val="0"/>
        <w:snapToGrid w:val="0"/>
        <w:spacing w:line="353" w:lineRule="auto"/>
        <w:ind w:left="0" w:right="0" w:firstLine="643" w:firstLineChars="200"/>
        <w:jc w:val="left"/>
        <w:textAlignment w:val="auto"/>
        <w:outlineLvl w:val="2"/>
        <w:rPr>
          <w:rFonts w:ascii="仿宋" w:hAnsi="仿宋" w:eastAsia="仿宋"/>
          <w:b/>
          <w:sz w:val="32"/>
          <w:szCs w:val="32"/>
        </w:rPr>
      </w:pPr>
      <w:bookmarkStart w:id="71" w:name="_Toc15377223"/>
      <w:r>
        <w:rPr>
          <w:rFonts w:hint="eastAsia" w:ascii="仿宋" w:hAnsi="仿宋" w:eastAsia="仿宋"/>
          <w:b/>
          <w:sz w:val="32"/>
          <w:szCs w:val="32"/>
        </w:rPr>
        <w:t>（二）政府采购支出情况</w:t>
      </w:r>
      <w:bookmarkEnd w:id="71"/>
    </w:p>
    <w:p>
      <w:pPr>
        <w:pageBreakBefore w:val="0"/>
        <w:kinsoku/>
        <w:wordWrap/>
        <w:overflowPunct/>
        <w:topLinePunct w:val="0"/>
        <w:bidi w:val="0"/>
        <w:adjustRightInd w:val="0"/>
        <w:snapToGrid w:val="0"/>
        <w:spacing w:line="353" w:lineRule="auto"/>
        <w:ind w:left="0" w:right="0" w:firstLine="640" w:firstLineChars="200"/>
        <w:textAlignment w:val="auto"/>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22年，西区行政审批局政府采购支出总额0万元，其中：政府采购货物支出0万元、政府采购工程支出0万元、政府采购服务支出0万元。授予中小企业合同金额0万元，占政府采购支出总额的0</w:t>
      </w:r>
      <w:r>
        <w:rPr>
          <w:rFonts w:ascii="仿宋" w:hAnsi="仿宋" w:eastAsia="仿宋"/>
          <w:sz w:val="32"/>
          <w:szCs w:val="32"/>
        </w:rPr>
        <w:t>%</w:t>
      </w:r>
      <w:r>
        <w:rPr>
          <w:rFonts w:hint="eastAsia" w:ascii="仿宋" w:hAnsi="仿宋" w:eastAsia="仿宋"/>
          <w:sz w:val="32"/>
          <w:szCs w:val="32"/>
        </w:rPr>
        <w:t>，其中：授予小微企业合同金额0万元，占政府采购支出总额的0</w:t>
      </w:r>
      <w:r>
        <w:rPr>
          <w:rFonts w:ascii="仿宋" w:hAnsi="仿宋" w:eastAsia="仿宋"/>
          <w:sz w:val="32"/>
          <w:szCs w:val="32"/>
        </w:rPr>
        <w:t>%</w:t>
      </w:r>
      <w:r>
        <w:rPr>
          <w:rFonts w:hint="eastAsia" w:ascii="仿宋" w:hAnsi="仿宋" w:eastAsia="仿宋"/>
          <w:sz w:val="32"/>
          <w:szCs w:val="32"/>
        </w:rPr>
        <w:t>。</w:t>
      </w:r>
    </w:p>
    <w:p>
      <w:pPr>
        <w:pageBreakBefore w:val="0"/>
        <w:kinsoku/>
        <w:wordWrap/>
        <w:overflowPunct/>
        <w:topLinePunct w:val="0"/>
        <w:autoSpaceDE w:val="0"/>
        <w:autoSpaceDN w:val="0"/>
        <w:bidi w:val="0"/>
        <w:adjustRightInd w:val="0"/>
        <w:snapToGrid w:val="0"/>
        <w:spacing w:line="353" w:lineRule="auto"/>
        <w:ind w:left="0" w:right="0" w:firstLine="643" w:firstLineChars="200"/>
        <w:jc w:val="left"/>
        <w:textAlignment w:val="auto"/>
        <w:outlineLvl w:val="2"/>
        <w:rPr>
          <w:rFonts w:ascii="仿宋" w:hAnsi="仿宋" w:eastAsia="仿宋"/>
          <w:b/>
          <w:sz w:val="32"/>
          <w:szCs w:val="32"/>
        </w:rPr>
      </w:pPr>
      <w:bookmarkStart w:id="72" w:name="_Toc15377224"/>
      <w:r>
        <w:rPr>
          <w:rFonts w:hint="eastAsia" w:ascii="仿宋" w:hAnsi="仿宋" w:eastAsia="仿宋"/>
          <w:b/>
          <w:sz w:val="32"/>
          <w:szCs w:val="32"/>
        </w:rPr>
        <w:t>（三）国有资产占有使用情况</w:t>
      </w:r>
      <w:bookmarkEnd w:id="72"/>
    </w:p>
    <w:p>
      <w:pPr>
        <w:pageBreakBefore w:val="0"/>
        <w:kinsoku/>
        <w:wordWrap/>
        <w:overflowPunct/>
        <w:topLinePunct w:val="0"/>
        <w:autoSpaceDE w:val="0"/>
        <w:autoSpaceDN w:val="0"/>
        <w:bidi w:val="0"/>
        <w:adjustRightInd w:val="0"/>
        <w:snapToGrid w:val="0"/>
        <w:spacing w:line="353" w:lineRule="auto"/>
        <w:ind w:left="0" w:right="0" w:firstLine="640" w:firstLineChars="200"/>
        <w:jc w:val="left"/>
        <w:textAlignment w:val="auto"/>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w:t>
      </w:r>
      <w:r>
        <w:rPr>
          <w:rFonts w:hint="eastAsia" w:ascii="仿宋" w:hAnsi="仿宋" w:eastAsia="仿宋"/>
          <w:sz w:val="32"/>
          <w:szCs w:val="32"/>
        </w:rPr>
        <w:t>22年</w:t>
      </w:r>
      <w:r>
        <w:rPr>
          <w:rFonts w:ascii="仿宋" w:hAnsi="仿宋" w:eastAsia="仿宋"/>
          <w:sz w:val="32"/>
          <w:szCs w:val="32"/>
        </w:rPr>
        <w:t>12</w:t>
      </w:r>
      <w:r>
        <w:rPr>
          <w:rFonts w:hint="eastAsia" w:ascii="仿宋" w:hAnsi="仿宋" w:eastAsia="仿宋"/>
          <w:sz w:val="32"/>
          <w:szCs w:val="32"/>
        </w:rPr>
        <w:t>月</w:t>
      </w:r>
      <w:r>
        <w:rPr>
          <w:rFonts w:ascii="仿宋" w:hAnsi="仿宋" w:eastAsia="仿宋"/>
          <w:sz w:val="32"/>
          <w:szCs w:val="32"/>
        </w:rPr>
        <w:t>31</w:t>
      </w:r>
      <w:r>
        <w:rPr>
          <w:rFonts w:hint="eastAsia" w:ascii="仿宋" w:hAnsi="仿宋" w:eastAsia="仿宋"/>
          <w:sz w:val="32"/>
          <w:szCs w:val="32"/>
        </w:rPr>
        <w:t>日，西区行政审批局共有车辆0辆，其中：主要领导干部</w:t>
      </w:r>
      <w:r>
        <w:rPr>
          <w:rFonts w:hint="eastAsia" w:ascii="仿宋" w:hAnsi="仿宋" w:eastAsia="仿宋"/>
          <w:sz w:val="32"/>
          <w:szCs w:val="32"/>
          <w:lang w:eastAsia="zh-CN"/>
        </w:rPr>
        <w:t>用车</w:t>
      </w:r>
      <w:r>
        <w:rPr>
          <w:rFonts w:hint="eastAsia" w:ascii="仿宋" w:hAnsi="仿宋" w:eastAsia="仿宋"/>
          <w:sz w:val="32"/>
          <w:szCs w:val="32"/>
        </w:rPr>
        <w:t>0辆、机要通信用车0辆、应急保障用车0辆、其他用车0辆。单价</w:t>
      </w:r>
      <w:r>
        <w:rPr>
          <w:rFonts w:ascii="仿宋" w:hAnsi="仿宋" w:eastAsia="仿宋"/>
          <w:sz w:val="32"/>
          <w:szCs w:val="32"/>
        </w:rPr>
        <w:t>100</w:t>
      </w:r>
      <w:r>
        <w:rPr>
          <w:rFonts w:hint="eastAsia" w:ascii="仿宋" w:hAnsi="仿宋" w:eastAsia="仿宋"/>
          <w:sz w:val="32"/>
          <w:szCs w:val="32"/>
        </w:rPr>
        <w:t>万元以上专用设备0台（套）。</w:t>
      </w:r>
    </w:p>
    <w:p>
      <w:pPr>
        <w:pageBreakBefore w:val="0"/>
        <w:kinsoku/>
        <w:wordWrap/>
        <w:overflowPunct/>
        <w:topLinePunct w:val="0"/>
        <w:autoSpaceDE w:val="0"/>
        <w:autoSpaceDN w:val="0"/>
        <w:bidi w:val="0"/>
        <w:adjustRightInd w:val="0"/>
        <w:snapToGrid w:val="0"/>
        <w:spacing w:line="353" w:lineRule="auto"/>
        <w:ind w:left="0" w:right="0" w:firstLine="643" w:firstLineChars="200"/>
        <w:jc w:val="left"/>
        <w:textAlignment w:val="auto"/>
        <w:outlineLvl w:val="2"/>
        <w:rPr>
          <w:rFonts w:ascii="仿宋" w:hAnsi="仿宋" w:eastAsia="仿宋"/>
          <w:b/>
          <w:sz w:val="32"/>
          <w:szCs w:val="32"/>
        </w:rPr>
      </w:pPr>
      <w:r>
        <w:rPr>
          <w:rFonts w:hint="eastAsia" w:ascii="仿宋" w:hAnsi="仿宋" w:eastAsia="仿宋"/>
          <w:b/>
          <w:sz w:val="32"/>
          <w:szCs w:val="32"/>
        </w:rPr>
        <w:t>（四）预算绩效管理情况</w:t>
      </w:r>
    </w:p>
    <w:p>
      <w:pPr>
        <w:pageBreakBefore w:val="0"/>
        <w:widowControl/>
        <w:kinsoku/>
        <w:wordWrap/>
        <w:overflowPunct/>
        <w:topLinePunct w:val="0"/>
        <w:bidi w:val="0"/>
        <w:adjustRightInd w:val="0"/>
        <w:snapToGrid w:val="0"/>
        <w:spacing w:line="353" w:lineRule="auto"/>
        <w:ind w:left="0" w:right="0" w:firstLine="640" w:firstLineChars="200"/>
        <w:jc w:val="both"/>
        <w:textAlignment w:val="auto"/>
        <w:rPr>
          <w:rFonts w:ascii="仿宋" w:hAnsi="仿宋" w:eastAsia="仿宋"/>
          <w:sz w:val="32"/>
          <w:szCs w:val="32"/>
        </w:rPr>
      </w:pPr>
      <w:r>
        <w:rPr>
          <w:rFonts w:hint="eastAsia" w:ascii="仿宋" w:hAnsi="仿宋" w:eastAsia="仿宋"/>
          <w:sz w:val="32"/>
          <w:szCs w:val="32"/>
        </w:rPr>
        <w:t>根据预算绩效管理要求，本部门在2022年度预算编制阶段，</w:t>
      </w:r>
      <w:r>
        <w:rPr>
          <w:rFonts w:hint="eastAsia" w:ascii="仿宋" w:hAnsi="仿宋" w:eastAsia="仿宋"/>
          <w:sz w:val="32"/>
          <w:szCs w:val="32"/>
          <w:lang w:eastAsia="zh-CN"/>
        </w:rPr>
        <w:t>组织对</w:t>
      </w:r>
      <w:r>
        <w:rPr>
          <w:rFonts w:ascii="仿宋" w:hAnsi="仿宋" w:eastAsia="仿宋"/>
          <w:sz w:val="32"/>
          <w:szCs w:val="32"/>
        </w:rPr>
        <w:t>带薪年休假经费、住房公积金、在职医疗补助</w:t>
      </w:r>
      <w:r>
        <w:rPr>
          <w:rFonts w:hint="eastAsia" w:ascii="仿宋" w:hAnsi="仿宋" w:eastAsia="仿宋"/>
          <w:sz w:val="32"/>
          <w:szCs w:val="32"/>
          <w:lang w:eastAsia="zh-CN"/>
        </w:rPr>
        <w:t>等</w:t>
      </w:r>
      <w:r>
        <w:rPr>
          <w:rFonts w:hint="eastAsia" w:ascii="仿宋" w:hAnsi="仿宋" w:eastAsia="仿宋"/>
          <w:sz w:val="32"/>
          <w:szCs w:val="32"/>
        </w:rPr>
        <w:t>28个项目开展了预算事前绩效评估，对28个项目编制了绩效目标，预算执行过程中，选取28个项目开展绩效监控。</w:t>
      </w:r>
    </w:p>
    <w:p>
      <w:pPr>
        <w:pageBreakBefore w:val="0"/>
        <w:widowControl/>
        <w:kinsoku/>
        <w:wordWrap/>
        <w:overflowPunct/>
        <w:topLinePunct w:val="0"/>
        <w:bidi w:val="0"/>
        <w:adjustRightInd w:val="0"/>
        <w:snapToGrid w:val="0"/>
        <w:spacing w:line="353" w:lineRule="auto"/>
        <w:ind w:left="0" w:right="0" w:firstLine="640" w:firstLineChars="200"/>
        <w:jc w:val="both"/>
        <w:textAlignment w:val="auto"/>
        <w:rPr>
          <w:rFonts w:ascii="仿宋_GB2312" w:eastAsia="仿宋_GB2312"/>
          <w:b/>
          <w:sz w:val="32"/>
          <w:szCs w:val="32"/>
        </w:rPr>
      </w:pPr>
      <w:r>
        <w:rPr>
          <w:rFonts w:hint="eastAsia" w:ascii="仿宋" w:hAnsi="仿宋" w:eastAsia="仿宋"/>
          <w:sz w:val="32"/>
          <w:szCs w:val="32"/>
        </w:rPr>
        <w:t>组织对2022年度一般公共预算、政府性基金预算全面开展绩效自评，形成西区行政审批局部门整体（含部门预算项目）绩效自评报告、政务大厅基本运行经费专项预算项目绩效自评报告，其中，西区行政审批局部门整体（含部门预算项目）绩效自评得分为96分，绩效自评综述：支出绩效总体良好，各项目标基本达到了相应时期执行进度，使财政收支预算执行都得到了良好的制度保障和实施效果；政务大厅基本运行经费专项预算项目绩效自评得分为100分，绩效自评综述：实施过程按照专项管理和财务制度执行。保障网络、中央空调等基础设施设备维修维护，办公绿化、饮用水等日常工作运行。绩效自评报告详见附件。</w:t>
      </w:r>
      <w:r>
        <w:rPr>
          <w:rFonts w:ascii="仿宋_GB2312" w:eastAsia="仿宋_GB2312"/>
          <w:b/>
          <w:sz w:val="32"/>
          <w:szCs w:val="32"/>
        </w:rPr>
        <w:br w:type="page"/>
      </w:r>
    </w:p>
    <w:p>
      <w:pPr>
        <w:pageBreakBefore w:val="0"/>
        <w:numPr>
          <w:ilvl w:val="0"/>
          <w:numId w:val="3"/>
        </w:numPr>
        <w:kinsoku/>
        <w:wordWrap/>
        <w:overflowPunct/>
        <w:topLinePunct w:val="0"/>
        <w:bidi w:val="0"/>
        <w:adjustRightInd w:val="0"/>
        <w:snapToGrid w:val="0"/>
        <w:spacing w:line="353" w:lineRule="auto"/>
        <w:ind w:left="0" w:right="0" w:firstLine="660" w:firstLineChars="150"/>
        <w:jc w:val="center"/>
        <w:textAlignment w:val="auto"/>
        <w:outlineLvl w:val="0"/>
        <w:rPr>
          <w:rStyle w:val="31"/>
          <w:rFonts w:ascii="黑体" w:hAnsi="黑体" w:eastAsia="黑体"/>
          <w:b w:val="0"/>
        </w:rPr>
      </w:pPr>
      <w:bookmarkStart w:id="73" w:name="_Toc15377225"/>
      <w:bookmarkStart w:id="74" w:name="_Toc17449"/>
      <w:bookmarkStart w:id="75" w:name="_Toc15396613"/>
      <w:r>
        <w:rPr>
          <w:rFonts w:hint="eastAsia" w:ascii="黑体" w:hAnsi="黑体" w:eastAsia="黑体"/>
          <w:sz w:val="44"/>
          <w:szCs w:val="44"/>
        </w:rPr>
        <w:t>名</w:t>
      </w:r>
      <w:r>
        <w:rPr>
          <w:rStyle w:val="31"/>
          <w:rFonts w:hint="eastAsia" w:ascii="黑体" w:hAnsi="黑体" w:eastAsia="黑体"/>
          <w:b w:val="0"/>
        </w:rPr>
        <w:t>词解释</w:t>
      </w:r>
      <w:bookmarkEnd w:id="73"/>
      <w:bookmarkEnd w:id="74"/>
      <w:bookmarkEnd w:id="75"/>
    </w:p>
    <w:p>
      <w:pPr>
        <w:pageBreakBefore w:val="0"/>
        <w:kinsoku/>
        <w:wordWrap/>
        <w:overflowPunct/>
        <w:topLinePunct w:val="0"/>
        <w:bidi w:val="0"/>
        <w:adjustRightInd w:val="0"/>
        <w:snapToGrid w:val="0"/>
        <w:spacing w:line="353" w:lineRule="auto"/>
        <w:ind w:left="0" w:right="0"/>
        <w:jc w:val="left"/>
        <w:textAlignment w:val="auto"/>
        <w:rPr>
          <w:rFonts w:ascii="宋体"/>
          <w:b/>
          <w:sz w:val="44"/>
          <w:szCs w:val="44"/>
        </w:rPr>
      </w:pPr>
    </w:p>
    <w:p>
      <w:pPr>
        <w:pStyle w:val="29"/>
        <w:pageBreakBefore w:val="0"/>
        <w:kinsoku/>
        <w:wordWrap/>
        <w:overflowPunct/>
        <w:topLinePunct w:val="0"/>
        <w:bidi w:val="0"/>
        <w:adjustRightInd w:val="0"/>
        <w:snapToGrid w:val="0"/>
        <w:spacing w:line="353" w:lineRule="auto"/>
        <w:ind w:left="0" w:right="0" w:firstLine="640" w:firstLineChars="200"/>
        <w:textAlignment w:val="auto"/>
        <w:outlineLvl w:val="1"/>
        <w:rPr>
          <w:rFonts w:hAnsi="仿宋"/>
          <w:color w:val="auto"/>
          <w:sz w:val="32"/>
          <w:szCs w:val="32"/>
        </w:rPr>
      </w:pPr>
      <w:bookmarkStart w:id="76" w:name="_Toc593"/>
      <w:bookmarkStart w:id="77" w:name="_Toc1323"/>
      <w:r>
        <w:rPr>
          <w:rFonts w:hAnsi="仿宋"/>
          <w:color w:val="auto"/>
          <w:sz w:val="32"/>
          <w:szCs w:val="32"/>
        </w:rPr>
        <w:t>1.</w:t>
      </w:r>
      <w:r>
        <w:rPr>
          <w:rFonts w:hint="eastAsia" w:hAnsi="仿宋"/>
          <w:color w:val="auto"/>
          <w:sz w:val="32"/>
          <w:szCs w:val="32"/>
        </w:rPr>
        <w:t>财政拨款收入：指单位从同级财政部门取得的财政预算资金。</w:t>
      </w:r>
      <w:bookmarkEnd w:id="76"/>
      <w:bookmarkEnd w:id="77"/>
    </w:p>
    <w:p>
      <w:pPr>
        <w:pStyle w:val="29"/>
        <w:pageBreakBefore w:val="0"/>
        <w:kinsoku/>
        <w:wordWrap/>
        <w:overflowPunct/>
        <w:topLinePunct w:val="0"/>
        <w:bidi w:val="0"/>
        <w:adjustRightInd w:val="0"/>
        <w:snapToGrid w:val="0"/>
        <w:spacing w:line="353" w:lineRule="auto"/>
        <w:ind w:left="0" w:right="0" w:firstLine="640" w:firstLineChars="200"/>
        <w:textAlignment w:val="auto"/>
        <w:rPr>
          <w:rFonts w:hAnsi="仿宋"/>
          <w:color w:val="auto"/>
          <w:sz w:val="32"/>
          <w:szCs w:val="32"/>
        </w:rPr>
      </w:pPr>
      <w:r>
        <w:rPr>
          <w:rFonts w:hAnsi="仿宋"/>
          <w:color w:val="auto"/>
          <w:sz w:val="32"/>
          <w:szCs w:val="32"/>
        </w:rPr>
        <w:t>2.</w:t>
      </w:r>
      <w:r>
        <w:rPr>
          <w:rFonts w:hint="eastAsia" w:hAnsi="仿宋"/>
          <w:color w:val="auto"/>
          <w:sz w:val="32"/>
          <w:szCs w:val="32"/>
        </w:rPr>
        <w:t>年初结转和结余：指以前年度尚未完成、结转到本年按有关规定继续使用的资金。</w:t>
      </w:r>
    </w:p>
    <w:p>
      <w:pPr>
        <w:pStyle w:val="29"/>
        <w:pageBreakBefore w:val="0"/>
        <w:kinsoku/>
        <w:wordWrap/>
        <w:overflowPunct/>
        <w:topLinePunct w:val="0"/>
        <w:bidi w:val="0"/>
        <w:adjustRightInd w:val="0"/>
        <w:snapToGrid w:val="0"/>
        <w:spacing w:line="353" w:lineRule="auto"/>
        <w:ind w:left="0" w:right="0" w:firstLine="640" w:firstLineChars="200"/>
        <w:textAlignment w:val="auto"/>
        <w:rPr>
          <w:rFonts w:hAnsi="仿宋"/>
          <w:color w:val="auto"/>
          <w:sz w:val="32"/>
          <w:szCs w:val="32"/>
        </w:rPr>
      </w:pPr>
      <w:r>
        <w:rPr>
          <w:rFonts w:hAnsi="仿宋"/>
          <w:color w:val="auto"/>
          <w:sz w:val="32"/>
          <w:szCs w:val="32"/>
        </w:rPr>
        <w:t>3.</w:t>
      </w:r>
      <w:r>
        <w:rPr>
          <w:rFonts w:hint="eastAsia" w:ascii="仿宋" w:hAnsi="仿宋" w:eastAsia="仿宋"/>
          <w:sz w:val="32"/>
          <w:szCs w:val="32"/>
        </w:rPr>
        <w:t>一般公共服务支出（类）政府办公厅（室）及相关机构事务（款）行政运行（项）：反映行政单位（包括实行公务员管理的事业单位）的基本支出。</w:t>
      </w:r>
    </w:p>
    <w:p>
      <w:pPr>
        <w:pageBreakBefore w:val="0"/>
        <w:kinsoku/>
        <w:wordWrap/>
        <w:overflowPunct/>
        <w:topLinePunct w:val="0"/>
        <w:bidi w:val="0"/>
        <w:adjustRightInd w:val="0"/>
        <w:snapToGrid w:val="0"/>
        <w:spacing w:line="353" w:lineRule="auto"/>
        <w:ind w:left="0" w:right="0" w:firstLine="640" w:firstLineChars="200"/>
        <w:textAlignment w:val="auto"/>
        <w:rPr>
          <w:rFonts w:hAnsi="仿宋"/>
          <w:color w:val="auto"/>
          <w:sz w:val="32"/>
          <w:szCs w:val="32"/>
        </w:rPr>
      </w:pPr>
      <w:bookmarkStart w:id="78" w:name="_Toc838"/>
      <w:bookmarkStart w:id="79" w:name="_Toc14029"/>
      <w:r>
        <w:rPr>
          <w:rFonts w:hAnsi="仿宋"/>
          <w:color w:val="auto"/>
          <w:sz w:val="32"/>
          <w:szCs w:val="32"/>
        </w:rPr>
        <w:t>4.</w:t>
      </w:r>
      <w:bookmarkEnd w:id="78"/>
      <w:bookmarkEnd w:id="79"/>
      <w:r>
        <w:rPr>
          <w:rFonts w:hint="eastAsia" w:ascii="仿宋" w:hAnsi="仿宋" w:eastAsia="仿宋"/>
          <w:sz w:val="32"/>
          <w:szCs w:val="32"/>
        </w:rPr>
        <w:t>一般公共服务支出（类）政府办公厅（室）及相关机构事务（款）事业运行（项）：反映事业单位的基本支出，不包括行政单位（包括实行公务员管理的事业单位）后勤服务中心、医务室等附属事业单位。</w:t>
      </w:r>
    </w:p>
    <w:p>
      <w:pPr>
        <w:pStyle w:val="29"/>
        <w:pageBreakBefore w:val="0"/>
        <w:kinsoku/>
        <w:wordWrap/>
        <w:overflowPunct/>
        <w:topLinePunct w:val="0"/>
        <w:bidi w:val="0"/>
        <w:adjustRightInd w:val="0"/>
        <w:snapToGrid w:val="0"/>
        <w:spacing w:line="353" w:lineRule="auto"/>
        <w:ind w:left="0" w:right="0" w:firstLine="640" w:firstLineChars="200"/>
        <w:textAlignment w:val="auto"/>
        <w:rPr>
          <w:rFonts w:hAnsi="仿宋"/>
          <w:color w:val="auto"/>
          <w:sz w:val="32"/>
          <w:szCs w:val="32"/>
        </w:rPr>
      </w:pPr>
      <w:r>
        <w:rPr>
          <w:rFonts w:hAnsi="仿宋"/>
          <w:color w:val="auto"/>
          <w:sz w:val="32"/>
          <w:szCs w:val="32"/>
        </w:rPr>
        <w:t>5.</w:t>
      </w:r>
      <w:r>
        <w:rPr>
          <w:rFonts w:hint="eastAsia" w:ascii="仿宋" w:hAnsi="仿宋" w:eastAsia="仿宋"/>
          <w:sz w:val="32"/>
          <w:szCs w:val="32"/>
        </w:rPr>
        <w:t>社会保障和就业支出（类）行政事业单位养老支出（款）机关事业单位基本养老保险缴费支出（项）：指机关事业单位实施养老保险制度有单位缴纳的基本养老保险费支出。</w:t>
      </w:r>
    </w:p>
    <w:p>
      <w:pPr>
        <w:pageBreakBefore w:val="0"/>
        <w:kinsoku/>
        <w:wordWrap/>
        <w:overflowPunct/>
        <w:topLinePunct w:val="0"/>
        <w:autoSpaceDE w:val="0"/>
        <w:autoSpaceDN w:val="0"/>
        <w:bidi w:val="0"/>
        <w:adjustRightInd w:val="0"/>
        <w:snapToGrid w:val="0"/>
        <w:spacing w:line="353" w:lineRule="auto"/>
        <w:ind w:left="0" w:right="0"/>
        <w:jc w:val="left"/>
        <w:textAlignment w:val="auto"/>
        <w:rPr>
          <w:rFonts w:ascii="仿宋" w:hAnsi="仿宋" w:eastAsia="仿宋"/>
          <w:sz w:val="32"/>
          <w:szCs w:val="32"/>
        </w:rPr>
      </w:pPr>
      <w:r>
        <w:rPr>
          <w:rFonts w:hAnsi="仿宋"/>
          <w:color w:val="auto"/>
          <w:sz w:val="32"/>
          <w:szCs w:val="32"/>
        </w:rPr>
        <w:t>6.</w:t>
      </w:r>
      <w:r>
        <w:rPr>
          <w:rFonts w:hint="eastAsia" w:ascii="仿宋" w:hAnsi="仿宋" w:eastAsia="仿宋"/>
          <w:sz w:val="32"/>
          <w:szCs w:val="32"/>
        </w:rPr>
        <w:t>卫生健康</w:t>
      </w:r>
      <w:r>
        <w:rPr>
          <w:rFonts w:hint="eastAsia" w:ascii="仿宋" w:hAnsi="仿宋" w:eastAsia="仿宋"/>
          <w:sz w:val="32"/>
          <w:szCs w:val="32"/>
          <w:lang w:eastAsia="zh-CN"/>
        </w:rPr>
        <w:t>支出</w:t>
      </w:r>
      <w:r>
        <w:rPr>
          <w:rFonts w:hint="eastAsia" w:ascii="仿宋" w:hAnsi="仿宋" w:eastAsia="仿宋"/>
          <w:sz w:val="32"/>
          <w:szCs w:val="32"/>
        </w:rPr>
        <w:t>（类）行政事业单位医疗支出（款） 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pStyle w:val="29"/>
        <w:pageBreakBefore w:val="0"/>
        <w:kinsoku/>
        <w:wordWrap/>
        <w:overflowPunct/>
        <w:topLinePunct w:val="0"/>
        <w:bidi w:val="0"/>
        <w:adjustRightInd w:val="0"/>
        <w:snapToGrid w:val="0"/>
        <w:spacing w:line="353" w:lineRule="auto"/>
        <w:ind w:left="0" w:right="0" w:firstLine="640" w:firstLineChars="200"/>
        <w:textAlignment w:val="auto"/>
        <w:rPr>
          <w:rFonts w:hAnsi="仿宋"/>
          <w:color w:val="auto"/>
          <w:sz w:val="32"/>
          <w:szCs w:val="32"/>
        </w:rPr>
      </w:pPr>
    </w:p>
    <w:p>
      <w:pPr>
        <w:pStyle w:val="29"/>
        <w:pageBreakBefore w:val="0"/>
        <w:kinsoku/>
        <w:wordWrap/>
        <w:overflowPunct/>
        <w:topLinePunct w:val="0"/>
        <w:bidi w:val="0"/>
        <w:adjustRightInd w:val="0"/>
        <w:snapToGrid w:val="0"/>
        <w:spacing w:line="353" w:lineRule="auto"/>
        <w:ind w:left="0" w:right="0" w:firstLine="640" w:firstLineChars="200"/>
        <w:textAlignment w:val="auto"/>
        <w:rPr>
          <w:rFonts w:hAnsi="仿宋"/>
          <w:color w:val="auto"/>
          <w:sz w:val="32"/>
          <w:szCs w:val="32"/>
        </w:rPr>
      </w:pPr>
      <w:r>
        <w:rPr>
          <w:rFonts w:hAnsi="仿宋"/>
          <w:color w:val="auto"/>
          <w:sz w:val="32"/>
          <w:szCs w:val="32"/>
        </w:rPr>
        <w:t>7.</w:t>
      </w:r>
      <w:r>
        <w:rPr>
          <w:rFonts w:hint="eastAsia" w:ascii="仿宋" w:hAnsi="仿宋" w:eastAsia="仿宋"/>
          <w:sz w:val="32"/>
          <w:szCs w:val="32"/>
        </w:rPr>
        <w:t>卫生健康</w:t>
      </w:r>
      <w:r>
        <w:rPr>
          <w:rFonts w:hint="eastAsia" w:ascii="仿宋" w:hAnsi="仿宋" w:eastAsia="仿宋"/>
          <w:sz w:val="32"/>
          <w:szCs w:val="32"/>
          <w:lang w:eastAsia="zh-CN"/>
        </w:rPr>
        <w:t>支出</w:t>
      </w:r>
      <w:r>
        <w:rPr>
          <w:rFonts w:hint="eastAsia" w:ascii="仿宋" w:hAnsi="仿宋" w:eastAsia="仿宋"/>
          <w:sz w:val="32"/>
          <w:szCs w:val="32"/>
        </w:rPr>
        <w:t>（类）行政事业单位医疗支出（款）事业单位医疗（项）：反映财政部门安排的事业单位基本医疗保险缴费经费，未参加医疗保险的事业单位的公费医疗经费，按国家规定享受离休人员待遇的医疗经费。</w:t>
      </w:r>
    </w:p>
    <w:p>
      <w:pPr>
        <w:pageBreakBefore w:val="0"/>
        <w:kinsoku/>
        <w:wordWrap/>
        <w:overflowPunct/>
        <w:topLinePunct w:val="0"/>
        <w:bidi w:val="0"/>
        <w:adjustRightInd w:val="0"/>
        <w:snapToGrid w:val="0"/>
        <w:spacing w:line="353" w:lineRule="auto"/>
        <w:ind w:left="0" w:right="0" w:firstLine="640" w:firstLineChars="200"/>
        <w:textAlignment w:val="auto"/>
        <w:rPr>
          <w:rFonts w:hAnsi="仿宋"/>
          <w:color w:val="auto"/>
          <w:sz w:val="32"/>
          <w:szCs w:val="32"/>
        </w:rPr>
      </w:pPr>
      <w:r>
        <w:rPr>
          <w:rFonts w:hAnsi="仿宋"/>
          <w:color w:val="auto"/>
          <w:sz w:val="32"/>
          <w:szCs w:val="32"/>
        </w:rPr>
        <w:t>8</w:t>
      </w:r>
      <w:r>
        <w:rPr>
          <w:rFonts w:hint="eastAsia" w:hAnsi="仿宋"/>
          <w:color w:val="auto"/>
          <w:sz w:val="32"/>
          <w:szCs w:val="32"/>
        </w:rPr>
        <w:t>.</w:t>
      </w:r>
      <w:r>
        <w:rPr>
          <w:rFonts w:hint="eastAsia" w:ascii="仿宋" w:hAnsi="仿宋" w:eastAsia="仿宋"/>
          <w:sz w:val="32"/>
          <w:szCs w:val="32"/>
        </w:rPr>
        <w:t>卫生健康</w:t>
      </w:r>
      <w:r>
        <w:rPr>
          <w:rFonts w:hint="eastAsia" w:ascii="仿宋" w:hAnsi="仿宋" w:eastAsia="仿宋"/>
          <w:sz w:val="32"/>
          <w:szCs w:val="32"/>
          <w:lang w:eastAsia="zh-CN"/>
        </w:rPr>
        <w:t>支出</w:t>
      </w:r>
      <w:r>
        <w:rPr>
          <w:rFonts w:hint="eastAsia" w:ascii="仿宋" w:hAnsi="仿宋" w:eastAsia="仿宋"/>
          <w:sz w:val="32"/>
          <w:szCs w:val="32"/>
        </w:rPr>
        <w:t>（类）行政事业单位医疗支出（款）公务员医疗补助：反映财政部门安排的公务员医疗补助经费。</w:t>
      </w:r>
    </w:p>
    <w:p>
      <w:pPr>
        <w:pageBreakBefore w:val="0"/>
        <w:kinsoku/>
        <w:wordWrap/>
        <w:overflowPunct/>
        <w:topLinePunct w:val="0"/>
        <w:bidi w:val="0"/>
        <w:adjustRightInd w:val="0"/>
        <w:snapToGrid w:val="0"/>
        <w:spacing w:line="353" w:lineRule="auto"/>
        <w:ind w:left="0" w:right="0" w:firstLine="640" w:firstLineChars="200"/>
        <w:textAlignment w:val="auto"/>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卫生健康</w:t>
      </w:r>
      <w:r>
        <w:rPr>
          <w:rFonts w:hint="eastAsia" w:ascii="仿宋" w:hAnsi="仿宋" w:eastAsia="仿宋"/>
          <w:sz w:val="32"/>
          <w:szCs w:val="32"/>
          <w:lang w:eastAsia="zh-CN"/>
        </w:rPr>
        <w:t>支出</w:t>
      </w:r>
      <w:r>
        <w:rPr>
          <w:rFonts w:hint="eastAsia" w:ascii="仿宋" w:hAnsi="仿宋" w:eastAsia="仿宋"/>
          <w:sz w:val="32"/>
          <w:szCs w:val="32"/>
        </w:rPr>
        <w:t>（类）行政事业单位医疗支出（款）其他行政事业单位医疗支出（项）：反映除上述项目以外的其他用于行政事业单位医疗方面的支出。</w:t>
      </w:r>
    </w:p>
    <w:p>
      <w:pPr>
        <w:pageBreakBefore w:val="0"/>
        <w:numPr>
          <w:ilvl w:val="0"/>
          <w:numId w:val="4"/>
        </w:numPr>
        <w:kinsoku/>
        <w:wordWrap/>
        <w:overflowPunct/>
        <w:topLinePunct w:val="0"/>
        <w:bidi w:val="0"/>
        <w:adjustRightInd w:val="0"/>
        <w:snapToGrid w:val="0"/>
        <w:spacing w:line="353" w:lineRule="auto"/>
        <w:ind w:left="0" w:right="0" w:firstLine="640" w:firstLineChars="200"/>
        <w:textAlignment w:val="auto"/>
        <w:rPr>
          <w:rFonts w:hint="eastAsia" w:ascii="仿宋" w:hAnsi="仿宋" w:eastAsia="仿宋"/>
          <w:sz w:val="32"/>
          <w:szCs w:val="32"/>
        </w:rPr>
      </w:pPr>
      <w:r>
        <w:rPr>
          <w:rFonts w:hint="eastAsia" w:ascii="仿宋" w:hAnsi="仿宋" w:eastAsia="仿宋" w:cs="仿宋"/>
          <w:color w:val="000000"/>
          <w:kern w:val="0"/>
          <w:sz w:val="32"/>
          <w:szCs w:val="32"/>
        </w:rPr>
        <w:t>城乡社区支出</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类</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国有土地使用权出让收入安排的支出</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款</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土地开发支出</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项</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反映新疆生产建设兵团和地方政府用于前期土地开发性支出以及与前期土地开发相关的费用等支出</w:t>
      </w:r>
      <w:r>
        <w:rPr>
          <w:rFonts w:hint="eastAsia" w:ascii="仿宋" w:hAnsi="仿宋" w:eastAsia="仿宋"/>
          <w:sz w:val="32"/>
          <w:szCs w:val="32"/>
        </w:rPr>
        <w:t>。</w:t>
      </w:r>
    </w:p>
    <w:p>
      <w:pPr>
        <w:pageBreakBefore w:val="0"/>
        <w:numPr>
          <w:numId w:val="0"/>
        </w:numPr>
        <w:kinsoku/>
        <w:wordWrap/>
        <w:overflowPunct/>
        <w:topLinePunct w:val="0"/>
        <w:bidi w:val="0"/>
        <w:adjustRightInd w:val="0"/>
        <w:snapToGrid w:val="0"/>
        <w:spacing w:line="353" w:lineRule="auto"/>
        <w:ind w:right="0" w:rightChars="0"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11.</w:t>
      </w:r>
      <w:r>
        <w:rPr>
          <w:rFonts w:hint="eastAsia" w:ascii="仿宋" w:hAnsi="仿宋" w:eastAsia="仿宋"/>
          <w:sz w:val="32"/>
          <w:szCs w:val="32"/>
        </w:rPr>
        <w:t>住房保障支出（类）住房改革支出（款）住房公积金（项）：指行政事业单位按人力资源和社会保障部、财政部规定的基本工资和津贴补贴以及规定比例为职工缴纳的住房公积金。</w:t>
      </w:r>
    </w:p>
    <w:p>
      <w:pPr>
        <w:pageBreakBefore w:val="0"/>
        <w:kinsoku/>
        <w:wordWrap/>
        <w:overflowPunct/>
        <w:topLinePunct w:val="0"/>
        <w:autoSpaceDE w:val="0"/>
        <w:autoSpaceDN w:val="0"/>
        <w:bidi w:val="0"/>
        <w:adjustRightInd w:val="0"/>
        <w:snapToGrid w:val="0"/>
        <w:spacing w:line="353" w:lineRule="auto"/>
        <w:ind w:left="0" w:right="0"/>
        <w:jc w:val="left"/>
        <w:textAlignment w:val="auto"/>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1</w:t>
      </w: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基本支出：指为保障机构正常运转、完成日常工作任务而发生的人员支出和公用支出。</w:t>
      </w:r>
    </w:p>
    <w:p>
      <w:pPr>
        <w:pageBreakBefore w:val="0"/>
        <w:kinsoku/>
        <w:wordWrap/>
        <w:overflowPunct/>
        <w:topLinePunct w:val="0"/>
        <w:bidi w:val="0"/>
        <w:adjustRightInd w:val="0"/>
        <w:snapToGrid w:val="0"/>
        <w:spacing w:line="353" w:lineRule="auto"/>
        <w:ind w:left="0" w:right="0" w:firstLine="640" w:firstLineChars="200"/>
        <w:textAlignment w:val="auto"/>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项目支出：指在基本支出之外为完成特定行政任务和事业发展目标所发生的支出。</w:t>
      </w:r>
    </w:p>
    <w:p>
      <w:pPr>
        <w:pageBreakBefore w:val="0"/>
        <w:kinsoku/>
        <w:wordWrap/>
        <w:overflowPunct/>
        <w:topLinePunct w:val="0"/>
        <w:bidi w:val="0"/>
        <w:adjustRightInd w:val="0"/>
        <w:snapToGrid w:val="0"/>
        <w:spacing w:line="353" w:lineRule="auto"/>
        <w:ind w:left="0" w:right="0" w:firstLine="640" w:firstLineChars="200"/>
        <w:textAlignment w:val="auto"/>
        <w:rPr>
          <w:rFonts w:hint="eastAsia" w:ascii="仿宋" w:hAnsi="仿宋" w:eastAsia="仿宋"/>
          <w:sz w:val="32"/>
          <w:szCs w:val="32"/>
        </w:rPr>
      </w:pPr>
      <w:r>
        <w:rPr>
          <w:rFonts w:ascii="仿宋" w:hAnsi="仿宋" w:eastAsia="仿宋"/>
          <w:sz w:val="32"/>
          <w:szCs w:val="32"/>
        </w:rPr>
        <w:t>1</w:t>
      </w: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9"/>
        <w:pageBreakBefore w:val="0"/>
        <w:kinsoku/>
        <w:wordWrap/>
        <w:overflowPunct/>
        <w:topLinePunct w:val="0"/>
        <w:bidi w:val="0"/>
        <w:adjustRightInd w:val="0"/>
        <w:snapToGrid w:val="0"/>
        <w:spacing w:line="353" w:lineRule="auto"/>
        <w:ind w:left="0" w:right="0" w:firstLine="640" w:firstLineChars="200"/>
        <w:textAlignment w:val="auto"/>
        <w:rPr>
          <w:rFonts w:hAnsi="仿宋"/>
          <w:color w:val="auto"/>
          <w:sz w:val="32"/>
          <w:szCs w:val="32"/>
        </w:rPr>
      </w:pPr>
      <w:r>
        <w:rPr>
          <w:rFonts w:hint="eastAsia" w:hAnsi="仿宋"/>
          <w:color w:val="auto"/>
          <w:sz w:val="32"/>
          <w:szCs w:val="32"/>
          <w:lang w:val="en-US" w:eastAsia="zh-CN"/>
        </w:rPr>
        <w:t>15</w:t>
      </w:r>
      <w:r>
        <w:rPr>
          <w:rFonts w:hAnsi="仿宋"/>
          <w:color w:val="auto"/>
          <w:sz w:val="32"/>
          <w:szCs w:val="32"/>
        </w:rPr>
        <w:t>.</w:t>
      </w:r>
      <w:r>
        <w:rPr>
          <w:rFonts w:hint="eastAsia" w:hAnsi="仿宋"/>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9"/>
        <w:pageBreakBefore w:val="0"/>
        <w:kinsoku/>
        <w:wordWrap/>
        <w:overflowPunct/>
        <w:topLinePunct w:val="0"/>
        <w:bidi w:val="0"/>
        <w:adjustRightInd w:val="0"/>
        <w:snapToGrid w:val="0"/>
        <w:spacing w:line="353" w:lineRule="auto"/>
        <w:ind w:left="0" w:right="0" w:firstLine="640" w:firstLineChars="200"/>
        <w:textAlignment w:val="auto"/>
        <w:rPr>
          <w:rFonts w:ascii="仿宋_GB2312" w:eastAsia="仿宋_GB2312"/>
          <w:color w:val="auto"/>
          <w:sz w:val="32"/>
          <w:szCs w:val="32"/>
        </w:rPr>
      </w:pPr>
    </w:p>
    <w:p>
      <w:pPr>
        <w:pStyle w:val="29"/>
        <w:pageBreakBefore w:val="0"/>
        <w:kinsoku/>
        <w:wordWrap/>
        <w:overflowPunct/>
        <w:topLinePunct w:val="0"/>
        <w:bidi w:val="0"/>
        <w:adjustRightInd w:val="0"/>
        <w:snapToGrid w:val="0"/>
        <w:spacing w:line="353" w:lineRule="auto"/>
        <w:ind w:left="0" w:right="0" w:firstLine="640" w:firstLineChars="200"/>
        <w:textAlignment w:val="auto"/>
        <w:rPr>
          <w:rFonts w:ascii="仿宋_GB2312" w:eastAsia="仿宋_GB2312" w:cs="黑体"/>
          <w:color w:val="auto"/>
          <w:sz w:val="32"/>
          <w:szCs w:val="32"/>
        </w:rPr>
      </w:pPr>
    </w:p>
    <w:p>
      <w:pPr>
        <w:pageBreakBefore w:val="0"/>
        <w:kinsoku/>
        <w:wordWrap/>
        <w:overflowPunct/>
        <w:topLinePunct w:val="0"/>
        <w:bidi w:val="0"/>
        <w:adjustRightInd w:val="0"/>
        <w:snapToGrid w:val="0"/>
        <w:spacing w:line="353" w:lineRule="auto"/>
        <w:ind w:left="0" w:right="0"/>
        <w:jc w:val="center"/>
        <w:textAlignment w:val="auto"/>
        <w:outlineLvl w:val="0"/>
        <w:rPr>
          <w:rStyle w:val="31"/>
          <w:rFonts w:ascii="黑体" w:hAnsi="黑体" w:eastAsia="黑体"/>
          <w:b w:val="0"/>
        </w:rPr>
      </w:pPr>
      <w:bookmarkStart w:id="80" w:name="_Toc15377226"/>
      <w:r>
        <w:rPr>
          <w:rFonts w:ascii="宋体"/>
          <w:b/>
          <w:sz w:val="44"/>
          <w:szCs w:val="44"/>
        </w:rPr>
        <w:br w:type="page"/>
      </w:r>
      <w:bookmarkStart w:id="81" w:name="_Toc2606"/>
      <w:bookmarkStart w:id="82" w:name="_Toc15396614"/>
      <w:r>
        <w:rPr>
          <w:rFonts w:hint="eastAsia" w:ascii="黑体" w:hAnsi="黑体" w:eastAsia="黑体"/>
          <w:sz w:val="44"/>
          <w:szCs w:val="44"/>
        </w:rPr>
        <w:t>第</w:t>
      </w:r>
      <w:r>
        <w:rPr>
          <w:rStyle w:val="31"/>
          <w:rFonts w:hint="eastAsia" w:ascii="黑体" w:hAnsi="黑体" w:eastAsia="黑体"/>
          <w:b w:val="0"/>
        </w:rPr>
        <w:t>四部分 附件</w:t>
      </w:r>
      <w:bookmarkEnd w:id="81"/>
      <w:bookmarkEnd w:id="82"/>
    </w:p>
    <w:p>
      <w:pPr>
        <w:pageBreakBefore w:val="0"/>
        <w:kinsoku/>
        <w:wordWrap/>
        <w:overflowPunct/>
        <w:topLinePunct w:val="0"/>
        <w:bidi w:val="0"/>
        <w:adjustRightInd w:val="0"/>
        <w:snapToGrid w:val="0"/>
        <w:spacing w:line="353" w:lineRule="auto"/>
        <w:ind w:left="0" w:right="0"/>
        <w:jc w:val="left"/>
        <w:textAlignment w:val="auto"/>
        <w:outlineLvl w:val="1"/>
        <w:rPr>
          <w:rFonts w:hint="eastAsia" w:ascii="方正小标宋简体" w:hAnsi="方正小标宋简体" w:eastAsia="黑体" w:cs="方正小标宋简体"/>
          <w:sz w:val="44"/>
          <w:szCs w:val="44"/>
          <w:lang w:val="en-US" w:eastAsia="zh-CN"/>
        </w:rPr>
      </w:pPr>
      <w:bookmarkStart w:id="83" w:name="_Toc17531"/>
      <w:r>
        <w:rPr>
          <w:rFonts w:hint="eastAsia" w:ascii="黑体" w:hAnsi="黑体" w:eastAsia="黑体" w:cs="黑体"/>
          <w:sz w:val="32"/>
          <w:szCs w:val="32"/>
        </w:rPr>
        <w:t>附件</w:t>
      </w:r>
      <w:r>
        <w:rPr>
          <w:rFonts w:hint="eastAsia" w:ascii="黑体" w:hAnsi="黑体" w:eastAsia="黑体" w:cs="黑体"/>
          <w:sz w:val="32"/>
          <w:szCs w:val="32"/>
          <w:lang w:val="en-US" w:eastAsia="zh-CN"/>
        </w:rPr>
        <w:t>1</w:t>
      </w:r>
      <w:bookmarkEnd w:id="83"/>
    </w:p>
    <w:p>
      <w:pPr>
        <w:pageBreakBefore w:val="0"/>
        <w:widowControl/>
        <w:kinsoku/>
        <w:wordWrap/>
        <w:overflowPunct/>
        <w:topLinePunct w:val="0"/>
        <w:bidi w:val="0"/>
        <w:adjustRightInd w:val="0"/>
        <w:snapToGrid w:val="0"/>
        <w:spacing w:line="353" w:lineRule="auto"/>
        <w:ind w:left="0" w:right="0"/>
        <w:contextualSpacing/>
        <w:jc w:val="center"/>
        <w:textAlignment w:val="auto"/>
        <w:rPr>
          <w:rFonts w:ascii="宋体" w:hAnsi="宋体"/>
          <w:b/>
          <w:sz w:val="32"/>
          <w:szCs w:val="32"/>
          <w:shd w:val="clear" w:color="auto" w:fill="FFFFFF"/>
        </w:rPr>
      </w:pPr>
      <w:r>
        <w:rPr>
          <w:rFonts w:hint="eastAsia" w:ascii="宋体" w:hAnsi="宋体"/>
          <w:b/>
          <w:sz w:val="32"/>
          <w:szCs w:val="32"/>
          <w:shd w:val="clear" w:color="auto" w:fill="FFFFFF"/>
        </w:rPr>
        <w:t>202</w:t>
      </w:r>
      <w:r>
        <w:rPr>
          <w:rFonts w:hint="eastAsia" w:ascii="宋体" w:hAnsi="宋体"/>
          <w:b/>
          <w:sz w:val="32"/>
          <w:szCs w:val="32"/>
          <w:shd w:val="clear" w:color="auto" w:fill="FFFFFF"/>
          <w:lang w:val="en-US" w:eastAsia="zh-CN"/>
        </w:rPr>
        <w:t>2</w:t>
      </w:r>
      <w:r>
        <w:rPr>
          <w:rFonts w:hint="eastAsia" w:ascii="宋体" w:hAnsi="宋体"/>
          <w:b/>
          <w:sz w:val="32"/>
          <w:szCs w:val="32"/>
          <w:shd w:val="clear" w:color="auto" w:fill="FFFFFF"/>
        </w:rPr>
        <w:t>年区级部门整体绩效评价报告</w:t>
      </w:r>
    </w:p>
    <w:p>
      <w:pPr>
        <w:pageBreakBefore w:val="0"/>
        <w:widowControl/>
        <w:kinsoku/>
        <w:wordWrap/>
        <w:overflowPunct/>
        <w:topLinePunct w:val="0"/>
        <w:bidi w:val="0"/>
        <w:adjustRightInd w:val="0"/>
        <w:snapToGrid w:val="0"/>
        <w:spacing w:line="353" w:lineRule="auto"/>
        <w:ind w:left="0" w:right="0"/>
        <w:contextualSpacing/>
        <w:jc w:val="center"/>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（报告范围包括机关和下属单位）</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ascii="黑体" w:hAnsi="宋体" w:eastAsia="黑体" w:cs="宋体"/>
          <w:kern w:val="0"/>
          <w:sz w:val="32"/>
          <w:szCs w:val="32"/>
          <w:shd w:val="clear" w:color="auto" w:fill="FFFFFF"/>
        </w:rPr>
      </w:pPr>
    </w:p>
    <w:p>
      <w:pPr>
        <w:pageBreakBefore w:val="0"/>
        <w:widowControl/>
        <w:numPr>
          <w:ilvl w:val="0"/>
          <w:numId w:val="5"/>
        </w:numPr>
        <w:kinsoku/>
        <w:wordWrap/>
        <w:overflowPunct/>
        <w:topLinePunct w:val="0"/>
        <w:bidi w:val="0"/>
        <w:adjustRightInd w:val="0"/>
        <w:snapToGrid w:val="0"/>
        <w:spacing w:line="353" w:lineRule="auto"/>
        <w:ind w:left="0" w:right="0" w:firstLine="640" w:firstLineChars="200"/>
        <w:contextualSpacing/>
        <w:jc w:val="left"/>
        <w:textAlignment w:val="auto"/>
        <w:outlineLvl w:val="1"/>
        <w:rPr>
          <w:rFonts w:ascii="黑体" w:hAnsi="宋体" w:eastAsia="黑体" w:cs="宋体"/>
          <w:kern w:val="0"/>
          <w:sz w:val="32"/>
          <w:szCs w:val="32"/>
          <w:shd w:val="clear" w:color="auto" w:fill="FFFFFF"/>
          <w:lang w:val="zh-CN"/>
        </w:rPr>
      </w:pPr>
      <w:bookmarkStart w:id="84" w:name="_Toc9074"/>
      <w:r>
        <w:rPr>
          <w:rFonts w:hint="eastAsia" w:ascii="黑体" w:hAnsi="宋体" w:eastAsia="黑体" w:cs="宋体"/>
          <w:kern w:val="0"/>
          <w:sz w:val="32"/>
          <w:szCs w:val="32"/>
          <w:shd w:val="clear" w:color="auto" w:fill="FFFFFF"/>
          <w:lang w:val="zh-CN"/>
        </w:rPr>
        <w:t>部门（单位）基本情况</w:t>
      </w:r>
      <w:bookmarkEnd w:id="84"/>
    </w:p>
    <w:p>
      <w:pPr>
        <w:pageBreakBefore w:val="0"/>
        <w:widowControl/>
        <w:kinsoku/>
        <w:wordWrap/>
        <w:overflowPunct/>
        <w:topLinePunct w:val="0"/>
        <w:bidi w:val="0"/>
        <w:adjustRightInd w:val="0"/>
        <w:snapToGrid w:val="0"/>
        <w:spacing w:line="353" w:lineRule="auto"/>
        <w:ind w:left="0" w:right="0" w:firstLine="643" w:firstLineChars="200"/>
        <w:contextualSpacing/>
        <w:jc w:val="left"/>
        <w:textAlignment w:val="auto"/>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（一）机构组成。</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eastAsia="仿宋"/>
          <w:color w:val="000000"/>
          <w:sz w:val="32"/>
          <w:szCs w:val="32"/>
        </w:rPr>
      </w:pPr>
      <w:r>
        <w:rPr>
          <w:rFonts w:hint="eastAsia" w:eastAsia="仿宋"/>
          <w:color w:val="000000"/>
          <w:sz w:val="32"/>
          <w:szCs w:val="32"/>
        </w:rPr>
        <w:t>西区行政审批局内设4股1办，分别是政务服务管理股（政策法规股）、审批服务股、行政审批一股、行政审批二股、办公室。代管西区政府采购服务中心。</w:t>
      </w:r>
    </w:p>
    <w:p>
      <w:pPr>
        <w:pageBreakBefore w:val="0"/>
        <w:widowControl/>
        <w:kinsoku/>
        <w:wordWrap/>
        <w:overflowPunct/>
        <w:topLinePunct w:val="0"/>
        <w:bidi w:val="0"/>
        <w:adjustRightInd w:val="0"/>
        <w:snapToGrid w:val="0"/>
        <w:spacing w:line="353" w:lineRule="auto"/>
        <w:ind w:left="0" w:right="0" w:firstLine="643" w:firstLineChars="200"/>
        <w:contextualSpacing/>
        <w:jc w:val="left"/>
        <w:textAlignment w:val="auto"/>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（二）机构职能和人员概况。</w:t>
      </w:r>
    </w:p>
    <w:p>
      <w:pPr>
        <w:pStyle w:val="9"/>
        <w:pageBreakBefore w:val="0"/>
        <w:kinsoku/>
        <w:wordWrap/>
        <w:overflowPunct/>
        <w:topLinePunct w:val="0"/>
        <w:bidi w:val="0"/>
        <w:adjustRightInd w:val="0"/>
        <w:snapToGrid w:val="0"/>
        <w:spacing w:line="353" w:lineRule="auto"/>
        <w:ind w:left="0" w:right="0" w:firstLine="640" w:firstLineChars="200"/>
        <w:textAlignment w:val="auto"/>
        <w:rPr>
          <w:rFonts w:hint="eastAsia" w:ascii="Times New Roman" w:eastAsia="仿宋"/>
          <w:color w:val="000000"/>
          <w:spacing w:val="0"/>
        </w:rPr>
      </w:pPr>
      <w:r>
        <w:rPr>
          <w:rFonts w:hint="eastAsia" w:ascii="Times New Roman" w:eastAsia="仿宋"/>
          <w:color w:val="000000"/>
          <w:spacing w:val="0"/>
        </w:rPr>
        <w:t>1.西区行政审批局主要职能：组织拟订全区政务服务、行政审批制度改革的发展规划、政策和措施并组织、指导实施。按照省、市、区部署和要求，推进相对集中行政许可权改革。负责对划转的行政许可事项进行集中办理；规范行政审批行为，优化办事流程，推进行政审批标准化建设和依法规范公开运行；协调审批事项涉及的各职能部门完成现场勘查、技术论证、社会听证、行政收费等。负责政务服务管理工作。指导、协调并推进全区政务服务体系建设。指导、协调和监督区级部门（单位）政务服务工作。指导、监督相关电子政务服务平台建设和运行工作。负责指导、协调、监督、考核进驻部门（单位）的政务服务工作，审核进驻政务服务事项。对部门（单位）独立设置的办事大厅进行业务指导和监督。负责职能范围内的安全生产和职业健康、生态环境保护、审批服务便民化等工作。</w:t>
      </w:r>
    </w:p>
    <w:p>
      <w:pPr>
        <w:pStyle w:val="2"/>
        <w:pageBreakBefore w:val="0"/>
        <w:kinsoku/>
        <w:wordWrap/>
        <w:overflowPunct/>
        <w:topLinePunct w:val="0"/>
        <w:bidi w:val="0"/>
        <w:adjustRightInd w:val="0"/>
        <w:snapToGrid w:val="0"/>
        <w:spacing w:beforeLines="0" w:line="353" w:lineRule="auto"/>
        <w:ind w:left="0" w:right="0"/>
        <w:textAlignment w:val="auto"/>
        <w:rPr>
          <w:lang w:val="zh-CN"/>
        </w:rPr>
      </w:pPr>
      <w:r>
        <w:rPr>
          <w:rFonts w:hint="eastAsia"/>
          <w:lang w:val="zh-CN"/>
        </w:rPr>
        <w:t xml:space="preserve">    2.</w:t>
      </w:r>
      <w:r>
        <w:rPr>
          <w:rFonts w:hint="eastAsia" w:ascii="Times New Roman" w:eastAsia="仿宋"/>
          <w:color w:val="000000"/>
          <w:kern w:val="2"/>
          <w:sz w:val="32"/>
          <w:szCs w:val="32"/>
        </w:rPr>
        <w:t>西区行政审批局机关编制22名，其中公务员7名、事业编制8名，代管西区政府采购服务中心编制3名，临聘编制5名；实有人员20人（公务员编制5人，事业编制11人，临聘编制4人）。</w:t>
      </w:r>
    </w:p>
    <w:p>
      <w:pPr>
        <w:pageBreakBefore w:val="0"/>
        <w:widowControl/>
        <w:kinsoku/>
        <w:wordWrap/>
        <w:overflowPunct/>
        <w:topLinePunct w:val="0"/>
        <w:bidi w:val="0"/>
        <w:adjustRightInd w:val="0"/>
        <w:snapToGrid w:val="0"/>
        <w:spacing w:line="353" w:lineRule="auto"/>
        <w:ind w:left="0" w:right="0" w:firstLine="643" w:firstLineChars="200"/>
        <w:contextualSpacing/>
        <w:jc w:val="left"/>
        <w:textAlignment w:val="auto"/>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（三）年度主要工作任务。</w:t>
      </w:r>
    </w:p>
    <w:p>
      <w:pPr>
        <w:pageBreakBefore w:val="0"/>
        <w:kinsoku/>
        <w:wordWrap/>
        <w:overflowPunct/>
        <w:topLinePunct w:val="0"/>
        <w:bidi w:val="0"/>
        <w:adjustRightInd w:val="0"/>
        <w:snapToGrid w:val="0"/>
        <w:spacing w:line="353" w:lineRule="auto"/>
        <w:ind w:left="0" w:right="0" w:firstLine="640" w:firstLineChars="200"/>
        <w:textAlignment w:val="auto"/>
        <w:rPr>
          <w:rFonts w:eastAsia="仿宋"/>
          <w:color w:val="000000"/>
          <w:sz w:val="32"/>
          <w:szCs w:val="32"/>
        </w:rPr>
      </w:pPr>
      <w:r>
        <w:rPr>
          <w:rFonts w:hint="eastAsia" w:eastAsia="仿宋"/>
          <w:color w:val="000000"/>
          <w:sz w:val="32"/>
          <w:szCs w:val="32"/>
        </w:rPr>
        <w:t>1.</w:t>
      </w:r>
      <w:r>
        <w:rPr>
          <w:rFonts w:eastAsia="仿宋"/>
          <w:color w:val="000000"/>
          <w:sz w:val="32"/>
          <w:szCs w:val="32"/>
        </w:rPr>
        <w:t>聚焦重点改革任务，提升政务服务质效。</w:t>
      </w:r>
    </w:p>
    <w:p>
      <w:pPr>
        <w:pageBreakBefore w:val="0"/>
        <w:kinsoku/>
        <w:wordWrap/>
        <w:overflowPunct/>
        <w:topLinePunct w:val="0"/>
        <w:bidi w:val="0"/>
        <w:adjustRightInd w:val="0"/>
        <w:snapToGrid w:val="0"/>
        <w:spacing w:line="353" w:lineRule="auto"/>
        <w:ind w:left="0" w:right="0" w:firstLine="640" w:firstLineChars="200"/>
        <w:textAlignment w:val="auto"/>
        <w:rPr>
          <w:rFonts w:eastAsia="仿宋"/>
          <w:color w:val="000000"/>
          <w:sz w:val="32"/>
          <w:szCs w:val="32"/>
        </w:rPr>
      </w:pPr>
      <w:r>
        <w:rPr>
          <w:rFonts w:hint="eastAsia" w:eastAsia="仿宋"/>
          <w:color w:val="000000"/>
          <w:sz w:val="32"/>
          <w:szCs w:val="32"/>
        </w:rPr>
        <w:t>（1）</w:t>
      </w:r>
      <w:r>
        <w:rPr>
          <w:rFonts w:eastAsia="仿宋"/>
          <w:color w:val="000000"/>
          <w:sz w:val="32"/>
          <w:szCs w:val="32"/>
        </w:rPr>
        <w:t>做深做实巡察整改“后半篇”文章。区行政审批局把巡察整改工作作为一项重大政治任务，严格对照区委第三巡察组反馈意见和提出的要求，始终坚持问题导向，勇于担当、压实责任，综合施策、标本兼治，立行立改、全面整改，扎实推进整改工作。到目前，反馈的3个方面9项24个具体问题，已全部完成整改。</w:t>
      </w:r>
    </w:p>
    <w:p>
      <w:pPr>
        <w:pageBreakBefore w:val="0"/>
        <w:kinsoku/>
        <w:wordWrap/>
        <w:overflowPunct/>
        <w:topLinePunct w:val="0"/>
        <w:bidi w:val="0"/>
        <w:adjustRightInd w:val="0"/>
        <w:snapToGrid w:val="0"/>
        <w:spacing w:line="353" w:lineRule="auto"/>
        <w:ind w:left="0" w:right="0" w:firstLine="640" w:firstLineChars="200"/>
        <w:textAlignment w:val="auto"/>
        <w:rPr>
          <w:rFonts w:eastAsia="仿宋"/>
          <w:color w:val="000000"/>
          <w:sz w:val="32"/>
          <w:szCs w:val="32"/>
        </w:rPr>
      </w:pPr>
      <w:r>
        <w:rPr>
          <w:rFonts w:hint="eastAsia" w:eastAsia="仿宋"/>
          <w:color w:val="000000"/>
          <w:sz w:val="32"/>
          <w:szCs w:val="32"/>
        </w:rPr>
        <w:t>（2）</w:t>
      </w:r>
      <w:r>
        <w:rPr>
          <w:rFonts w:eastAsia="仿宋"/>
          <w:color w:val="000000"/>
          <w:sz w:val="32"/>
          <w:szCs w:val="32"/>
        </w:rPr>
        <w:t>深化“放管服”改革，办事更高效。一是切实发挥牵头作用，制定《攀枝花市西区深化“放管服”改革优化营商环境2022年工作要点》《攀枝花市西区行政许可事项清单（2022年版）</w:t>
      </w:r>
      <w:r>
        <w:rPr>
          <w:rFonts w:hint="eastAsia" w:eastAsia="仿宋"/>
          <w:color w:val="000000"/>
          <w:sz w:val="32"/>
          <w:szCs w:val="32"/>
        </w:rPr>
        <w:t>》</w:t>
      </w:r>
      <w:r>
        <w:rPr>
          <w:rFonts w:eastAsia="仿宋"/>
          <w:color w:val="000000"/>
          <w:sz w:val="32"/>
          <w:szCs w:val="32"/>
        </w:rPr>
        <w:t>等制度文件，统筹部署推进全区“放管服”改革工作。二是助力项目攻坚。开辟重点项目审批“绿色通道”，对西区范围内实施的重点项目审批提供提前介入、代办协办、协调配合、疑难会商等五种机制服务模式。目前已为四川蜀物攀枝花智慧现代产业园项目和40条化成箔生产线项目分别量身制定了审批手续办理清单。三是助企纾困激发活力。聚焦工业企业项目建设需求，梳理形成《西区工业建设项目审批资料清单》《攀枝花市西区惠企政策清单》，协调区级各行政审批部门（单位）围绕惠企帮扶、援企稳岗、防疫补助、减税减负等方面收集整理46项“惠企政策”。</w:t>
      </w:r>
    </w:p>
    <w:p>
      <w:pPr>
        <w:pageBreakBefore w:val="0"/>
        <w:kinsoku/>
        <w:wordWrap/>
        <w:overflowPunct/>
        <w:topLinePunct w:val="0"/>
        <w:bidi w:val="0"/>
        <w:adjustRightInd w:val="0"/>
        <w:snapToGrid w:val="0"/>
        <w:spacing w:line="353" w:lineRule="auto"/>
        <w:ind w:left="0" w:right="0" w:firstLine="640" w:firstLineChars="200"/>
        <w:textAlignment w:val="auto"/>
        <w:rPr>
          <w:rFonts w:eastAsia="仿宋"/>
          <w:color w:val="000000"/>
          <w:sz w:val="32"/>
          <w:szCs w:val="32"/>
        </w:rPr>
      </w:pPr>
      <w:r>
        <w:rPr>
          <w:rFonts w:hint="eastAsia" w:eastAsia="仿宋"/>
          <w:color w:val="000000"/>
          <w:sz w:val="32"/>
          <w:szCs w:val="32"/>
        </w:rPr>
        <w:t>（3）</w:t>
      </w:r>
      <w:r>
        <w:rPr>
          <w:rFonts w:eastAsia="仿宋"/>
          <w:color w:val="000000"/>
          <w:sz w:val="32"/>
          <w:szCs w:val="32"/>
        </w:rPr>
        <w:t>推行“综窗”改革，无差别全受理。在区政务大厅分类设立企业开办、工程建设项目、人社、医保、公安、公积金等分领域综合审批服务窗口，其余进驻大厅政务服务事项全部纳入无差别综合窗口，提供业务咨询、受理办理、补齐补正、证照颁发等服务。今年8月以来，已将17个部门（单位）的600余项政务服务事项纳入无差别综合窗口受理、办理，已梳理公布了第一批进驻无差别综合窗口高频政务服务事项目录及受理审查标准，共计102项，涉及14家区级部门（单位），其中即办事项10项，承诺事项92项。</w:t>
      </w:r>
    </w:p>
    <w:p>
      <w:pPr>
        <w:pageBreakBefore w:val="0"/>
        <w:kinsoku/>
        <w:wordWrap/>
        <w:overflowPunct/>
        <w:topLinePunct w:val="0"/>
        <w:bidi w:val="0"/>
        <w:adjustRightInd w:val="0"/>
        <w:snapToGrid w:val="0"/>
        <w:spacing w:line="353" w:lineRule="auto"/>
        <w:ind w:left="0" w:right="0" w:firstLine="640" w:firstLineChars="200"/>
        <w:textAlignment w:val="auto"/>
        <w:rPr>
          <w:rFonts w:eastAsia="仿宋"/>
          <w:color w:val="000000"/>
          <w:sz w:val="32"/>
          <w:szCs w:val="32"/>
        </w:rPr>
      </w:pPr>
      <w:r>
        <w:rPr>
          <w:rFonts w:hint="eastAsia" w:eastAsia="仿宋"/>
          <w:color w:val="000000"/>
          <w:sz w:val="32"/>
          <w:szCs w:val="32"/>
        </w:rPr>
        <w:t>（4）</w:t>
      </w:r>
      <w:r>
        <w:rPr>
          <w:rFonts w:eastAsia="仿宋"/>
          <w:color w:val="000000"/>
          <w:sz w:val="32"/>
          <w:szCs w:val="32"/>
        </w:rPr>
        <w:t>深化“一件事一次办”改革，办事有温度。一是从企业和群众实际需求出发，聚焦企业和个人全生命周期涉及面广、办理量大、办理频率高、办理时间相对集中的政务服务事项，实行“一件事一次办”，实现企业和群众办事由“多地、多窗、多次”向“一地、一窗、一次”转变，最大程度利企便民，督促区级相关部门分批次完成国家、省、市“一件事”落地。二是锚定当前人口生育政策和群众实际需求，联合市第二人民医院设立“生育一件事”综合窗口，为新生儿出生后办理出生证、接种证、户籍、医保等提供一次性代办帮办服务，使新生儿父母不出医院即可办完所有手续。同时，结合西区与仁和区行政区划犬牙交错的实际情况，与仁和区行政审批局建立起“出生一件事”多证联办服务模式，做到新生儿“出生一件事”在西区“最多跑一次”，在仁和区“不见面审批”。截至目前，通过“一件事一次办”，已为企业群众提供服务3800次，节约办理时间8727个工作日。</w:t>
      </w:r>
    </w:p>
    <w:p>
      <w:pPr>
        <w:pageBreakBefore w:val="0"/>
        <w:kinsoku/>
        <w:wordWrap/>
        <w:overflowPunct/>
        <w:topLinePunct w:val="0"/>
        <w:bidi w:val="0"/>
        <w:adjustRightInd w:val="0"/>
        <w:snapToGrid w:val="0"/>
        <w:spacing w:line="353" w:lineRule="auto"/>
        <w:ind w:left="0" w:right="0" w:firstLine="640" w:firstLineChars="200"/>
        <w:textAlignment w:val="auto"/>
        <w:rPr>
          <w:rFonts w:eastAsia="仿宋"/>
          <w:color w:val="000000"/>
          <w:sz w:val="32"/>
          <w:szCs w:val="32"/>
        </w:rPr>
      </w:pPr>
      <w:r>
        <w:rPr>
          <w:rFonts w:hint="eastAsia" w:eastAsia="仿宋"/>
          <w:color w:val="000000"/>
          <w:sz w:val="32"/>
          <w:szCs w:val="32"/>
        </w:rPr>
        <w:t>2.</w:t>
      </w:r>
      <w:r>
        <w:rPr>
          <w:rFonts w:eastAsia="仿宋"/>
          <w:color w:val="000000"/>
          <w:sz w:val="32"/>
          <w:szCs w:val="32"/>
        </w:rPr>
        <w:t>聚焦“互联网+政务服务”，精心打造智慧便民服务。</w:t>
      </w:r>
    </w:p>
    <w:p>
      <w:pPr>
        <w:pageBreakBefore w:val="0"/>
        <w:kinsoku/>
        <w:wordWrap/>
        <w:overflowPunct/>
        <w:topLinePunct w:val="0"/>
        <w:bidi w:val="0"/>
        <w:adjustRightInd w:val="0"/>
        <w:snapToGrid w:val="0"/>
        <w:spacing w:line="353" w:lineRule="auto"/>
        <w:ind w:left="0" w:right="0" w:firstLine="640" w:firstLineChars="200"/>
        <w:textAlignment w:val="auto"/>
        <w:rPr>
          <w:rFonts w:eastAsia="仿宋"/>
          <w:color w:val="000000"/>
          <w:sz w:val="32"/>
          <w:szCs w:val="32"/>
        </w:rPr>
      </w:pPr>
      <w:r>
        <w:rPr>
          <w:rFonts w:hint="eastAsia" w:eastAsia="仿宋"/>
          <w:color w:val="000000"/>
          <w:sz w:val="32"/>
          <w:szCs w:val="32"/>
        </w:rPr>
        <w:t>（1）</w:t>
      </w:r>
      <w:r>
        <w:rPr>
          <w:rFonts w:eastAsia="仿宋"/>
          <w:color w:val="000000"/>
          <w:sz w:val="32"/>
          <w:szCs w:val="32"/>
        </w:rPr>
        <w:t>推动政务服务“一网通办”。在原有“日监测，日办结”的基础上，持续加大指标情况排查力度，配合区政府办公室通过通报、“两书一函”和抽调工作人员进行跟班学习等多种方式进行提醒敦促，切实抓好责任落实。截至11月3日，西区各部门在一体化平台上已认领事项5852项，其中依申请事项1222项，主动行使事项4630项，即办事项417项，区本级事项认领率、发布率、办事指南准确率均达100%；依申请的政务服务事项中，网上可办率100%，全程网办率84.86%，时限压缩率66.83%，即办率34.12%，一次办事项占比100%。全区办件累计数60261件，按时办结率99.96%，办件覆盖率81.27%；主动评价数52986次，每万人口主动评价数4091.58次。“川渝通办”事项认领发布率为100%，共有“一件事一次办”54件，均已完成配置并入驻综窗。</w:t>
      </w:r>
    </w:p>
    <w:p>
      <w:pPr>
        <w:pageBreakBefore w:val="0"/>
        <w:kinsoku/>
        <w:wordWrap/>
        <w:overflowPunct/>
        <w:topLinePunct w:val="0"/>
        <w:bidi w:val="0"/>
        <w:adjustRightInd w:val="0"/>
        <w:snapToGrid w:val="0"/>
        <w:spacing w:line="353" w:lineRule="auto"/>
        <w:ind w:left="0" w:right="0" w:firstLine="640" w:firstLineChars="200"/>
        <w:textAlignment w:val="auto"/>
        <w:rPr>
          <w:rFonts w:eastAsia="仿宋"/>
          <w:color w:val="000000"/>
          <w:sz w:val="32"/>
          <w:szCs w:val="32"/>
        </w:rPr>
      </w:pPr>
      <w:r>
        <w:rPr>
          <w:rFonts w:hint="eastAsia" w:eastAsia="仿宋"/>
          <w:color w:val="000000"/>
          <w:sz w:val="32"/>
          <w:szCs w:val="32"/>
        </w:rPr>
        <w:t>（2）</w:t>
      </w:r>
      <w:r>
        <w:rPr>
          <w:rFonts w:eastAsia="仿宋"/>
          <w:color w:val="000000"/>
          <w:sz w:val="32"/>
          <w:szCs w:val="32"/>
        </w:rPr>
        <w:t>深化拓展政务服务“跨域通办”。近年来，先后与云南省丽江市华坪县、江苏省常州市钟楼区、云南省楚雄州永仁县签订了政务服务“跨省通办”合作协议，在政务大厅设置“跨省通办”综窗，建立起政务服务的协调机制，按照“先易后难、高频优先”的原则，在失业登记服务、就业困难人员认定、城乡居民基本医疗保险参保登记、社会保险参保征缴等群众办理频次较高的事项上探索开展通办合作，有效促进人口和生产要素流动。2022年1月-10月总计受理各类“跨省通办”事项171件，办结171件。</w:t>
      </w:r>
    </w:p>
    <w:p>
      <w:pPr>
        <w:pageBreakBefore w:val="0"/>
        <w:kinsoku/>
        <w:wordWrap/>
        <w:overflowPunct/>
        <w:topLinePunct w:val="0"/>
        <w:bidi w:val="0"/>
        <w:adjustRightInd w:val="0"/>
        <w:snapToGrid w:val="0"/>
        <w:spacing w:line="353" w:lineRule="auto"/>
        <w:ind w:left="0" w:right="0" w:firstLine="640" w:firstLineChars="200"/>
        <w:textAlignment w:val="auto"/>
        <w:rPr>
          <w:rFonts w:eastAsia="仿宋"/>
          <w:color w:val="000000"/>
          <w:sz w:val="32"/>
          <w:szCs w:val="32"/>
        </w:rPr>
      </w:pPr>
      <w:r>
        <w:rPr>
          <w:rFonts w:hint="eastAsia" w:eastAsia="仿宋"/>
          <w:color w:val="000000"/>
          <w:sz w:val="32"/>
          <w:szCs w:val="32"/>
        </w:rPr>
        <w:t>3.</w:t>
      </w:r>
      <w:r>
        <w:rPr>
          <w:rFonts w:eastAsia="仿宋"/>
          <w:color w:val="000000"/>
          <w:sz w:val="32"/>
          <w:szCs w:val="32"/>
        </w:rPr>
        <w:t>聚焦规范化服务，提升政务服务水平。</w:t>
      </w:r>
    </w:p>
    <w:p>
      <w:pPr>
        <w:pageBreakBefore w:val="0"/>
        <w:kinsoku/>
        <w:wordWrap/>
        <w:overflowPunct/>
        <w:topLinePunct w:val="0"/>
        <w:bidi w:val="0"/>
        <w:adjustRightInd w:val="0"/>
        <w:snapToGrid w:val="0"/>
        <w:spacing w:line="353" w:lineRule="auto"/>
        <w:ind w:left="0" w:right="0" w:firstLine="640" w:firstLineChars="200"/>
        <w:textAlignment w:val="auto"/>
        <w:rPr>
          <w:rFonts w:eastAsia="仿宋"/>
          <w:color w:val="000000"/>
          <w:sz w:val="32"/>
          <w:szCs w:val="32"/>
        </w:rPr>
      </w:pPr>
      <w:r>
        <w:rPr>
          <w:rFonts w:hint="eastAsia" w:eastAsia="仿宋"/>
          <w:color w:val="000000"/>
          <w:sz w:val="32"/>
          <w:szCs w:val="32"/>
        </w:rPr>
        <w:t>（1）</w:t>
      </w:r>
      <w:r>
        <w:rPr>
          <w:rFonts w:eastAsia="仿宋"/>
          <w:color w:val="000000"/>
          <w:sz w:val="32"/>
          <w:szCs w:val="32"/>
        </w:rPr>
        <w:t>政务服务大厅规范运行。一是有序推进政务服务标准化试点工作。建立政务服务标准化实施巡查台账，联合区市场监管局对标准执行情况进行不定期督导检查，围绕政务服务标准化基础知识、政务礼仪等方面开展专题培训5次，累计培训300余人次。二是政务大厅进行数字化改造，全面使用排队叫号系统、自助查询服务系统、数字化窗口工位系统、新媒体信息发布系统，使网上、掌上办事大厅与实体大厅深度融合。全面落实服务承诺制、首问责任制、一次性告知制，实现“一网”通办、“一号”申请、“一窗”受理，不断提升窗口服务质量，使群众“只进一扇门、办成所有事”。三是在区、镇（街道）两级便民服务大厅设立“办不成事”反映窗口，建立“综合研判、沟通协调、及时处理”的工作机制，用心、用情处理好群众的“急事”“难事”“烦心事”。截至目前，“办不成事”窗口累计收集受理群众反映问题55个，并已全部办结。同时为重度残障人员、失能无业居民、特殊疾病患者、独居失独老人、孤残儿童等特殊群体提供困难帮扶110余人次，临时救助84人次。</w:t>
      </w:r>
    </w:p>
    <w:p>
      <w:pPr>
        <w:pageBreakBefore w:val="0"/>
        <w:kinsoku/>
        <w:wordWrap/>
        <w:overflowPunct/>
        <w:topLinePunct w:val="0"/>
        <w:bidi w:val="0"/>
        <w:adjustRightInd w:val="0"/>
        <w:snapToGrid w:val="0"/>
        <w:spacing w:line="353" w:lineRule="auto"/>
        <w:ind w:left="0" w:right="0" w:firstLine="640" w:firstLineChars="200"/>
        <w:textAlignment w:val="auto"/>
        <w:rPr>
          <w:rFonts w:eastAsia="仿宋"/>
          <w:color w:val="000000"/>
          <w:sz w:val="32"/>
          <w:szCs w:val="32"/>
        </w:rPr>
      </w:pPr>
      <w:r>
        <w:rPr>
          <w:rFonts w:hint="eastAsia" w:eastAsia="仿宋"/>
          <w:color w:val="000000"/>
          <w:sz w:val="32"/>
          <w:szCs w:val="32"/>
        </w:rPr>
        <w:t>（2）</w:t>
      </w:r>
      <w:r>
        <w:rPr>
          <w:rFonts w:eastAsia="仿宋"/>
          <w:color w:val="000000"/>
          <w:sz w:val="32"/>
          <w:szCs w:val="32"/>
        </w:rPr>
        <w:t>基层便民服务体系建设亮点频出。一是全域开展示范创建。对西区6个镇（街道）便民服务中心、26个村（社区）便民服务站开展镇村便民服务体系“三化”建设市级试点创建工作进行检查督导。</w:t>
      </w:r>
      <w:r>
        <w:rPr>
          <w:rFonts w:hint="eastAsia" w:eastAsia="仿宋"/>
          <w:color w:val="000000"/>
          <w:sz w:val="32"/>
          <w:szCs w:val="32"/>
          <w:lang w:eastAsia="zh-CN"/>
        </w:rPr>
        <w:t>截至目前</w:t>
      </w:r>
      <w:r>
        <w:rPr>
          <w:rFonts w:eastAsia="仿宋"/>
          <w:color w:val="000000"/>
          <w:sz w:val="32"/>
          <w:szCs w:val="32"/>
        </w:rPr>
        <w:t>，已完成资料的收集整理，上报市政管局审核中。其中河门口街道便民服务中心符合申报省级试点，现正积极申报2022年省级试点验收中。二是下沉便民服务事项。将办理频次高、群众有需要、基层接得住的政务服务事项分批次逐步下沉到镇（街道）、村（社区），并统一对外公布、实施动态调整，切实将政务服务的触角延伸到群众家门口。目前，已梳理形成了进驻镇（街道）便民服务中心政务服务事项清单、村（社区）代办事项清单等办事服务清单。进驻事项共165项，涉及工商、养殖、户籍、生育、社保、医保、就业、通信等领域。村（社区）代办事项76项，涉及困难救助、抚恤</w:t>
      </w:r>
      <w:r>
        <w:rPr>
          <w:rFonts w:hint="eastAsia" w:eastAsia="仿宋"/>
          <w:color w:val="000000"/>
          <w:sz w:val="32"/>
          <w:szCs w:val="32"/>
          <w:lang w:eastAsia="zh-CN"/>
        </w:rPr>
        <w:t>优待</w:t>
      </w:r>
      <w:r>
        <w:rPr>
          <w:rFonts w:eastAsia="仿宋"/>
          <w:color w:val="000000"/>
          <w:sz w:val="32"/>
          <w:szCs w:val="32"/>
        </w:rPr>
        <w:t>、婚育服务、社会保障、就业创业等领域。三级政务服务机构年均开展代办帮办服务2万件（次）。</w:t>
      </w:r>
    </w:p>
    <w:p>
      <w:pPr>
        <w:pageBreakBefore w:val="0"/>
        <w:kinsoku/>
        <w:wordWrap/>
        <w:overflowPunct/>
        <w:topLinePunct w:val="0"/>
        <w:bidi w:val="0"/>
        <w:adjustRightInd w:val="0"/>
        <w:snapToGrid w:val="0"/>
        <w:spacing w:line="353" w:lineRule="auto"/>
        <w:ind w:left="0" w:right="0" w:firstLine="640" w:firstLineChars="200"/>
        <w:textAlignment w:val="auto"/>
        <w:rPr>
          <w:rFonts w:eastAsia="仿宋"/>
          <w:color w:val="000000"/>
          <w:sz w:val="32"/>
          <w:szCs w:val="32"/>
        </w:rPr>
      </w:pPr>
      <w:r>
        <w:rPr>
          <w:rFonts w:hint="eastAsia" w:eastAsia="仿宋"/>
          <w:color w:val="000000"/>
          <w:sz w:val="32"/>
          <w:szCs w:val="32"/>
        </w:rPr>
        <w:t>4.</w:t>
      </w:r>
      <w:r>
        <w:rPr>
          <w:rFonts w:eastAsia="仿宋"/>
          <w:color w:val="000000"/>
          <w:sz w:val="32"/>
          <w:szCs w:val="32"/>
        </w:rPr>
        <w:t>推动一体化平台，提升整体交易水平。</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eastAsia="仿宋"/>
          <w:color w:val="000000"/>
          <w:sz w:val="32"/>
          <w:szCs w:val="32"/>
        </w:rPr>
      </w:pPr>
      <w:r>
        <w:rPr>
          <w:rFonts w:eastAsia="仿宋"/>
          <w:color w:val="000000"/>
          <w:sz w:val="32"/>
          <w:szCs w:val="32"/>
        </w:rPr>
        <w:t>今年以来，西区政府采购服务中心坚持“围绕中心、服务大局”，着力公共资源交易服务成效提升。截至10月31日，通过询价、竞争性磋商、网上竞价等方式，中心共完成采购任务14宗，成交金额637.465万元，节约财政资金7.29万元，节约率1%。一是在助力公共资源交易高效规范上做文章。巩固和深化区政府采购服务中心（攀枝花市公共资源交易服务中心西区分中心）全省首批公共资源交易服务标准化规范化建设“示范交易中心”称号创建成果，对照示范交易中心标准，再次开展自查自评，及时补足短板和弱项，推动政府采购流程再规范、服务再提高，持续提升各方交易主体满意度。二是抓好政府采购项目线上全流程交易常态化。积极开展四川省政府采购一体化平台运行使用工作，抓好政府采购项目线上全流程交易事项配置和材料梳理，打通项目从接受采购人委托、制作采购文件、采购公告发布、采购文件获取、投标响应文件投递、线上开标、评标、定标等各环节服务“一张网”，实现全流程电子化交易。自平台试运行以来，西区完成“线下模式”与“线上模式”的有序衔接，在区县中率先执行政府采购项目全流程线上模式</w:t>
      </w:r>
      <w:r>
        <w:rPr>
          <w:rFonts w:hint="eastAsia" w:eastAsia="仿宋"/>
          <w:color w:val="000000"/>
          <w:sz w:val="32"/>
          <w:szCs w:val="32"/>
        </w:rPr>
        <w:t>。</w:t>
      </w:r>
    </w:p>
    <w:p>
      <w:pPr>
        <w:pageBreakBefore w:val="0"/>
        <w:widowControl/>
        <w:kinsoku/>
        <w:wordWrap/>
        <w:overflowPunct/>
        <w:topLinePunct w:val="0"/>
        <w:bidi w:val="0"/>
        <w:adjustRightInd w:val="0"/>
        <w:snapToGrid w:val="0"/>
        <w:spacing w:line="353" w:lineRule="auto"/>
        <w:ind w:left="0" w:right="0" w:firstLine="643" w:firstLineChars="200"/>
        <w:contextualSpacing/>
        <w:jc w:val="left"/>
        <w:textAlignment w:val="auto"/>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（四）部门整体支出绩效目标。</w:t>
      </w:r>
    </w:p>
    <w:p>
      <w:pPr>
        <w:pageBreakBefore w:val="0"/>
        <w:kinsoku/>
        <w:wordWrap/>
        <w:overflowPunct/>
        <w:topLinePunct w:val="0"/>
        <w:bidi w:val="0"/>
        <w:adjustRightInd w:val="0"/>
        <w:snapToGrid w:val="0"/>
        <w:spacing w:line="353" w:lineRule="auto"/>
        <w:ind w:left="0" w:right="0" w:firstLine="640" w:firstLineChars="200"/>
        <w:textAlignment w:val="auto"/>
        <w:rPr>
          <w:lang w:val="zh-CN"/>
        </w:rPr>
      </w:pPr>
      <w:r>
        <w:rPr>
          <w:rFonts w:eastAsia="仿宋"/>
          <w:color w:val="000000"/>
          <w:sz w:val="32"/>
          <w:szCs w:val="32"/>
        </w:rPr>
        <w:t>严格预算支出管理。在支出预算编制上，人员经费按照配置定额，逐人核定编制，公用经费分类分档，按定额编制；根据“总量控制、计划管理”的要求从严控制行政经费，压缩公务费开支，严格控制“三公”经费，按照预算科目和项目资金的规定使用财政资金，保障部门整体支出的规范化、制度化。</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outlineLvl w:val="1"/>
        <w:rPr>
          <w:rFonts w:ascii="黑体" w:hAnsi="宋体" w:eastAsia="黑体" w:cs="宋体"/>
          <w:kern w:val="0"/>
          <w:sz w:val="32"/>
          <w:szCs w:val="32"/>
          <w:shd w:val="clear" w:color="auto" w:fill="FFFFFF"/>
        </w:rPr>
      </w:pPr>
      <w:bookmarkStart w:id="85" w:name="_Toc7015"/>
      <w:r>
        <w:rPr>
          <w:rFonts w:hint="eastAsia" w:ascii="黑体" w:hAnsi="宋体" w:eastAsia="黑体" w:cs="宋体"/>
          <w:kern w:val="0"/>
          <w:sz w:val="32"/>
          <w:szCs w:val="32"/>
          <w:shd w:val="clear" w:color="auto" w:fill="FFFFFF"/>
        </w:rPr>
        <w:t>二、部门资金收支情况</w:t>
      </w:r>
      <w:bookmarkEnd w:id="85"/>
    </w:p>
    <w:p>
      <w:pPr>
        <w:pageBreakBefore w:val="0"/>
        <w:widowControl/>
        <w:kinsoku/>
        <w:wordWrap/>
        <w:overflowPunct/>
        <w:topLinePunct w:val="0"/>
        <w:bidi w:val="0"/>
        <w:adjustRightInd w:val="0"/>
        <w:snapToGrid w:val="0"/>
        <w:spacing w:line="353" w:lineRule="auto"/>
        <w:ind w:left="0" w:right="0" w:firstLine="643" w:firstLineChars="200"/>
        <w:contextualSpacing/>
        <w:jc w:val="left"/>
        <w:textAlignment w:val="auto"/>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（一）部门总体收支情况。</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1.部门总体收入情况</w:t>
      </w:r>
    </w:p>
    <w:p>
      <w:pPr>
        <w:pStyle w:val="9"/>
        <w:pageBreakBefore w:val="0"/>
        <w:kinsoku/>
        <w:wordWrap/>
        <w:overflowPunct/>
        <w:topLinePunct w:val="0"/>
        <w:bidi w:val="0"/>
        <w:adjustRightInd w:val="0"/>
        <w:snapToGrid w:val="0"/>
        <w:spacing w:line="353" w:lineRule="auto"/>
        <w:ind w:left="0" w:right="0" w:firstLine="640" w:firstLineChars="200"/>
        <w:textAlignment w:val="auto"/>
        <w:rPr>
          <w:rFonts w:ascii="Times New Roman" w:eastAsia="仿宋"/>
          <w:color w:val="000000"/>
          <w:spacing w:val="0"/>
        </w:rPr>
      </w:pPr>
      <w:r>
        <w:rPr>
          <w:rFonts w:ascii="Times New Roman" w:eastAsia="仿宋"/>
          <w:color w:val="000000"/>
          <w:spacing w:val="0"/>
        </w:rPr>
        <w:t>202</w:t>
      </w:r>
      <w:r>
        <w:rPr>
          <w:rFonts w:hint="eastAsia" w:ascii="Times New Roman" w:eastAsia="仿宋"/>
          <w:color w:val="000000"/>
          <w:spacing w:val="0"/>
        </w:rPr>
        <w:t>2</w:t>
      </w:r>
      <w:r>
        <w:rPr>
          <w:rFonts w:ascii="Times New Roman" w:eastAsia="仿宋"/>
          <w:color w:val="000000"/>
          <w:spacing w:val="0"/>
        </w:rPr>
        <w:t>年度，攀枝花市</w:t>
      </w:r>
      <w:r>
        <w:rPr>
          <w:rFonts w:hint="eastAsia" w:ascii="Times New Roman" w:eastAsia="仿宋"/>
          <w:color w:val="000000"/>
          <w:spacing w:val="0"/>
        </w:rPr>
        <w:t>西区行政审批</w:t>
      </w:r>
      <w:r>
        <w:rPr>
          <w:rFonts w:ascii="Times New Roman" w:eastAsia="仿宋"/>
          <w:color w:val="000000"/>
          <w:spacing w:val="0"/>
        </w:rPr>
        <w:t>局</w:t>
      </w:r>
      <w:r>
        <w:rPr>
          <w:rFonts w:hint="eastAsia" w:ascii="Times New Roman" w:eastAsia="仿宋"/>
          <w:color w:val="000000"/>
          <w:spacing w:val="0"/>
        </w:rPr>
        <w:t>年初结转资金14.8万元。当年财政拨款收入304.4万元 。</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2.部门总体支出情况</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eastAsia="仿宋"/>
          <w:color w:val="000000"/>
          <w:sz w:val="32"/>
          <w:szCs w:val="32"/>
        </w:rPr>
      </w:pPr>
      <w:r>
        <w:rPr>
          <w:rFonts w:eastAsia="仿宋"/>
          <w:color w:val="000000"/>
          <w:sz w:val="32"/>
          <w:szCs w:val="32"/>
        </w:rPr>
        <w:t>202</w:t>
      </w:r>
      <w:r>
        <w:rPr>
          <w:rFonts w:hint="eastAsia" w:eastAsia="仿宋"/>
          <w:color w:val="000000"/>
          <w:sz w:val="32"/>
          <w:szCs w:val="32"/>
        </w:rPr>
        <w:t>2</w:t>
      </w:r>
      <w:r>
        <w:rPr>
          <w:rFonts w:eastAsia="仿宋"/>
          <w:color w:val="000000"/>
          <w:sz w:val="32"/>
          <w:szCs w:val="32"/>
        </w:rPr>
        <w:t>年度，攀枝花市</w:t>
      </w:r>
      <w:r>
        <w:rPr>
          <w:rFonts w:hint="eastAsia" w:eastAsia="仿宋"/>
          <w:color w:val="000000"/>
          <w:sz w:val="32"/>
          <w:szCs w:val="32"/>
        </w:rPr>
        <w:t>西区行政审批</w:t>
      </w:r>
      <w:r>
        <w:rPr>
          <w:rFonts w:eastAsia="仿宋"/>
          <w:color w:val="000000"/>
          <w:sz w:val="32"/>
          <w:szCs w:val="32"/>
        </w:rPr>
        <w:t>局</w:t>
      </w:r>
      <w:r>
        <w:rPr>
          <w:rFonts w:hint="eastAsia" w:eastAsia="仿宋"/>
          <w:color w:val="000000"/>
          <w:sz w:val="32"/>
          <w:szCs w:val="32"/>
        </w:rPr>
        <w:t>财政资金支出319.2万元，</w:t>
      </w:r>
      <w:r>
        <w:rPr>
          <w:rFonts w:eastAsia="仿宋"/>
          <w:color w:val="000000"/>
          <w:sz w:val="32"/>
          <w:szCs w:val="32"/>
        </w:rPr>
        <w:t>基本支出</w:t>
      </w:r>
      <w:r>
        <w:rPr>
          <w:rFonts w:hint="eastAsia" w:eastAsia="仿宋"/>
          <w:color w:val="000000"/>
          <w:sz w:val="32"/>
          <w:szCs w:val="32"/>
        </w:rPr>
        <w:t>263.2</w:t>
      </w:r>
      <w:r>
        <w:rPr>
          <w:rFonts w:eastAsia="仿宋"/>
          <w:color w:val="000000"/>
          <w:sz w:val="32"/>
          <w:szCs w:val="32"/>
        </w:rPr>
        <w:t>万元，</w:t>
      </w:r>
      <w:r>
        <w:rPr>
          <w:rFonts w:hint="eastAsia" w:eastAsia="仿宋"/>
          <w:color w:val="000000"/>
          <w:sz w:val="32"/>
          <w:szCs w:val="32"/>
        </w:rPr>
        <w:t>项目支出56万元。</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3.部门总体结转结余情况</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eastAsia="仿宋"/>
          <w:color w:val="000000"/>
          <w:sz w:val="32"/>
          <w:szCs w:val="32"/>
        </w:rPr>
      </w:pPr>
      <w:r>
        <w:rPr>
          <w:rFonts w:hint="eastAsia" w:eastAsia="仿宋"/>
          <w:color w:val="000000"/>
          <w:sz w:val="32"/>
          <w:szCs w:val="32"/>
        </w:rPr>
        <w:t>2022年年末无结转和结余。</w:t>
      </w:r>
    </w:p>
    <w:p>
      <w:pPr>
        <w:pageBreakBefore w:val="0"/>
        <w:widowControl/>
        <w:kinsoku/>
        <w:wordWrap/>
        <w:overflowPunct/>
        <w:topLinePunct w:val="0"/>
        <w:bidi w:val="0"/>
        <w:adjustRightInd w:val="0"/>
        <w:snapToGrid w:val="0"/>
        <w:spacing w:line="353" w:lineRule="auto"/>
        <w:ind w:left="0" w:right="0" w:firstLine="643" w:firstLineChars="200"/>
        <w:contextualSpacing/>
        <w:jc w:val="left"/>
        <w:textAlignment w:val="auto"/>
        <w:rPr>
          <w:rFonts w:eastAsia="仿宋"/>
          <w:color w:val="000000"/>
          <w:sz w:val="32"/>
          <w:szCs w:val="32"/>
        </w:rPr>
      </w:pPr>
      <w:r>
        <w:rPr>
          <w:rFonts w:hint="eastAsia" w:ascii="楷体_GB2312" w:hAnsi="楷体_GB2312" w:eastAsia="楷体_GB2312" w:cs="楷体_GB2312"/>
          <w:b/>
          <w:bCs/>
          <w:kern w:val="0"/>
          <w:sz w:val="32"/>
          <w:szCs w:val="32"/>
          <w:shd w:val="clear" w:color="auto" w:fill="FFFFFF"/>
          <w:lang w:val="zh-CN"/>
        </w:rPr>
        <w:t>（二）部门财政拨款收支情况。</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1.部门财政拨款收入情况</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eastAsia="仿宋"/>
          <w:color w:val="000000"/>
          <w:sz w:val="32"/>
          <w:szCs w:val="32"/>
        </w:rPr>
      </w:pPr>
      <w:r>
        <w:rPr>
          <w:rFonts w:hint="eastAsia" w:eastAsia="仿宋"/>
          <w:color w:val="000000"/>
          <w:sz w:val="32"/>
          <w:szCs w:val="32"/>
        </w:rPr>
        <w:t>2022年财政拨款收入为304.4万元。</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2.部门财政拨款支出情况</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eastAsia="仿宋"/>
          <w:color w:val="000000"/>
          <w:sz w:val="32"/>
          <w:szCs w:val="32"/>
        </w:rPr>
      </w:pPr>
      <w:r>
        <w:rPr>
          <w:rFonts w:hint="eastAsia" w:eastAsia="仿宋"/>
          <w:color w:val="000000"/>
          <w:sz w:val="32"/>
          <w:szCs w:val="32"/>
        </w:rPr>
        <w:t>2022年财政拨款支出为319.2万元，年终预算执行进度达到100%。</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3.部门财政拨款结转结余情况</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eastAsia="仿宋"/>
          <w:color w:val="000000"/>
          <w:sz w:val="32"/>
          <w:szCs w:val="32"/>
        </w:rPr>
      </w:pPr>
      <w:r>
        <w:rPr>
          <w:rFonts w:hint="eastAsia" w:eastAsia="仿宋"/>
          <w:color w:val="000000"/>
          <w:sz w:val="32"/>
          <w:szCs w:val="32"/>
        </w:rPr>
        <w:t>年末结转和结余资金均为零，各预算项目资金结余率均为零。</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outlineLvl w:val="1"/>
        <w:rPr>
          <w:rFonts w:ascii="黑体" w:hAnsi="宋体" w:eastAsia="黑体" w:cs="宋体"/>
          <w:kern w:val="0"/>
          <w:sz w:val="32"/>
          <w:szCs w:val="32"/>
          <w:shd w:val="clear" w:color="auto" w:fill="FFFFFF"/>
        </w:rPr>
      </w:pPr>
      <w:bookmarkStart w:id="86" w:name="_Toc31147"/>
      <w:r>
        <w:rPr>
          <w:rFonts w:hint="eastAsia" w:ascii="黑体" w:hAnsi="宋体" w:eastAsia="黑体" w:cs="宋体"/>
          <w:kern w:val="0"/>
          <w:sz w:val="32"/>
          <w:szCs w:val="32"/>
          <w:shd w:val="clear" w:color="auto" w:fill="FFFFFF"/>
        </w:rPr>
        <w:t>三、部门整体绩效分析</w:t>
      </w:r>
      <w:bookmarkEnd w:id="86"/>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ascii="仿宋" w:hAnsi="仿宋" w:eastAsia="仿宋"/>
          <w:sz w:val="32"/>
          <w:szCs w:val="32"/>
        </w:rPr>
      </w:pPr>
      <w:r>
        <w:rPr>
          <w:rFonts w:hint="eastAsia" w:ascii="仿宋" w:hAnsi="仿宋" w:eastAsia="仿宋"/>
          <w:sz w:val="32"/>
          <w:szCs w:val="32"/>
        </w:rPr>
        <w:t>绩效目标制定要素完整，指标细化量准确，每年的绩效评价均列入党委会议讨论并审议；绩效目标分为人员类、运转类和特定目标类三类分类制定目标，根据目标分类跟踪考核。</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hint="eastAsia" w:ascii="楷体_GB2312" w:hAnsi="楷体_GB2312" w:eastAsia="楷体_GB2312" w:cs="楷体_GB2312"/>
          <w:b/>
          <w:bCs/>
          <w:kern w:val="0"/>
          <w:sz w:val="32"/>
          <w:szCs w:val="32"/>
          <w:shd w:val="clear" w:color="auto" w:fill="FFFFFF"/>
          <w:lang w:val="zh-CN"/>
        </w:rPr>
      </w:pPr>
      <w:r>
        <w:rPr>
          <w:rFonts w:hint="eastAsia" w:ascii="仿宋" w:hAnsi="仿宋" w:eastAsia="仿宋"/>
          <w:sz w:val="32"/>
          <w:szCs w:val="32"/>
        </w:rPr>
        <w:t>预算编制，实事求是，确保预算的准确性、及时性；专项预算项目按照程序严密、规划合理的原则实施、管理结果符合审计要求、项目分配科学、分配及时，没有违规记录等情况。</w:t>
      </w:r>
    </w:p>
    <w:p>
      <w:pPr>
        <w:pageBreakBefore w:val="0"/>
        <w:widowControl/>
        <w:kinsoku/>
        <w:wordWrap/>
        <w:overflowPunct/>
        <w:topLinePunct w:val="0"/>
        <w:bidi w:val="0"/>
        <w:adjustRightInd w:val="0"/>
        <w:snapToGrid w:val="0"/>
        <w:spacing w:line="353" w:lineRule="auto"/>
        <w:ind w:left="0" w:right="0" w:firstLine="643" w:firstLineChars="200"/>
        <w:contextualSpacing/>
        <w:jc w:val="left"/>
        <w:textAlignment w:val="auto"/>
        <w:rPr>
          <w:rFonts w:ascii="仿宋_GB2312" w:hAnsi="仿宋_GB2312" w:eastAsia="仿宋_GB2312" w:cs="仿宋_GB2312"/>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（一）部门预算项目绩效分析。</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1.人员类项目绩效分析</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ascii="仿宋" w:hAnsi="仿宋" w:eastAsia="仿宋" w:cs="仿宋_GB2312"/>
          <w:kern w:val="0"/>
          <w:sz w:val="32"/>
          <w:szCs w:val="32"/>
          <w:shd w:val="clear" w:color="auto" w:fill="FFFFFF"/>
        </w:rPr>
      </w:pPr>
      <w:r>
        <w:rPr>
          <w:rFonts w:ascii="仿宋" w:hAnsi="仿宋" w:eastAsia="仿宋"/>
          <w:sz w:val="32"/>
          <w:szCs w:val="32"/>
        </w:rPr>
        <w:t>2022年及时准确核算发放在职人员的工资和各项待遇，共支出人员经费</w:t>
      </w:r>
      <w:r>
        <w:rPr>
          <w:rFonts w:hint="eastAsia" w:ascii="仿宋" w:hAnsi="仿宋" w:eastAsia="仿宋"/>
          <w:sz w:val="32"/>
          <w:szCs w:val="32"/>
        </w:rPr>
        <w:t>250.69</w:t>
      </w:r>
      <w:r>
        <w:rPr>
          <w:rFonts w:ascii="仿宋" w:hAnsi="仿宋" w:eastAsia="仿宋"/>
          <w:sz w:val="32"/>
          <w:szCs w:val="32"/>
        </w:rPr>
        <w:t>万元，主要包括：基本工资、津贴补贴、奖金、</w:t>
      </w:r>
      <w:r>
        <w:rPr>
          <w:rFonts w:hint="eastAsia" w:ascii="仿宋" w:hAnsi="仿宋" w:eastAsia="仿宋"/>
          <w:sz w:val="32"/>
          <w:szCs w:val="32"/>
        </w:rPr>
        <w:t>绩效工资、</w:t>
      </w:r>
      <w:r>
        <w:rPr>
          <w:rFonts w:ascii="仿宋" w:hAnsi="仿宋" w:eastAsia="仿宋"/>
          <w:sz w:val="32"/>
          <w:szCs w:val="32"/>
        </w:rPr>
        <w:t>机关事业单位基本养老保险缴费、</w:t>
      </w:r>
      <w:r>
        <w:rPr>
          <w:rFonts w:hint="eastAsia" w:ascii="仿宋" w:hAnsi="仿宋" w:eastAsia="仿宋"/>
          <w:sz w:val="32"/>
          <w:szCs w:val="32"/>
        </w:rPr>
        <w:t>职工基本医疗保险缴费、公务员医疗补助缴费、</w:t>
      </w:r>
      <w:r>
        <w:rPr>
          <w:rFonts w:ascii="仿宋" w:hAnsi="仿宋" w:eastAsia="仿宋"/>
          <w:sz w:val="32"/>
          <w:szCs w:val="32"/>
        </w:rPr>
        <w:t>其他社会保障缴费、其他工资福利支出、住房公积金支出</w:t>
      </w:r>
      <w:r>
        <w:rPr>
          <w:rFonts w:hint="eastAsia" w:ascii="仿宋" w:hAnsi="仿宋" w:eastAsia="仿宋" w:cs="仿宋_GB2312"/>
          <w:kern w:val="0"/>
          <w:sz w:val="32"/>
          <w:szCs w:val="32"/>
          <w:shd w:val="clear" w:color="auto" w:fill="FFFFFF"/>
          <w:lang w:val="zh-CN"/>
        </w:rPr>
        <w:t>。</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2.运转类项目绩效分析</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ascii="仿宋" w:hAnsi="仿宋" w:eastAsia="仿宋"/>
          <w:sz w:val="32"/>
          <w:szCs w:val="32"/>
        </w:rPr>
      </w:pPr>
      <w:r>
        <w:rPr>
          <w:rFonts w:ascii="仿宋" w:hAnsi="仿宋" w:eastAsia="仿宋"/>
          <w:sz w:val="32"/>
          <w:szCs w:val="32"/>
        </w:rPr>
        <w:t>2022年贯彻</w:t>
      </w:r>
      <w:r>
        <w:rPr>
          <w:rFonts w:hint="eastAsia" w:ascii="仿宋" w:hAnsi="仿宋" w:eastAsia="仿宋"/>
          <w:sz w:val="32"/>
          <w:szCs w:val="32"/>
        </w:rPr>
        <w:t>区</w:t>
      </w:r>
      <w:r>
        <w:rPr>
          <w:rFonts w:ascii="仿宋" w:hAnsi="仿宋" w:eastAsia="仿宋"/>
          <w:sz w:val="32"/>
          <w:szCs w:val="32"/>
        </w:rPr>
        <w:t>委、</w:t>
      </w:r>
      <w:r>
        <w:rPr>
          <w:rFonts w:hint="eastAsia" w:ascii="仿宋" w:hAnsi="仿宋" w:eastAsia="仿宋"/>
          <w:sz w:val="32"/>
          <w:szCs w:val="32"/>
        </w:rPr>
        <w:t>区</w:t>
      </w:r>
      <w:r>
        <w:rPr>
          <w:rFonts w:ascii="仿宋" w:hAnsi="仿宋" w:eastAsia="仿宋"/>
          <w:sz w:val="32"/>
          <w:szCs w:val="32"/>
        </w:rPr>
        <w:t>政府过紧日子要求，按照厉行节约原则，严格控制“三公经费”支出，强化支出及项目绩效管理，保证机关单位的正常运转，按照规定使用日常公用经费</w:t>
      </w:r>
      <w:r>
        <w:rPr>
          <w:rFonts w:hint="eastAsia" w:ascii="仿宋" w:hAnsi="仿宋" w:eastAsia="仿宋"/>
          <w:sz w:val="32"/>
          <w:szCs w:val="32"/>
        </w:rPr>
        <w:t>12.51</w:t>
      </w:r>
      <w:r>
        <w:rPr>
          <w:rFonts w:ascii="仿宋" w:hAnsi="仿宋" w:eastAsia="仿宋"/>
          <w:sz w:val="32"/>
          <w:szCs w:val="32"/>
        </w:rPr>
        <w:t>万元，主要包括：办公费、邮电费、差旅费、维修（护）费、培训费、劳务费、工会经费、福利费、其他交通费、办公设备购置</w:t>
      </w:r>
      <w:r>
        <w:rPr>
          <w:rFonts w:hint="eastAsia" w:ascii="仿宋" w:hAnsi="仿宋" w:eastAsia="仿宋"/>
          <w:sz w:val="32"/>
          <w:szCs w:val="32"/>
        </w:rPr>
        <w:t>。</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3.特定目标类项目绩效分析</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ascii="仿宋" w:hAnsi="仿宋" w:eastAsia="仿宋"/>
          <w:sz w:val="32"/>
          <w:szCs w:val="32"/>
        </w:rPr>
      </w:pPr>
      <w:r>
        <w:rPr>
          <w:rFonts w:ascii="仿宋" w:hAnsi="仿宋" w:eastAsia="仿宋"/>
          <w:sz w:val="32"/>
          <w:szCs w:val="32"/>
        </w:rPr>
        <w:t>2022年特定目标类部门预算项目</w:t>
      </w:r>
      <w:r>
        <w:rPr>
          <w:rFonts w:hint="eastAsia" w:ascii="仿宋" w:hAnsi="仿宋" w:eastAsia="仿宋"/>
          <w:sz w:val="32"/>
          <w:szCs w:val="32"/>
        </w:rPr>
        <w:t>3</w:t>
      </w:r>
      <w:r>
        <w:rPr>
          <w:rFonts w:ascii="仿宋" w:hAnsi="仿宋" w:eastAsia="仿宋"/>
          <w:sz w:val="32"/>
          <w:szCs w:val="32"/>
        </w:rPr>
        <w:t>项，其中，2022年初安排项目预算</w:t>
      </w:r>
      <w:r>
        <w:rPr>
          <w:rFonts w:hint="eastAsia" w:ascii="仿宋" w:hAnsi="仿宋" w:eastAsia="仿宋"/>
          <w:sz w:val="32"/>
          <w:szCs w:val="32"/>
        </w:rPr>
        <w:t>41.2</w:t>
      </w:r>
      <w:r>
        <w:rPr>
          <w:rFonts w:ascii="仿宋" w:hAnsi="仿宋" w:eastAsia="仿宋"/>
          <w:sz w:val="32"/>
          <w:szCs w:val="32"/>
        </w:rPr>
        <w:t>元，实际支出</w:t>
      </w:r>
      <w:r>
        <w:rPr>
          <w:rFonts w:hint="eastAsia" w:ascii="仿宋" w:hAnsi="仿宋" w:eastAsia="仿宋"/>
          <w:sz w:val="32"/>
          <w:szCs w:val="32"/>
        </w:rPr>
        <w:t>56</w:t>
      </w:r>
      <w:r>
        <w:rPr>
          <w:rFonts w:ascii="仿宋" w:hAnsi="仿宋" w:eastAsia="仿宋"/>
          <w:sz w:val="32"/>
          <w:szCs w:val="32"/>
        </w:rPr>
        <w:t>万元。具体完成如下：</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政府采购专项经费6.84</w:t>
      </w:r>
      <w:r>
        <w:rPr>
          <w:rFonts w:ascii="仿宋" w:hAnsi="仿宋" w:eastAsia="仿宋"/>
          <w:sz w:val="32"/>
          <w:szCs w:val="32"/>
        </w:rPr>
        <w:t>万元。</w:t>
      </w:r>
      <w:r>
        <w:rPr>
          <w:rFonts w:hint="eastAsia" w:ascii="仿宋" w:hAnsi="仿宋" w:eastAsia="仿宋"/>
          <w:sz w:val="32"/>
          <w:szCs w:val="32"/>
        </w:rPr>
        <w:t>按照攀枝花市财政局关于转发四川省财政厅《关于政府采购评审专家劳务报酬支付标准指导意见》的通知要求，开展政府采购代理业务需支付专家评审费及工作经费</w:t>
      </w:r>
      <w:r>
        <w:rPr>
          <w:rFonts w:ascii="仿宋" w:hAnsi="仿宋" w:eastAsia="仿宋"/>
          <w:sz w:val="32"/>
          <w:szCs w:val="32"/>
        </w:rPr>
        <w:t>。</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）政务大厅基本运行经费34.36</w:t>
      </w:r>
      <w:r>
        <w:rPr>
          <w:rFonts w:ascii="仿宋" w:hAnsi="仿宋" w:eastAsia="仿宋"/>
          <w:sz w:val="32"/>
          <w:szCs w:val="32"/>
        </w:rPr>
        <w:t>万元，主要</w:t>
      </w:r>
      <w:r>
        <w:rPr>
          <w:rFonts w:hint="eastAsia" w:ascii="仿宋" w:hAnsi="仿宋" w:eastAsia="仿宋"/>
          <w:sz w:val="32"/>
          <w:szCs w:val="32"/>
        </w:rPr>
        <w:t>通过日常管理，维护运行，保证政务大厅正常运转。同时，依据《四川省市场监督管理局办公室关于下达第九批省级服务业标准化试点项目的通知》和《优化乡镇机构编制资源 优化乡镇机构编制资源配置专项工作方案》（攀两改组〔2021〕5号）文件精神，西区政务服务中心作为省级政务服务标准化试点和启动了西区镇（街道）、村（社区）两级便民服务机构“设施标准化、平台规范化、服务便利化”</w:t>
      </w:r>
      <w:r>
        <w:rPr>
          <w:rFonts w:ascii="仿宋" w:hAnsi="仿宋" w:eastAsia="仿宋"/>
          <w:sz w:val="32"/>
          <w:szCs w:val="32"/>
        </w:rPr>
        <w:t>。</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（3）物业管理费14.8万元，按照合同约定，支付物业管理费</w:t>
      </w:r>
    </w:p>
    <w:p>
      <w:pPr>
        <w:pageBreakBefore w:val="0"/>
        <w:widowControl/>
        <w:kinsoku/>
        <w:wordWrap/>
        <w:overflowPunct/>
        <w:topLinePunct w:val="0"/>
        <w:bidi w:val="0"/>
        <w:adjustRightInd w:val="0"/>
        <w:snapToGrid w:val="0"/>
        <w:spacing w:line="353" w:lineRule="auto"/>
        <w:ind w:left="0" w:right="0" w:firstLine="643" w:firstLineChars="200"/>
        <w:contextualSpacing/>
        <w:jc w:val="left"/>
        <w:textAlignment w:val="auto"/>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（二）部门整体履职绩效分析。</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ascii="仿宋" w:hAnsi="仿宋" w:eastAsia="仿宋" w:cs="仿宋_GB2312"/>
          <w:kern w:val="0"/>
          <w:sz w:val="32"/>
          <w:szCs w:val="32"/>
          <w:shd w:val="clear" w:color="auto" w:fill="FFFFFF"/>
          <w:lang w:val="zh-CN"/>
        </w:rPr>
      </w:pPr>
      <w:r>
        <w:rPr>
          <w:rFonts w:eastAsia="仿宋"/>
          <w:sz w:val="32"/>
          <w:szCs w:val="32"/>
        </w:rPr>
        <w:t>预算编制及时、财务</w:t>
      </w:r>
      <w:r>
        <w:rPr>
          <w:rFonts w:eastAsia="仿宋"/>
          <w:color w:val="000000"/>
          <w:sz w:val="32"/>
          <w:szCs w:val="32"/>
        </w:rPr>
        <w:t>管理较为规范，财经纪律、财务制度执行情况良好。严格预算支出管理。在支出预算编制上，人员经费按照配置定额，逐人核定编制，公用经费分类分档，按定额编制</w:t>
      </w:r>
      <w:r>
        <w:rPr>
          <w:rFonts w:hint="eastAsia" w:ascii="仿宋" w:hAnsi="仿宋" w:eastAsia="仿宋" w:cs="仿宋_GB2312"/>
          <w:kern w:val="0"/>
          <w:sz w:val="32"/>
          <w:szCs w:val="32"/>
          <w:shd w:val="clear" w:color="auto" w:fill="FFFFFF"/>
          <w:lang w:val="zh-CN"/>
        </w:rPr>
        <w:t>。</w:t>
      </w:r>
    </w:p>
    <w:p>
      <w:pPr>
        <w:pageBreakBefore w:val="0"/>
        <w:widowControl/>
        <w:kinsoku/>
        <w:wordWrap/>
        <w:overflowPunct/>
        <w:topLinePunct w:val="0"/>
        <w:bidi w:val="0"/>
        <w:adjustRightInd w:val="0"/>
        <w:snapToGrid w:val="0"/>
        <w:spacing w:line="353" w:lineRule="auto"/>
        <w:ind w:left="0" w:right="0" w:firstLine="643" w:firstLineChars="200"/>
        <w:contextualSpacing/>
        <w:jc w:val="left"/>
        <w:textAlignment w:val="auto"/>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（三）结果应用情况。</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ascii="仿宋" w:hAnsi="仿宋" w:eastAsia="仿宋" w:cs="仿宋_GB2312"/>
          <w:kern w:val="0"/>
          <w:sz w:val="32"/>
          <w:szCs w:val="32"/>
          <w:shd w:val="clear" w:color="auto" w:fill="FFFFFF"/>
          <w:lang w:val="zh-CN"/>
        </w:rPr>
      </w:pPr>
      <w:r>
        <w:rPr>
          <w:rFonts w:hint="eastAsia" w:eastAsia="仿宋"/>
          <w:color w:val="000000"/>
          <w:sz w:val="32"/>
          <w:szCs w:val="32"/>
        </w:rPr>
        <w:t>严格对照项目支出绩效评价发现的问题，查找管理漏洞，强化结果应用，将评价结果运用到政策制定、完善内控管理制度，改进项目管理、财务管理和资金使用管理，调整预算安排方式、增减预算规模和优化支出结构等方面，不断提高资金使用效益</w:t>
      </w:r>
      <w:r>
        <w:rPr>
          <w:rFonts w:hint="eastAsia" w:ascii="仿宋" w:hAnsi="仿宋" w:eastAsia="仿宋" w:cs="仿宋_GB2312"/>
          <w:kern w:val="0"/>
          <w:sz w:val="32"/>
          <w:szCs w:val="32"/>
          <w:shd w:val="clear" w:color="auto" w:fill="FFFFFF"/>
          <w:lang w:val="zh-CN"/>
        </w:rPr>
        <w:t>。</w:t>
      </w:r>
    </w:p>
    <w:p>
      <w:pPr>
        <w:pageBreakBefore w:val="0"/>
        <w:widowControl/>
        <w:numPr>
          <w:ilvl w:val="0"/>
          <w:numId w:val="6"/>
        </w:numPr>
        <w:kinsoku/>
        <w:wordWrap/>
        <w:overflowPunct/>
        <w:topLinePunct w:val="0"/>
        <w:bidi w:val="0"/>
        <w:adjustRightInd w:val="0"/>
        <w:snapToGrid w:val="0"/>
        <w:spacing w:line="353" w:lineRule="auto"/>
        <w:ind w:left="0" w:right="0" w:firstLine="643" w:firstLineChars="200"/>
        <w:contextualSpacing/>
        <w:jc w:val="left"/>
        <w:textAlignment w:val="auto"/>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自评质量。</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ascii="仿宋" w:hAnsi="仿宋" w:eastAsia="仿宋" w:cs="仿宋_GB2312"/>
          <w:kern w:val="0"/>
          <w:sz w:val="32"/>
          <w:szCs w:val="32"/>
          <w:shd w:val="clear" w:color="auto" w:fill="FFFFFF"/>
        </w:rPr>
      </w:pPr>
      <w:r>
        <w:rPr>
          <w:rFonts w:hint="eastAsia" w:eastAsia="仿宋"/>
          <w:color w:val="000000"/>
          <w:sz w:val="32"/>
          <w:szCs w:val="32"/>
        </w:rPr>
        <w:t>部门整体支出自评客观公正，质量良好</w:t>
      </w:r>
      <w:r>
        <w:rPr>
          <w:rFonts w:hint="eastAsia" w:ascii="仿宋" w:hAnsi="仿宋" w:eastAsia="仿宋" w:cs="仿宋_GB2312"/>
          <w:kern w:val="0"/>
          <w:sz w:val="32"/>
          <w:szCs w:val="32"/>
          <w:shd w:val="clear" w:color="auto" w:fill="FFFFFF"/>
        </w:rPr>
        <w:t>。</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outlineLvl w:val="1"/>
        <w:rPr>
          <w:rFonts w:ascii="黑体" w:hAnsi="宋体" w:eastAsia="黑体" w:cs="宋体"/>
          <w:kern w:val="0"/>
          <w:sz w:val="32"/>
          <w:szCs w:val="32"/>
          <w:shd w:val="clear" w:color="auto" w:fill="FFFFFF"/>
        </w:rPr>
      </w:pPr>
      <w:bookmarkStart w:id="87" w:name="_Toc15973"/>
      <w:r>
        <w:rPr>
          <w:rFonts w:hint="eastAsia" w:ascii="黑体" w:hAnsi="宋体" w:eastAsia="黑体" w:cs="宋体"/>
          <w:kern w:val="0"/>
          <w:sz w:val="32"/>
          <w:szCs w:val="32"/>
          <w:shd w:val="clear" w:color="auto" w:fill="FFFFFF"/>
        </w:rPr>
        <w:t>四、评价结论及建议</w:t>
      </w:r>
      <w:bookmarkEnd w:id="87"/>
    </w:p>
    <w:p>
      <w:pPr>
        <w:pageBreakBefore w:val="0"/>
        <w:widowControl/>
        <w:kinsoku/>
        <w:wordWrap/>
        <w:overflowPunct/>
        <w:topLinePunct w:val="0"/>
        <w:bidi w:val="0"/>
        <w:adjustRightInd w:val="0"/>
        <w:snapToGrid w:val="0"/>
        <w:spacing w:line="353" w:lineRule="auto"/>
        <w:ind w:left="0" w:right="0" w:firstLine="643" w:firstLineChars="200"/>
        <w:contextualSpacing/>
        <w:jc w:val="left"/>
        <w:textAlignment w:val="auto"/>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（一）评价结论。</w:t>
      </w:r>
    </w:p>
    <w:p>
      <w:pPr>
        <w:pStyle w:val="9"/>
        <w:pageBreakBefore w:val="0"/>
        <w:kinsoku/>
        <w:wordWrap/>
        <w:overflowPunct/>
        <w:topLinePunct w:val="0"/>
        <w:bidi w:val="0"/>
        <w:adjustRightInd w:val="0"/>
        <w:snapToGrid w:val="0"/>
        <w:spacing w:line="353" w:lineRule="auto"/>
        <w:ind w:left="0" w:right="0" w:firstLine="640" w:firstLineChars="200"/>
        <w:textAlignment w:val="auto"/>
        <w:rPr>
          <w:rFonts w:ascii="Times New Roman" w:eastAsia="仿宋"/>
          <w:color w:val="000000"/>
          <w:spacing w:val="0"/>
        </w:rPr>
      </w:pPr>
      <w:r>
        <w:rPr>
          <w:rFonts w:hint="eastAsia" w:ascii="Times New Roman" w:eastAsia="仿宋"/>
          <w:color w:val="000000"/>
          <w:spacing w:val="0"/>
        </w:rPr>
        <w:t>我单位支出绩效总体良好，各项目标基本达到了相应时期执行进度，使财政收支预算执行都得到了良好的制度保障和实施效果。</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eastAsia="仿宋"/>
          <w:color w:val="000000"/>
          <w:sz w:val="32"/>
          <w:szCs w:val="32"/>
        </w:rPr>
      </w:pPr>
      <w:r>
        <w:rPr>
          <w:rFonts w:hint="eastAsia" w:eastAsia="仿宋"/>
          <w:color w:val="000000"/>
          <w:sz w:val="32"/>
          <w:szCs w:val="32"/>
        </w:rPr>
        <w:t>自我评价得分：96分</w:t>
      </w:r>
    </w:p>
    <w:p>
      <w:pPr>
        <w:pageBreakBefore w:val="0"/>
        <w:widowControl/>
        <w:kinsoku/>
        <w:wordWrap/>
        <w:overflowPunct/>
        <w:topLinePunct w:val="0"/>
        <w:bidi w:val="0"/>
        <w:adjustRightInd w:val="0"/>
        <w:snapToGrid w:val="0"/>
        <w:spacing w:line="353" w:lineRule="auto"/>
        <w:ind w:left="0" w:right="0" w:firstLine="643" w:firstLineChars="200"/>
        <w:contextualSpacing/>
        <w:jc w:val="left"/>
        <w:textAlignment w:val="auto"/>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（二）存在问题。</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hint="eastAsia" w:ascii="仿宋" w:hAnsi="仿宋" w:eastAsia="仿宋"/>
          <w:sz w:val="32"/>
          <w:szCs w:val="32"/>
        </w:rPr>
      </w:pPr>
      <w:r>
        <w:rPr>
          <w:rFonts w:hint="eastAsia" w:ascii="仿宋" w:hAnsi="仿宋" w:eastAsia="仿宋"/>
          <w:sz w:val="32"/>
          <w:szCs w:val="32"/>
        </w:rPr>
        <w:t>部分资金在使用上因财政资金支付困难，因此在资金支付上有进度滞后情况。</w:t>
      </w:r>
    </w:p>
    <w:p>
      <w:pPr>
        <w:pageBreakBefore w:val="0"/>
        <w:widowControl/>
        <w:kinsoku/>
        <w:wordWrap/>
        <w:overflowPunct/>
        <w:topLinePunct w:val="0"/>
        <w:bidi w:val="0"/>
        <w:adjustRightInd w:val="0"/>
        <w:snapToGrid w:val="0"/>
        <w:spacing w:line="353" w:lineRule="auto"/>
        <w:ind w:left="0" w:right="0" w:firstLine="643" w:firstLineChars="200"/>
        <w:contextualSpacing/>
        <w:jc w:val="left"/>
        <w:textAlignment w:val="auto"/>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（三）改进建议。</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ascii="仿宋" w:hAnsi="仿宋" w:eastAsia="仿宋"/>
          <w:sz w:val="32"/>
          <w:szCs w:val="32"/>
        </w:rPr>
      </w:pPr>
      <w:r>
        <w:rPr>
          <w:rFonts w:hint="eastAsia" w:ascii="仿宋" w:hAnsi="仿宋" w:eastAsia="仿宋"/>
          <w:sz w:val="32"/>
          <w:szCs w:val="32"/>
        </w:rPr>
        <w:t>1.我们将进一步重视预算的编制工作，加强财务管理制度建设，完善单位内部财务管理制度，增强可执行性；提高预算编制的精确度，提高财政资金使用效率，尽量减少预算执行调整、结转和结余情形。</w:t>
      </w:r>
    </w:p>
    <w:p>
      <w:pPr>
        <w:pStyle w:val="16"/>
        <w:pageBreakBefore w:val="0"/>
        <w:kinsoku/>
        <w:wordWrap/>
        <w:overflowPunct/>
        <w:topLinePunct w:val="0"/>
        <w:bidi w:val="0"/>
        <w:adjustRightInd w:val="0"/>
        <w:snapToGrid w:val="0"/>
        <w:spacing w:after="0" w:line="353" w:lineRule="auto"/>
        <w:ind w:left="0" w:leftChars="0" w:right="0" w:firstLine="640"/>
        <w:textAlignment w:val="auto"/>
        <w:rPr>
          <w:rFonts w:ascii="仿宋" w:hAnsi="仿宋" w:eastAsia="仿宋"/>
          <w:sz w:val="32"/>
        </w:rPr>
      </w:pPr>
      <w:r>
        <w:rPr>
          <w:rFonts w:hint="eastAsia" w:ascii="仿宋" w:hAnsi="仿宋" w:eastAsia="仿宋"/>
          <w:sz w:val="32"/>
        </w:rPr>
        <w:t>2.加强资金的合理使用，提前做好资金使用规划，对资金使用和管理实施绩效管理、建立考核机制，实行动态管理，确保资金使用效益最大化。</w:t>
      </w:r>
    </w:p>
    <w:p>
      <w:pPr>
        <w:pStyle w:val="16"/>
        <w:pageBreakBefore w:val="0"/>
        <w:kinsoku/>
        <w:wordWrap/>
        <w:overflowPunct/>
        <w:topLinePunct w:val="0"/>
        <w:bidi w:val="0"/>
        <w:adjustRightInd w:val="0"/>
        <w:snapToGrid w:val="0"/>
        <w:spacing w:after="0" w:line="353" w:lineRule="auto"/>
        <w:ind w:left="0" w:leftChars="0" w:right="0" w:firstLine="640"/>
        <w:textAlignment w:val="auto"/>
        <w:rPr>
          <w:rFonts w:ascii="仿宋" w:hAnsi="仿宋" w:eastAsia="仿宋" w:cs="仿宋_GB2312"/>
          <w:sz w:val="32"/>
          <w:lang w:val="zh-CN"/>
        </w:rPr>
      </w:pPr>
      <w:r>
        <w:rPr>
          <w:rFonts w:hint="eastAsia" w:ascii="仿宋" w:hAnsi="仿宋" w:eastAsia="仿宋" w:cs="仿宋_GB2312"/>
          <w:sz w:val="32"/>
          <w:lang w:val="zh-CN"/>
        </w:rPr>
        <w:t>附表：</w:t>
      </w:r>
      <w:r>
        <w:rPr>
          <w:rFonts w:hint="eastAsia" w:ascii="仿宋" w:hAnsi="仿宋" w:eastAsia="仿宋" w:cs="仿宋_GB2312"/>
          <w:sz w:val="32"/>
        </w:rPr>
        <w:t>部门预算项目支出绩效自评表（2022年度）见附件</w:t>
      </w:r>
    </w:p>
    <w:p>
      <w:pPr>
        <w:pStyle w:val="16"/>
        <w:pageBreakBefore w:val="0"/>
        <w:kinsoku/>
        <w:wordWrap/>
        <w:overflowPunct/>
        <w:topLinePunct w:val="0"/>
        <w:bidi w:val="0"/>
        <w:adjustRightInd w:val="0"/>
        <w:snapToGrid w:val="0"/>
        <w:spacing w:after="0" w:line="353" w:lineRule="auto"/>
        <w:ind w:left="0" w:leftChars="0" w:right="0" w:firstLine="640"/>
        <w:textAlignment w:val="auto"/>
        <w:rPr>
          <w:rFonts w:hint="eastAsia" w:ascii="仿宋" w:hAnsi="仿宋" w:eastAsia="仿宋" w:cs="仿宋"/>
          <w:kern w:val="0"/>
          <w:sz w:val="32"/>
        </w:rPr>
      </w:pPr>
    </w:p>
    <w:p>
      <w:pPr>
        <w:pStyle w:val="16"/>
        <w:pageBreakBefore w:val="0"/>
        <w:kinsoku/>
        <w:wordWrap/>
        <w:overflowPunct/>
        <w:topLinePunct w:val="0"/>
        <w:bidi w:val="0"/>
        <w:adjustRightInd w:val="0"/>
        <w:snapToGrid w:val="0"/>
        <w:spacing w:after="0" w:line="353" w:lineRule="auto"/>
        <w:ind w:left="0" w:leftChars="0" w:right="0" w:firstLine="640"/>
        <w:textAlignment w:val="auto"/>
        <w:rPr>
          <w:rFonts w:hint="eastAsia" w:ascii="仿宋" w:hAnsi="仿宋" w:eastAsia="仿宋" w:cs="仿宋"/>
          <w:kern w:val="0"/>
          <w:sz w:val="32"/>
        </w:rPr>
      </w:pPr>
    </w:p>
    <w:p>
      <w:pPr>
        <w:pStyle w:val="16"/>
        <w:pageBreakBefore w:val="0"/>
        <w:kinsoku/>
        <w:wordWrap/>
        <w:overflowPunct/>
        <w:topLinePunct w:val="0"/>
        <w:bidi w:val="0"/>
        <w:adjustRightInd w:val="0"/>
        <w:snapToGrid w:val="0"/>
        <w:spacing w:after="0" w:line="353" w:lineRule="auto"/>
        <w:ind w:left="0" w:leftChars="0" w:right="0" w:firstLine="640"/>
        <w:textAlignment w:val="auto"/>
        <w:rPr>
          <w:rFonts w:hint="eastAsia" w:ascii="仿宋" w:hAnsi="仿宋" w:eastAsia="仿宋" w:cs="仿宋"/>
          <w:kern w:val="0"/>
          <w:sz w:val="32"/>
        </w:rPr>
      </w:pPr>
    </w:p>
    <w:p>
      <w:pPr>
        <w:pStyle w:val="16"/>
        <w:pageBreakBefore w:val="0"/>
        <w:kinsoku/>
        <w:wordWrap/>
        <w:overflowPunct/>
        <w:topLinePunct w:val="0"/>
        <w:bidi w:val="0"/>
        <w:adjustRightInd w:val="0"/>
        <w:snapToGrid w:val="0"/>
        <w:spacing w:after="0" w:line="353" w:lineRule="auto"/>
        <w:ind w:left="0" w:leftChars="0" w:right="0" w:firstLine="640"/>
        <w:textAlignment w:val="auto"/>
        <w:rPr>
          <w:rFonts w:hint="eastAsia" w:ascii="仿宋" w:hAnsi="仿宋" w:eastAsia="仿宋" w:cs="仿宋"/>
          <w:kern w:val="0"/>
          <w:sz w:val="32"/>
        </w:rPr>
      </w:pPr>
    </w:p>
    <w:p>
      <w:pPr>
        <w:pStyle w:val="2"/>
        <w:pageBreakBefore w:val="0"/>
        <w:kinsoku/>
        <w:wordWrap/>
        <w:overflowPunct/>
        <w:topLinePunct w:val="0"/>
        <w:bidi w:val="0"/>
        <w:adjustRightInd w:val="0"/>
        <w:snapToGrid w:val="0"/>
        <w:spacing w:beforeLines="0" w:line="353" w:lineRule="auto"/>
        <w:ind w:left="0" w:right="0"/>
        <w:textAlignment w:val="auto"/>
        <w:outlineLvl w:val="1"/>
        <w:rPr>
          <w:sz w:val="32"/>
          <w:szCs w:val="32"/>
        </w:rPr>
      </w:pPr>
      <w:bookmarkStart w:id="88" w:name="_Toc31705"/>
      <w:r>
        <w:rPr>
          <w:rFonts w:hint="eastAsia" w:hAnsi="宋体" w:cs="宋体"/>
          <w:sz w:val="32"/>
          <w:szCs w:val="32"/>
          <w:shd w:val="clear" w:color="auto" w:fill="FFFFFF"/>
          <w:lang w:val="zh-CN"/>
        </w:rPr>
        <w:t>附件</w:t>
      </w:r>
      <w:r>
        <w:rPr>
          <w:rFonts w:hint="eastAsia" w:hAnsi="宋体" w:cs="宋体"/>
          <w:sz w:val="32"/>
          <w:szCs w:val="32"/>
          <w:shd w:val="clear" w:color="auto" w:fill="FFFFFF"/>
        </w:rPr>
        <w:t>2</w:t>
      </w:r>
      <w:bookmarkEnd w:id="88"/>
    </w:p>
    <w:p>
      <w:pPr>
        <w:pStyle w:val="37"/>
        <w:pageBreakBefore w:val="0"/>
        <w:kinsoku/>
        <w:wordWrap/>
        <w:overflowPunct/>
        <w:topLinePunct w:val="0"/>
        <w:bidi w:val="0"/>
        <w:adjustRightInd w:val="0"/>
        <w:snapToGrid w:val="0"/>
        <w:spacing w:line="353" w:lineRule="auto"/>
        <w:ind w:left="0" w:right="0"/>
        <w:jc w:val="center"/>
        <w:textAlignment w:val="auto"/>
        <w:rPr>
          <w:rFonts w:hint="eastAsia"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202</w:t>
      </w:r>
      <w:r>
        <w:rPr>
          <w:rFonts w:hint="eastAsia" w:ascii="方正小标宋简体" w:hAnsi="方正小标宋简体" w:eastAsia="方正小标宋简体" w:cs="方正小标宋简体"/>
          <w:color w:val="auto"/>
          <w:kern w:val="2"/>
          <w:sz w:val="32"/>
          <w:szCs w:val="32"/>
          <w:lang w:val="en-US" w:eastAsia="zh-CN"/>
        </w:rPr>
        <w:t>2</w:t>
      </w:r>
      <w:bookmarkStart w:id="122" w:name="_GoBack"/>
      <w:bookmarkEnd w:id="122"/>
      <w:r>
        <w:rPr>
          <w:rFonts w:hint="eastAsia" w:ascii="方正小标宋简体" w:hAnsi="方正小标宋简体" w:eastAsia="方正小标宋简体" w:cs="方正小标宋简体"/>
          <w:color w:val="auto"/>
          <w:kern w:val="2"/>
          <w:sz w:val="32"/>
          <w:szCs w:val="32"/>
          <w:lang w:val="en-US"/>
        </w:rPr>
        <w:t>年政务大厅基本运行经费专项资金</w:t>
      </w:r>
    </w:p>
    <w:p>
      <w:pPr>
        <w:pStyle w:val="37"/>
        <w:pageBreakBefore w:val="0"/>
        <w:kinsoku/>
        <w:wordWrap/>
        <w:overflowPunct/>
        <w:topLinePunct w:val="0"/>
        <w:bidi w:val="0"/>
        <w:adjustRightInd w:val="0"/>
        <w:snapToGrid w:val="0"/>
        <w:spacing w:line="353" w:lineRule="auto"/>
        <w:ind w:left="0" w:right="0"/>
        <w:jc w:val="center"/>
        <w:textAlignment w:val="auto"/>
        <w:rPr>
          <w:rFonts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预算项目绩效自评报告</w:t>
      </w:r>
    </w:p>
    <w:p>
      <w:pPr>
        <w:pStyle w:val="37"/>
        <w:pageBreakBefore w:val="0"/>
        <w:kinsoku/>
        <w:wordWrap/>
        <w:overflowPunct/>
        <w:topLinePunct w:val="0"/>
        <w:bidi w:val="0"/>
        <w:adjustRightInd w:val="0"/>
        <w:snapToGrid w:val="0"/>
        <w:spacing w:line="353" w:lineRule="auto"/>
        <w:ind w:left="0" w:right="0" w:firstLine="640"/>
        <w:jc w:val="center"/>
        <w:textAlignment w:val="auto"/>
        <w:rPr>
          <w:rFonts w:ascii="宋体" w:hAnsi="宋体"/>
          <w:color w:val="auto"/>
          <w:kern w:val="2"/>
          <w:sz w:val="32"/>
          <w:szCs w:val="32"/>
        </w:rPr>
      </w:pPr>
    </w:p>
    <w:p>
      <w:pPr>
        <w:pageBreakBefore w:val="0"/>
        <w:kinsoku/>
        <w:wordWrap/>
        <w:overflowPunct/>
        <w:topLinePunct w:val="0"/>
        <w:bidi w:val="0"/>
        <w:adjustRightInd w:val="0"/>
        <w:snapToGrid w:val="0"/>
        <w:spacing w:line="353" w:lineRule="auto"/>
        <w:ind w:left="0" w:right="0" w:firstLine="720"/>
        <w:textAlignment w:val="auto"/>
        <w:outlineLvl w:val="1"/>
        <w:rPr>
          <w:rFonts w:ascii="黑体" w:hAnsi="宋体" w:eastAsia="黑体"/>
          <w:sz w:val="32"/>
          <w:szCs w:val="32"/>
          <w:lang w:val="zh-CN"/>
        </w:rPr>
      </w:pPr>
      <w:bookmarkStart w:id="89" w:name="_Toc25096"/>
      <w:r>
        <w:rPr>
          <w:rFonts w:hint="eastAsia" w:ascii="黑体" w:hAnsi="宋体" w:eastAsia="黑体"/>
          <w:sz w:val="32"/>
          <w:szCs w:val="32"/>
        </w:rPr>
        <w:t>一、</w:t>
      </w:r>
      <w:r>
        <w:rPr>
          <w:rFonts w:hint="eastAsia" w:ascii="黑体" w:hAnsi="宋体" w:eastAsia="黑体"/>
          <w:sz w:val="32"/>
          <w:szCs w:val="32"/>
          <w:lang w:val="zh-CN"/>
        </w:rPr>
        <w:t>项目概况</w:t>
      </w:r>
      <w:bookmarkEnd w:id="89"/>
    </w:p>
    <w:p>
      <w:pPr>
        <w:pageBreakBefore w:val="0"/>
        <w:kinsoku/>
        <w:wordWrap/>
        <w:overflowPunct/>
        <w:topLinePunct w:val="0"/>
        <w:bidi w:val="0"/>
        <w:adjustRightInd w:val="0"/>
        <w:snapToGrid w:val="0"/>
        <w:spacing w:line="353" w:lineRule="auto"/>
        <w:ind w:left="0" w:right="0"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1．说明项目主管部门（单位）在该项目管理中的职能。</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ascii="仿宋" w:hAnsi="仿宋" w:eastAsia="仿宋" w:cs="仿宋_GB2312"/>
          <w:kern w:val="0"/>
          <w:sz w:val="32"/>
          <w:szCs w:val="32"/>
          <w:shd w:val="clear" w:color="auto" w:fill="FFFFFF"/>
          <w:lang w:val="zh-CN"/>
        </w:rPr>
      </w:pPr>
      <w:r>
        <w:rPr>
          <w:rFonts w:hint="eastAsia" w:ascii="仿宋" w:hAnsi="仿宋" w:eastAsia="仿宋"/>
          <w:sz w:val="32"/>
          <w:szCs w:val="32"/>
          <w:lang w:val="zh-CN"/>
        </w:rPr>
        <w:t>西区</w:t>
      </w:r>
      <w:r>
        <w:rPr>
          <w:rFonts w:hint="eastAsia" w:ascii="仿宋" w:hAnsi="仿宋" w:eastAsia="仿宋"/>
          <w:sz w:val="32"/>
          <w:szCs w:val="32"/>
        </w:rPr>
        <w:t>行政审批局</w:t>
      </w:r>
      <w:r>
        <w:rPr>
          <w:rFonts w:hint="eastAsia" w:ascii="仿宋" w:hAnsi="仿宋" w:eastAsia="仿宋"/>
          <w:sz w:val="32"/>
          <w:szCs w:val="32"/>
          <w:lang w:val="zh-CN"/>
        </w:rPr>
        <w:t>是该项目的具体实施主体。</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2．项目立项、资金申报的依据，</w:t>
      </w:r>
      <w:r>
        <w:rPr>
          <w:rFonts w:hint="eastAsia" w:ascii="仿宋_GB2312" w:hAnsi="仿宋_GB2312" w:eastAsia="仿宋_GB2312" w:cs="仿宋_GB2312"/>
          <w:kern w:val="0"/>
          <w:sz w:val="32"/>
          <w:szCs w:val="32"/>
          <w:shd w:val="clear" w:color="auto" w:fill="FFFFFF"/>
        </w:rPr>
        <w:t>包括但不限于</w:t>
      </w:r>
      <w:r>
        <w:rPr>
          <w:rFonts w:hint="eastAsia" w:ascii="仿宋_GB2312" w:hAnsi="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rPr>
        <w:t>项目涉及</w:t>
      </w:r>
      <w:r>
        <w:rPr>
          <w:rFonts w:hint="eastAsia" w:ascii="仿宋_GB2312" w:hAnsi="仿宋_GB2312" w:cs="仿宋_GB2312"/>
          <w:kern w:val="0"/>
          <w:sz w:val="32"/>
          <w:szCs w:val="32"/>
          <w:shd w:val="clear" w:color="auto" w:fill="FFFFFF"/>
        </w:rPr>
        <w:t>的中省</w:t>
      </w:r>
      <w:r>
        <w:rPr>
          <w:rFonts w:hint="eastAsia" w:ascii="仿宋_GB2312" w:hAnsi="仿宋_GB2312" w:eastAsia="仿宋_GB2312" w:cs="仿宋_GB2312"/>
          <w:kern w:val="0"/>
          <w:sz w:val="32"/>
          <w:szCs w:val="32"/>
          <w:shd w:val="clear" w:color="auto" w:fill="FFFFFF"/>
        </w:rPr>
        <w:t>相关政策文件</w:t>
      </w:r>
      <w:r>
        <w:rPr>
          <w:rFonts w:hint="eastAsia" w:ascii="仿宋_GB2312" w:hAnsi="仿宋_GB2312" w:cs="仿宋_GB2312"/>
          <w:kern w:val="0"/>
          <w:sz w:val="32"/>
          <w:szCs w:val="32"/>
          <w:shd w:val="clear" w:color="auto" w:fill="FFFFFF"/>
        </w:rPr>
        <w:t>和</w:t>
      </w:r>
      <w:r>
        <w:rPr>
          <w:rFonts w:hint="eastAsia" w:ascii="仿宋_GB2312" w:hAnsi="仿宋_GB2312" w:eastAsia="仿宋_GB2312" w:cs="仿宋_GB2312"/>
          <w:kern w:val="0"/>
          <w:sz w:val="32"/>
          <w:szCs w:val="32"/>
          <w:shd w:val="clear" w:color="auto" w:fill="FFFFFF"/>
        </w:rPr>
        <w:t>规划</w:t>
      </w:r>
      <w:r>
        <w:rPr>
          <w:rFonts w:hint="eastAsia" w:ascii="仿宋_GB2312" w:hAnsi="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rPr>
        <w:t>项目设立论证资料</w:t>
      </w:r>
      <w:r>
        <w:rPr>
          <w:rFonts w:hint="eastAsia" w:ascii="仿宋_GB2312" w:hAnsi="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rPr>
        <w:t>资金安排相关文件</w:t>
      </w:r>
      <w:r>
        <w:rPr>
          <w:rFonts w:hint="eastAsia" w:ascii="仿宋_GB2312" w:hAnsi="仿宋_GB2312" w:cs="仿宋_GB2312"/>
          <w:kern w:val="0"/>
          <w:sz w:val="32"/>
          <w:szCs w:val="32"/>
          <w:shd w:val="clear" w:color="auto" w:fill="FFFFFF"/>
        </w:rPr>
        <w:t>等</w:t>
      </w:r>
      <w:r>
        <w:rPr>
          <w:rFonts w:hint="eastAsia" w:ascii="仿宋_GB2312" w:hAnsi="仿宋_GB2312" w:eastAsia="仿宋_GB2312" w:cs="仿宋_GB2312"/>
          <w:kern w:val="0"/>
          <w:sz w:val="32"/>
          <w:szCs w:val="32"/>
          <w:shd w:val="clear" w:color="auto" w:fill="FFFFFF"/>
        </w:rPr>
        <w:t>。附相关文件资料</w:t>
      </w:r>
      <w:r>
        <w:rPr>
          <w:rFonts w:hint="eastAsia" w:ascii="仿宋_GB2312" w:hAnsi="仿宋_GB2312" w:eastAsia="仿宋_GB2312" w:cs="仿宋_GB2312"/>
          <w:kern w:val="0"/>
          <w:sz w:val="32"/>
          <w:szCs w:val="32"/>
          <w:shd w:val="clear" w:color="auto" w:fill="FFFFFF"/>
          <w:lang w:val="zh-CN"/>
        </w:rPr>
        <w:t>。</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ascii="仿宋" w:hAnsi="仿宋" w:eastAsia="仿宋" w:cs="仿宋_GB2312"/>
          <w:kern w:val="0"/>
          <w:sz w:val="32"/>
          <w:szCs w:val="32"/>
          <w:shd w:val="clear" w:color="auto" w:fill="FFFFFF"/>
          <w:lang w:val="zh-CN"/>
        </w:rPr>
      </w:pPr>
      <w:r>
        <w:rPr>
          <w:rFonts w:hint="eastAsia" w:ascii="仿宋" w:hAnsi="仿宋" w:eastAsia="仿宋"/>
          <w:sz w:val="32"/>
          <w:szCs w:val="32"/>
        </w:rPr>
        <w:t>根据西区行政审批局的基本职能职责，按工作需求编制预算，</w:t>
      </w:r>
      <w:r>
        <w:rPr>
          <w:rFonts w:hint="eastAsia" w:ascii="仿宋" w:hAnsi="仿宋" w:eastAsia="仿宋"/>
          <w:sz w:val="32"/>
          <w:szCs w:val="32"/>
          <w:lang w:val="zh-CN"/>
        </w:rPr>
        <w:t>经费</w:t>
      </w:r>
      <w:r>
        <w:rPr>
          <w:rFonts w:hint="eastAsia" w:ascii="仿宋" w:hAnsi="仿宋" w:eastAsia="仿宋"/>
          <w:sz w:val="32"/>
          <w:szCs w:val="32"/>
        </w:rPr>
        <w:t>34.36万</w:t>
      </w:r>
      <w:r>
        <w:rPr>
          <w:rFonts w:hint="eastAsia" w:ascii="仿宋" w:hAnsi="仿宋" w:eastAsia="仿宋"/>
          <w:sz w:val="32"/>
          <w:szCs w:val="32"/>
          <w:lang w:val="zh-CN"/>
        </w:rPr>
        <w:t>元</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3．资金</w:t>
      </w:r>
      <w:r>
        <w:rPr>
          <w:rFonts w:hint="eastAsia" w:ascii="仿宋_GB2312" w:hAnsi="仿宋_GB2312" w:eastAsia="仿宋_GB2312" w:cs="仿宋_GB2312"/>
          <w:kern w:val="0"/>
          <w:sz w:val="32"/>
          <w:szCs w:val="32"/>
          <w:shd w:val="clear" w:color="auto" w:fill="FFFFFF"/>
        </w:rPr>
        <w:t>或项目</w:t>
      </w:r>
      <w:r>
        <w:rPr>
          <w:rFonts w:hint="eastAsia" w:ascii="仿宋_GB2312" w:hAnsi="仿宋_GB2312" w:eastAsia="仿宋_GB2312" w:cs="仿宋_GB2312"/>
          <w:kern w:val="0"/>
          <w:sz w:val="32"/>
          <w:szCs w:val="32"/>
          <w:shd w:val="clear" w:color="auto" w:fill="FFFFFF"/>
          <w:lang w:val="zh-CN"/>
        </w:rPr>
        <w:t>管理办法制定情况，资金支持具体项目的条件、范围与支持方式概况。</w:t>
      </w:r>
      <w:r>
        <w:rPr>
          <w:rFonts w:hint="eastAsia" w:ascii="仿宋_GB2312" w:hAnsi="仿宋_GB2312" w:eastAsia="仿宋_GB2312" w:cs="仿宋_GB2312"/>
          <w:kern w:val="0"/>
          <w:sz w:val="32"/>
          <w:szCs w:val="32"/>
          <w:shd w:val="clear" w:color="auto" w:fill="FFFFFF"/>
        </w:rPr>
        <w:t>附资金或项目管理办法。</w:t>
      </w:r>
    </w:p>
    <w:p>
      <w:pPr>
        <w:pageBreakBefore w:val="0"/>
        <w:kinsoku/>
        <w:wordWrap/>
        <w:overflowPunct/>
        <w:topLinePunct w:val="0"/>
        <w:bidi w:val="0"/>
        <w:adjustRightInd w:val="0"/>
        <w:snapToGrid w:val="0"/>
        <w:spacing w:line="353" w:lineRule="auto"/>
        <w:ind w:left="0" w:right="0"/>
        <w:textAlignment w:val="auto"/>
        <w:rPr>
          <w:rFonts w:ascii="仿宋" w:hAnsi="仿宋" w:eastAsia="仿宋"/>
          <w:sz w:val="32"/>
          <w:szCs w:val="32"/>
        </w:rPr>
      </w:pPr>
      <w:r>
        <w:rPr>
          <w:rFonts w:ascii="仿宋" w:hAnsi="仿宋" w:eastAsia="仿宋"/>
          <w:sz w:val="32"/>
          <w:szCs w:val="32"/>
        </w:rPr>
        <w:t>（1）制度制定情况。为加强对财政资金的管理，不断提高使用绩效，按照内部控制建设要求，制定了财务管理制度，在资金使用上，严格按照资金使用用途进行审核审批，项目管理规范有序，确保资金使用安全。</w:t>
      </w:r>
    </w:p>
    <w:p>
      <w:pPr>
        <w:pageBreakBefore w:val="0"/>
        <w:kinsoku/>
        <w:wordWrap/>
        <w:overflowPunct/>
        <w:topLinePunct w:val="0"/>
        <w:bidi w:val="0"/>
        <w:adjustRightInd w:val="0"/>
        <w:snapToGrid w:val="0"/>
        <w:spacing w:line="353" w:lineRule="auto"/>
        <w:ind w:left="0" w:right="0"/>
        <w:jc w:val="left"/>
        <w:textAlignment w:val="auto"/>
        <w:rPr>
          <w:rFonts w:ascii="仿宋" w:hAnsi="仿宋" w:eastAsia="仿宋"/>
          <w:sz w:val="32"/>
          <w:szCs w:val="32"/>
        </w:rPr>
      </w:pPr>
      <w:r>
        <w:rPr>
          <w:rFonts w:ascii="仿宋" w:hAnsi="仿宋" w:eastAsia="仿宋"/>
          <w:sz w:val="32"/>
          <w:szCs w:val="32"/>
        </w:rPr>
        <w:t xml:space="preserve">   （2）资金支持项目的条件。</w:t>
      </w:r>
      <w:r>
        <w:rPr>
          <w:rFonts w:hint="eastAsia" w:ascii="仿宋" w:hAnsi="仿宋" w:eastAsia="仿宋"/>
          <w:sz w:val="32"/>
          <w:szCs w:val="32"/>
        </w:rPr>
        <w:t>西区政务服务大厅，总面积4400平方米，共入驻30个部门（单位），其中区级部门25个（含8个综合窗口部门）、市级部门5个（市交通运输管理处、市交通运输综合行政执法支队、市公积金管理中心、市公交公司、市商业银行），设办事窗口49个，有窗口工作人员60余人，局机关管理人员18人。政务大厅日均人流量1000余人次。政务服务大厅面积较大，涉及单位、部门多，工作人员集中，办事群众密集，涉及安保、保洁、消防等相关工作。大厅设施设备使用频率极高，需对政务服务大厅中央空调、网络维护、</w:t>
      </w:r>
      <w:r>
        <w:rPr>
          <w:rFonts w:hint="eastAsia" w:ascii="仿宋" w:hAnsi="仿宋" w:eastAsia="仿宋"/>
          <w:sz w:val="32"/>
          <w:szCs w:val="32"/>
          <w:lang w:eastAsia="zh-CN"/>
        </w:rPr>
        <w:t>电话通信</w:t>
      </w:r>
      <w:r>
        <w:rPr>
          <w:rFonts w:hint="eastAsia" w:ascii="仿宋" w:hAnsi="仿宋" w:eastAsia="仿宋"/>
          <w:sz w:val="32"/>
          <w:szCs w:val="32"/>
        </w:rPr>
        <w:t>、租赁绿植等进行专业化的日常管理和维护维修。由于工作人员多、办事群众多，相应的办公耗材需求量较大，保证大厅日常运行经费需求较高。同时，为进一步深化“放管服”改革，推进政务服务向基层延伸，西区行政审批局根据省、市部署稳步推进相对集中行政审批制度改革，持续开展政务服务对标行动，启动“省级政务服务标准化试点”创建和完善镇村便民服务体系“三化”试点工作，为西区经济社会持续健康发展营造更加优质、高效的政务服务</w:t>
      </w:r>
      <w:r>
        <w:rPr>
          <w:rFonts w:ascii="仿宋" w:hAnsi="仿宋" w:eastAsia="仿宋"/>
          <w:sz w:val="32"/>
          <w:szCs w:val="32"/>
        </w:rPr>
        <w:t>。</w:t>
      </w:r>
    </w:p>
    <w:p>
      <w:pPr>
        <w:pageBreakBefore w:val="0"/>
        <w:kinsoku/>
        <w:wordWrap/>
        <w:overflowPunct/>
        <w:topLinePunct w:val="0"/>
        <w:bidi w:val="0"/>
        <w:adjustRightInd w:val="0"/>
        <w:snapToGrid w:val="0"/>
        <w:spacing w:line="353" w:lineRule="auto"/>
        <w:ind w:left="0" w:right="0"/>
        <w:textAlignment w:val="auto"/>
        <w:rPr>
          <w:rFonts w:ascii="仿宋" w:hAnsi="仿宋" w:eastAsia="仿宋"/>
          <w:sz w:val="32"/>
          <w:szCs w:val="32"/>
        </w:rPr>
      </w:pPr>
      <w:r>
        <w:rPr>
          <w:rFonts w:ascii="仿宋" w:hAnsi="仿宋" w:eastAsia="仿宋"/>
          <w:sz w:val="32"/>
          <w:szCs w:val="32"/>
        </w:rPr>
        <w:t xml:space="preserve">   （3）资金支付项目的范围。</w:t>
      </w:r>
      <w:r>
        <w:rPr>
          <w:rFonts w:hint="eastAsia" w:ascii="仿宋" w:hAnsi="仿宋" w:eastAsia="仿宋"/>
          <w:sz w:val="32"/>
          <w:szCs w:val="32"/>
        </w:rPr>
        <w:t>按照专项管理和财务制度执行。保障网络、中央空调等基础设施设备维修维护，办公绿化、饮用水等日常工作运行</w:t>
      </w:r>
      <w:r>
        <w:rPr>
          <w:rFonts w:ascii="仿宋" w:hAnsi="仿宋" w:eastAsia="仿宋"/>
          <w:sz w:val="32"/>
          <w:szCs w:val="32"/>
        </w:rPr>
        <w:t>。</w:t>
      </w:r>
    </w:p>
    <w:p>
      <w:pPr>
        <w:pageBreakBefore w:val="0"/>
        <w:widowControl/>
        <w:kinsoku/>
        <w:wordWrap/>
        <w:overflowPunct/>
        <w:topLinePunct w:val="0"/>
        <w:bidi w:val="0"/>
        <w:adjustRightInd w:val="0"/>
        <w:snapToGrid w:val="0"/>
        <w:spacing w:line="353" w:lineRule="auto"/>
        <w:ind w:left="0" w:right="0"/>
        <w:contextualSpacing/>
        <w:jc w:val="both"/>
        <w:textAlignment w:val="auto"/>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（4）资金支持的方式。纳入财政年度</w:t>
      </w:r>
      <w:r>
        <w:rPr>
          <w:rFonts w:hint="eastAsia" w:ascii="仿宋" w:hAnsi="仿宋" w:eastAsia="仿宋"/>
          <w:sz w:val="32"/>
          <w:szCs w:val="32"/>
          <w:lang w:eastAsia="zh-CN"/>
        </w:rPr>
        <w:t>政府性基金预算</w:t>
      </w:r>
      <w:r>
        <w:rPr>
          <w:rFonts w:ascii="仿宋" w:hAnsi="仿宋" w:eastAsia="仿宋"/>
          <w:sz w:val="32"/>
          <w:szCs w:val="32"/>
        </w:rPr>
        <w:t>管理</w:t>
      </w:r>
      <w:r>
        <w:rPr>
          <w:rFonts w:hint="eastAsia" w:ascii="仿宋" w:hAnsi="仿宋" w:eastAsia="仿宋"/>
          <w:sz w:val="32"/>
          <w:szCs w:val="32"/>
        </w:rPr>
        <w:t>。</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4．资金分配的原则及考虑因素。</w:t>
      </w:r>
    </w:p>
    <w:p>
      <w:pPr>
        <w:pageBreakBefore w:val="0"/>
        <w:kinsoku/>
        <w:wordWrap/>
        <w:overflowPunct/>
        <w:topLinePunct w:val="0"/>
        <w:bidi w:val="0"/>
        <w:adjustRightInd w:val="0"/>
        <w:snapToGrid w:val="0"/>
        <w:spacing w:line="353" w:lineRule="auto"/>
        <w:ind w:left="0" w:right="0" w:firstLine="720"/>
        <w:textAlignment w:val="auto"/>
        <w:rPr>
          <w:rFonts w:ascii="仿宋" w:hAnsi="仿宋" w:eastAsia="仿宋"/>
          <w:sz w:val="32"/>
          <w:szCs w:val="32"/>
        </w:rPr>
      </w:pPr>
      <w:r>
        <w:rPr>
          <w:rFonts w:hint="eastAsia" w:ascii="仿宋" w:hAnsi="仿宋" w:eastAsia="仿宋"/>
          <w:sz w:val="32"/>
          <w:szCs w:val="32"/>
        </w:rPr>
        <w:t>严格执行相关政策，按文件要求规范合理支付各项经费，圆满完成年度目标任务。</w:t>
      </w:r>
    </w:p>
    <w:p>
      <w:pPr>
        <w:pageBreakBefore w:val="0"/>
        <w:kinsoku/>
        <w:wordWrap/>
        <w:overflowPunct/>
        <w:topLinePunct w:val="0"/>
        <w:bidi w:val="0"/>
        <w:adjustRightInd w:val="0"/>
        <w:snapToGrid w:val="0"/>
        <w:spacing w:line="353" w:lineRule="auto"/>
        <w:ind w:left="0" w:right="0"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1．项目主要内容。</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主要用于保障网络、中央空调等基础设施设备维修维护，办公绿化、饮用水等日常工作运行。</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2．项目应实现的具体绩效目标，</w:t>
      </w:r>
      <w:r>
        <w:rPr>
          <w:rFonts w:hint="eastAsia" w:ascii="仿宋_GB2312" w:hAnsi="仿宋_GB2312" w:eastAsia="仿宋_GB2312" w:cs="仿宋_GB2312"/>
          <w:kern w:val="0"/>
          <w:sz w:val="32"/>
          <w:szCs w:val="32"/>
          <w:shd w:val="clear" w:color="auto" w:fill="FFFFFF"/>
        </w:rPr>
        <w:t>包括但不限于</w:t>
      </w:r>
      <w:r>
        <w:rPr>
          <w:rFonts w:hint="eastAsia" w:ascii="仿宋_GB2312" w:hAnsi="仿宋_GB2312" w:cs="仿宋_GB2312"/>
          <w:kern w:val="0"/>
          <w:sz w:val="32"/>
          <w:szCs w:val="32"/>
          <w:shd w:val="clear" w:color="auto" w:fill="FFFFFF"/>
        </w:rPr>
        <w:t>：绩效</w:t>
      </w:r>
      <w:r>
        <w:rPr>
          <w:rFonts w:hint="eastAsia" w:ascii="仿宋_GB2312" w:hAnsi="仿宋_GB2312" w:eastAsia="仿宋_GB2312" w:cs="仿宋_GB2312"/>
          <w:kern w:val="0"/>
          <w:sz w:val="32"/>
          <w:szCs w:val="32"/>
          <w:shd w:val="clear" w:color="auto" w:fill="FFFFFF"/>
          <w:lang w:val="zh-CN"/>
        </w:rPr>
        <w:t>目标的量化细化情况</w:t>
      </w:r>
      <w:r>
        <w:rPr>
          <w:rFonts w:hint="eastAsia" w:ascii="仿宋_GB2312" w:hAnsi="仿宋_GB2312" w:cs="仿宋_GB2312"/>
          <w:kern w:val="0"/>
          <w:sz w:val="32"/>
          <w:szCs w:val="32"/>
          <w:shd w:val="clear" w:color="auto" w:fill="FFFFFF"/>
          <w:lang w:val="zh-CN"/>
        </w:rPr>
        <w:t>、</w:t>
      </w:r>
      <w:r>
        <w:rPr>
          <w:rFonts w:hint="eastAsia" w:ascii="仿宋_GB2312" w:hAnsi="仿宋_GB2312" w:eastAsia="仿宋_GB2312" w:cs="仿宋_GB2312"/>
          <w:kern w:val="0"/>
          <w:sz w:val="32"/>
          <w:szCs w:val="32"/>
          <w:shd w:val="clear" w:color="auto" w:fill="FFFFFF"/>
          <w:lang w:val="zh-CN"/>
        </w:rPr>
        <w:t>项目实施进度计划等。</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网络、中央空调等基础设施设备维修维护，办公绿化、饮用水</w:t>
      </w:r>
      <w:r>
        <w:rPr>
          <w:rFonts w:hint="eastAsia" w:ascii="仿宋" w:hAnsi="仿宋" w:eastAsia="仿宋"/>
          <w:sz w:val="32"/>
          <w:szCs w:val="32"/>
        </w:rPr>
        <w:t>等方面，此项目已按照计划认真落实。</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3．分析评价申报内容是否与实际相符，申报目标是否合理可行。</w:t>
      </w:r>
    </w:p>
    <w:p>
      <w:pPr>
        <w:pageBreakBefore w:val="0"/>
        <w:kinsoku/>
        <w:wordWrap/>
        <w:overflowPunct/>
        <w:topLinePunct w:val="0"/>
        <w:bidi w:val="0"/>
        <w:adjustRightInd w:val="0"/>
        <w:snapToGrid w:val="0"/>
        <w:spacing w:line="353" w:lineRule="auto"/>
        <w:ind w:left="0" w:right="0" w:firstLine="720"/>
        <w:textAlignment w:val="auto"/>
        <w:rPr>
          <w:rFonts w:ascii="仿宋" w:hAnsi="仿宋" w:eastAsia="仿宋"/>
          <w:b/>
          <w:sz w:val="32"/>
          <w:szCs w:val="32"/>
          <w:lang w:val="zh-CN"/>
        </w:rPr>
      </w:pPr>
      <w:r>
        <w:rPr>
          <w:rFonts w:hint="eastAsia" w:ascii="仿宋" w:hAnsi="仿宋" w:eastAsia="仿宋"/>
          <w:sz w:val="32"/>
          <w:szCs w:val="32"/>
          <w:lang w:val="zh-CN"/>
        </w:rPr>
        <w:t>通过自评，申报内容与实际相符，申报目标合理可行。</w:t>
      </w:r>
    </w:p>
    <w:p>
      <w:pPr>
        <w:pageBreakBefore w:val="0"/>
        <w:kinsoku/>
        <w:wordWrap/>
        <w:overflowPunct/>
        <w:topLinePunct w:val="0"/>
        <w:bidi w:val="0"/>
        <w:adjustRightInd w:val="0"/>
        <w:snapToGrid w:val="0"/>
        <w:spacing w:line="353" w:lineRule="auto"/>
        <w:ind w:left="0" w:right="0"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ascii="仿宋" w:hAnsi="仿宋" w:eastAsia="仿宋" w:cs="仿宋_GB2312"/>
          <w:kern w:val="0"/>
          <w:sz w:val="32"/>
          <w:szCs w:val="32"/>
          <w:shd w:val="clear" w:color="auto" w:fill="FFFFFF"/>
          <w:lang w:val="zh-CN"/>
        </w:rPr>
      </w:pPr>
      <w:r>
        <w:rPr>
          <w:rFonts w:hint="eastAsia" w:ascii="仿宋" w:hAnsi="仿宋" w:eastAsia="仿宋"/>
          <w:sz w:val="32"/>
          <w:szCs w:val="32"/>
        </w:rPr>
        <w:t>一是通过大厅日常运行及效果进行评价；二是从执行的单位满意度进行评价</w:t>
      </w:r>
      <w:r>
        <w:rPr>
          <w:rFonts w:hint="eastAsia" w:ascii="仿宋" w:hAnsi="仿宋" w:eastAsia="仿宋" w:cs="仿宋_GB2312"/>
          <w:kern w:val="0"/>
          <w:sz w:val="32"/>
          <w:szCs w:val="32"/>
          <w:shd w:val="clear" w:color="auto" w:fill="FFFFFF"/>
          <w:lang w:val="zh-CN"/>
        </w:rPr>
        <w:t>。</w:t>
      </w:r>
    </w:p>
    <w:p>
      <w:pPr>
        <w:pageBreakBefore w:val="0"/>
        <w:kinsoku/>
        <w:wordWrap/>
        <w:overflowPunct/>
        <w:topLinePunct w:val="0"/>
        <w:bidi w:val="0"/>
        <w:adjustRightInd w:val="0"/>
        <w:snapToGrid w:val="0"/>
        <w:spacing w:line="353" w:lineRule="auto"/>
        <w:ind w:left="0" w:right="0" w:firstLine="720"/>
        <w:textAlignment w:val="auto"/>
        <w:outlineLvl w:val="1"/>
        <w:rPr>
          <w:rFonts w:ascii="黑体" w:hAnsi="宋体" w:eastAsia="黑体"/>
          <w:sz w:val="32"/>
          <w:szCs w:val="32"/>
        </w:rPr>
      </w:pPr>
      <w:bookmarkStart w:id="90" w:name="_Toc20360"/>
      <w:r>
        <w:rPr>
          <w:rFonts w:hint="eastAsia" w:ascii="黑体" w:hAnsi="宋体" w:eastAsia="黑体"/>
          <w:sz w:val="32"/>
          <w:szCs w:val="32"/>
        </w:rPr>
        <w:t>二、项目资金申报及使用情况</w:t>
      </w:r>
      <w:bookmarkEnd w:id="90"/>
    </w:p>
    <w:p>
      <w:pPr>
        <w:pageBreakBefore w:val="0"/>
        <w:kinsoku/>
        <w:wordWrap/>
        <w:overflowPunct/>
        <w:topLinePunct w:val="0"/>
        <w:bidi w:val="0"/>
        <w:adjustRightInd w:val="0"/>
        <w:snapToGrid w:val="0"/>
        <w:spacing w:line="353" w:lineRule="auto"/>
        <w:ind w:left="0" w:right="0"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ascii="仿宋" w:hAnsi="仿宋" w:eastAsia="仿宋" w:cs="仿宋_GB2312"/>
          <w:kern w:val="0"/>
          <w:sz w:val="32"/>
          <w:szCs w:val="32"/>
          <w:shd w:val="clear" w:color="auto" w:fill="FFFFFF"/>
          <w:lang w:val="zh-CN"/>
        </w:rPr>
      </w:pPr>
      <w:r>
        <w:rPr>
          <w:rFonts w:hint="eastAsia" w:ascii="仿宋" w:hAnsi="仿宋" w:eastAsia="仿宋"/>
          <w:sz w:val="32"/>
          <w:szCs w:val="32"/>
          <w:lang w:val="zh-CN"/>
        </w:rPr>
        <w:t>该项目在上年末进行预算工作时申报，年初西区财政局下达批复及下达经费等事宜</w:t>
      </w:r>
      <w:r>
        <w:rPr>
          <w:rFonts w:hint="eastAsia" w:ascii="仿宋" w:hAnsi="仿宋" w:eastAsia="仿宋" w:cs="仿宋_GB2312"/>
          <w:kern w:val="0"/>
          <w:sz w:val="32"/>
          <w:szCs w:val="32"/>
          <w:shd w:val="clear" w:color="auto" w:fill="FFFFFF"/>
          <w:lang w:val="zh-CN"/>
        </w:rPr>
        <w:t>。</w:t>
      </w:r>
    </w:p>
    <w:p>
      <w:pPr>
        <w:pageBreakBefore w:val="0"/>
        <w:kinsoku/>
        <w:wordWrap/>
        <w:overflowPunct/>
        <w:topLinePunct w:val="0"/>
        <w:bidi w:val="0"/>
        <w:adjustRightInd w:val="0"/>
        <w:snapToGrid w:val="0"/>
        <w:spacing w:line="353" w:lineRule="auto"/>
        <w:ind w:left="0" w:right="0" w:firstLine="720"/>
        <w:textAlignment w:val="auto"/>
        <w:rPr>
          <w:rFonts w:ascii="仿宋_GB2312" w:hAnsi="宋体"/>
          <w:sz w:val="32"/>
          <w:szCs w:val="32"/>
          <w:lang w:val="zh-CN"/>
        </w:rPr>
      </w:pPr>
      <w:r>
        <w:rPr>
          <w:rFonts w:hint="eastAsia" w:ascii="楷体_GB2312" w:hAnsi="宋体" w:eastAsia="楷体_GB2312"/>
          <w:b/>
          <w:sz w:val="32"/>
          <w:szCs w:val="32"/>
          <w:lang w:val="zh-CN"/>
        </w:rPr>
        <w:t>（二）资金计划、到位及使用情况</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1．资金计划。</w:t>
      </w:r>
      <w:r>
        <w:rPr>
          <w:rFonts w:hint="eastAsia" w:ascii="仿宋" w:hAnsi="仿宋" w:eastAsia="仿宋"/>
          <w:sz w:val="32"/>
          <w:szCs w:val="32"/>
          <w:lang w:val="zh-CN"/>
        </w:rPr>
        <w:t>该项目为区级预算项目经费。</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ascii="仿宋" w:hAnsi="仿宋" w:eastAsia="仿宋"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2．资金到位。</w:t>
      </w:r>
      <w:r>
        <w:rPr>
          <w:rFonts w:hint="eastAsia" w:ascii="仿宋" w:hAnsi="仿宋" w:eastAsia="仿宋"/>
          <w:sz w:val="32"/>
          <w:szCs w:val="32"/>
          <w:lang w:val="zh-CN"/>
        </w:rPr>
        <w:t>已全部到位</w:t>
      </w:r>
      <w:r>
        <w:rPr>
          <w:rFonts w:hint="eastAsia" w:ascii="仿宋_GB2312" w:hAnsi="仿宋_GB2312" w:eastAsia="仿宋_GB2312" w:cs="仿宋_GB2312"/>
          <w:kern w:val="0"/>
          <w:sz w:val="32"/>
          <w:szCs w:val="32"/>
          <w:shd w:val="clear" w:color="auto" w:fill="FFFFFF"/>
          <w:lang w:val="zh-CN"/>
        </w:rPr>
        <w:t>。</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hint="eastAsia" w:eastAsia="仿宋_GB2312"/>
          <w:sz w:val="32"/>
          <w:szCs w:val="32"/>
        </w:rPr>
      </w:pPr>
      <w:r>
        <w:rPr>
          <w:rFonts w:hint="eastAsia" w:ascii="仿宋_GB2312" w:hAnsi="仿宋_GB2312" w:eastAsia="仿宋_GB2312" w:cs="仿宋_GB2312"/>
          <w:kern w:val="0"/>
          <w:sz w:val="32"/>
          <w:szCs w:val="32"/>
          <w:shd w:val="clear" w:color="auto" w:fill="FFFFFF"/>
          <w:lang w:val="zh-CN"/>
        </w:rPr>
        <w:t>3．资金使用。</w:t>
      </w:r>
      <w:r>
        <w:rPr>
          <w:rFonts w:hint="eastAsia" w:ascii="仿宋" w:hAnsi="仿宋" w:eastAsia="仿宋"/>
          <w:sz w:val="32"/>
          <w:szCs w:val="32"/>
        </w:rPr>
        <w:t>本单位根据工作开展情况支付，</w:t>
      </w:r>
      <w:r>
        <w:rPr>
          <w:rFonts w:ascii="仿宋" w:hAnsi="仿宋" w:eastAsia="仿宋"/>
          <w:sz w:val="32"/>
          <w:szCs w:val="32"/>
        </w:rPr>
        <w:t>该项目资金202</w:t>
      </w:r>
      <w:r>
        <w:rPr>
          <w:rFonts w:hint="eastAsia" w:ascii="仿宋" w:hAnsi="仿宋" w:eastAsia="仿宋"/>
          <w:sz w:val="32"/>
          <w:szCs w:val="32"/>
        </w:rPr>
        <w:t>2</w:t>
      </w:r>
      <w:r>
        <w:rPr>
          <w:rFonts w:ascii="仿宋" w:hAnsi="仿宋" w:eastAsia="仿宋"/>
          <w:sz w:val="32"/>
          <w:szCs w:val="32"/>
        </w:rPr>
        <w:t>年已使用</w:t>
      </w:r>
      <w:r>
        <w:rPr>
          <w:rFonts w:hint="eastAsia" w:ascii="仿宋" w:hAnsi="仿宋" w:eastAsia="仿宋"/>
          <w:sz w:val="32"/>
          <w:szCs w:val="32"/>
        </w:rPr>
        <w:t>34.36</w:t>
      </w:r>
      <w:r>
        <w:rPr>
          <w:rFonts w:ascii="仿宋" w:hAnsi="仿宋" w:eastAsia="仿宋"/>
          <w:sz w:val="32"/>
          <w:szCs w:val="32"/>
        </w:rPr>
        <w:t>万元。资金的支付范围、支付标准、支付依据等合规合法</w:t>
      </w:r>
      <w:r>
        <w:rPr>
          <w:rFonts w:hint="eastAsia" w:ascii="仿宋" w:hAnsi="仿宋" w:eastAsia="仿宋"/>
          <w:sz w:val="32"/>
          <w:szCs w:val="32"/>
        </w:rPr>
        <w:t>。</w:t>
      </w:r>
    </w:p>
    <w:p>
      <w:pPr>
        <w:pageBreakBefore w:val="0"/>
        <w:widowControl/>
        <w:kinsoku/>
        <w:wordWrap/>
        <w:overflowPunct/>
        <w:topLinePunct w:val="0"/>
        <w:bidi w:val="0"/>
        <w:adjustRightInd w:val="0"/>
        <w:snapToGrid w:val="0"/>
        <w:spacing w:line="353" w:lineRule="auto"/>
        <w:ind w:left="0" w:right="0" w:firstLine="643" w:firstLineChars="200"/>
        <w:contextualSpacing/>
        <w:jc w:val="left"/>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ascii="仿宋" w:hAnsi="仿宋" w:eastAsia="仿宋" w:cs="仿宋_GB2312"/>
          <w:kern w:val="0"/>
          <w:sz w:val="32"/>
          <w:szCs w:val="32"/>
          <w:shd w:val="clear" w:color="auto" w:fill="FFFFFF"/>
          <w:lang w:val="zh-CN"/>
        </w:rPr>
      </w:pPr>
      <w:r>
        <w:rPr>
          <w:rFonts w:ascii="仿宋" w:hAnsi="仿宋" w:eastAsia="仿宋"/>
          <w:sz w:val="32"/>
          <w:szCs w:val="32"/>
          <w:lang w:val="zh-CN"/>
        </w:rPr>
        <w:t>有健全的财务制度，项目预算、资金拨付严格按照财务管理制度进行管理。保证专款专用，资金发放复查由财务人员按照财务制度进行资金的审核、支付和核算，在具体支付时，手续是完善的，不存在虚假会计凭证的情况，会计严格执行财务管理制度，财务处理及时，核算规范</w:t>
      </w:r>
      <w:r>
        <w:rPr>
          <w:rFonts w:hint="eastAsia" w:ascii="仿宋" w:hAnsi="仿宋" w:eastAsia="仿宋" w:cs="仿宋_GB2312"/>
          <w:kern w:val="0"/>
          <w:sz w:val="32"/>
          <w:szCs w:val="32"/>
          <w:shd w:val="clear" w:color="auto" w:fill="FFFFFF"/>
          <w:lang w:val="zh-CN"/>
        </w:rPr>
        <w:t>。</w:t>
      </w:r>
    </w:p>
    <w:p>
      <w:pPr>
        <w:pageBreakBefore w:val="0"/>
        <w:kinsoku/>
        <w:wordWrap/>
        <w:overflowPunct/>
        <w:topLinePunct w:val="0"/>
        <w:bidi w:val="0"/>
        <w:adjustRightInd w:val="0"/>
        <w:snapToGrid w:val="0"/>
        <w:spacing w:line="353" w:lineRule="auto"/>
        <w:ind w:left="0" w:right="0" w:firstLine="720"/>
        <w:textAlignment w:val="auto"/>
        <w:outlineLvl w:val="1"/>
        <w:rPr>
          <w:rFonts w:ascii="黑体" w:hAnsi="宋体" w:eastAsia="黑体"/>
          <w:sz w:val="32"/>
          <w:szCs w:val="32"/>
        </w:rPr>
      </w:pPr>
      <w:bookmarkStart w:id="91" w:name="_Toc29644"/>
      <w:r>
        <w:rPr>
          <w:rFonts w:hint="eastAsia" w:ascii="黑体" w:hAnsi="宋体" w:eastAsia="黑体"/>
          <w:sz w:val="32"/>
          <w:szCs w:val="32"/>
        </w:rPr>
        <w:t>三、项目实施及管理情况</w:t>
      </w:r>
      <w:bookmarkEnd w:id="91"/>
    </w:p>
    <w:p>
      <w:pPr>
        <w:pageBreakBefore w:val="0"/>
        <w:kinsoku/>
        <w:wordWrap/>
        <w:overflowPunct/>
        <w:topLinePunct w:val="0"/>
        <w:bidi w:val="0"/>
        <w:adjustRightInd w:val="0"/>
        <w:snapToGrid w:val="0"/>
        <w:spacing w:line="353" w:lineRule="auto"/>
        <w:ind w:left="0" w:right="0"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pStyle w:val="15"/>
        <w:pageBreakBefore w:val="0"/>
        <w:widowControl/>
        <w:shd w:val="clear" w:color="auto" w:fill="FFFFFF"/>
        <w:kinsoku/>
        <w:wordWrap/>
        <w:overflowPunct/>
        <w:topLinePunct w:val="0"/>
        <w:bidi w:val="0"/>
        <w:adjustRightInd w:val="0"/>
        <w:snapToGrid w:val="0"/>
        <w:spacing w:beforeAutospacing="0" w:afterAutospacing="0" w:line="353" w:lineRule="auto"/>
        <w:ind w:left="0" w:right="0" w:firstLine="480"/>
        <w:textAlignment w:val="auto"/>
        <w:rPr>
          <w:rFonts w:ascii="仿宋" w:hAnsi="仿宋" w:eastAsia="仿宋"/>
          <w:kern w:val="2"/>
          <w:sz w:val="32"/>
          <w:szCs w:val="32"/>
          <w:lang w:val="zh-CN"/>
        </w:rPr>
      </w:pPr>
      <w:r>
        <w:rPr>
          <w:rFonts w:hint="eastAsia" w:ascii="仿宋" w:hAnsi="仿宋" w:eastAsia="仿宋"/>
          <w:kern w:val="2"/>
          <w:sz w:val="32"/>
          <w:szCs w:val="32"/>
          <w:lang w:val="zh-CN"/>
        </w:rPr>
        <w:t>1.根据预算项目批复，下达项目经费，预算单位进行项目实施计划。</w:t>
      </w:r>
    </w:p>
    <w:p>
      <w:pPr>
        <w:pStyle w:val="15"/>
        <w:pageBreakBefore w:val="0"/>
        <w:widowControl/>
        <w:shd w:val="clear" w:color="auto" w:fill="FFFFFF"/>
        <w:kinsoku/>
        <w:wordWrap/>
        <w:overflowPunct/>
        <w:topLinePunct w:val="0"/>
        <w:bidi w:val="0"/>
        <w:adjustRightInd w:val="0"/>
        <w:snapToGrid w:val="0"/>
        <w:spacing w:beforeAutospacing="0" w:afterAutospacing="0" w:line="353" w:lineRule="auto"/>
        <w:ind w:left="0" w:right="0"/>
        <w:textAlignment w:val="auto"/>
        <w:rPr>
          <w:rFonts w:ascii="仿宋" w:hAnsi="仿宋" w:eastAsia="仿宋"/>
          <w:kern w:val="2"/>
          <w:sz w:val="32"/>
          <w:szCs w:val="32"/>
          <w:lang w:val="zh-CN"/>
        </w:rPr>
      </w:pPr>
      <w:r>
        <w:rPr>
          <w:rFonts w:hint="eastAsia" w:ascii="仿宋" w:hAnsi="仿宋" w:eastAsia="仿宋"/>
          <w:kern w:val="2"/>
          <w:sz w:val="32"/>
          <w:szCs w:val="32"/>
          <w:lang w:val="zh-CN"/>
        </w:rPr>
        <w:t xml:space="preserve">   2.</w:t>
      </w:r>
      <w:r>
        <w:rPr>
          <w:rFonts w:ascii="仿宋" w:hAnsi="仿宋" w:eastAsia="仿宋"/>
          <w:kern w:val="2"/>
          <w:sz w:val="32"/>
          <w:szCs w:val="32"/>
          <w:lang w:val="zh-CN"/>
        </w:rPr>
        <w:t>拨付时根据工作完成情况，报分管领导审核同意，呈报单位主要负责人审批同意后支付</w:t>
      </w:r>
      <w:r>
        <w:rPr>
          <w:rFonts w:hint="eastAsia" w:ascii="仿宋" w:hAnsi="仿宋" w:eastAsia="仿宋"/>
          <w:kern w:val="2"/>
          <w:sz w:val="32"/>
          <w:szCs w:val="32"/>
          <w:lang w:val="zh-CN"/>
        </w:rPr>
        <w:t>。</w:t>
      </w:r>
    </w:p>
    <w:p>
      <w:pPr>
        <w:pageBreakBefore w:val="0"/>
        <w:kinsoku/>
        <w:wordWrap/>
        <w:overflowPunct/>
        <w:topLinePunct w:val="0"/>
        <w:bidi w:val="0"/>
        <w:adjustRightInd w:val="0"/>
        <w:snapToGrid w:val="0"/>
        <w:spacing w:line="353" w:lineRule="auto"/>
        <w:ind w:left="0" w:right="0" w:firstLine="720"/>
        <w:textAlignment w:val="auto"/>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（二）项目管理情况。</w:t>
      </w:r>
    </w:p>
    <w:p>
      <w:pPr>
        <w:pageBreakBefore w:val="0"/>
        <w:kinsoku/>
        <w:wordWrap/>
        <w:overflowPunct/>
        <w:topLinePunct w:val="0"/>
        <w:bidi w:val="0"/>
        <w:adjustRightInd w:val="0"/>
        <w:snapToGrid w:val="0"/>
        <w:spacing w:line="353" w:lineRule="auto"/>
        <w:ind w:left="0" w:right="0" w:firstLine="720"/>
        <w:textAlignment w:val="auto"/>
        <w:rPr>
          <w:rFonts w:ascii="仿宋" w:hAnsi="仿宋" w:eastAsia="仿宋"/>
          <w:b/>
          <w:sz w:val="32"/>
          <w:szCs w:val="32"/>
          <w:lang w:val="zh-CN"/>
        </w:rPr>
      </w:pPr>
      <w:r>
        <w:rPr>
          <w:rFonts w:hint="eastAsia" w:ascii="仿宋" w:hAnsi="仿宋" w:eastAsia="仿宋"/>
          <w:sz w:val="32"/>
          <w:szCs w:val="32"/>
          <w:lang w:val="zh-CN"/>
        </w:rPr>
        <w:t>项目是区财政纳入年度预算，严格按照项目要求及财经法律法规等要求落实的。</w:t>
      </w:r>
    </w:p>
    <w:p>
      <w:pPr>
        <w:pageBreakBefore w:val="0"/>
        <w:kinsoku/>
        <w:wordWrap/>
        <w:overflowPunct/>
        <w:topLinePunct w:val="0"/>
        <w:bidi w:val="0"/>
        <w:adjustRightInd w:val="0"/>
        <w:snapToGrid w:val="0"/>
        <w:spacing w:line="353" w:lineRule="auto"/>
        <w:ind w:left="0" w:right="0" w:firstLine="720"/>
        <w:textAlignment w:val="auto"/>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（三）项目监管情况。</w:t>
      </w:r>
    </w:p>
    <w:p>
      <w:pPr>
        <w:pageBreakBefore w:val="0"/>
        <w:kinsoku/>
        <w:wordWrap/>
        <w:overflowPunct/>
        <w:topLinePunct w:val="0"/>
        <w:bidi w:val="0"/>
        <w:adjustRightInd w:val="0"/>
        <w:snapToGrid w:val="0"/>
        <w:spacing w:line="353" w:lineRule="auto"/>
        <w:ind w:left="0" w:right="0" w:firstLine="720"/>
        <w:textAlignment w:val="auto"/>
        <w:rPr>
          <w:rFonts w:ascii="仿宋" w:hAnsi="仿宋" w:eastAsia="仿宋"/>
          <w:sz w:val="32"/>
          <w:szCs w:val="32"/>
        </w:rPr>
      </w:pPr>
      <w:r>
        <w:rPr>
          <w:rFonts w:hint="eastAsia" w:ascii="仿宋" w:hAnsi="仿宋" w:eastAsia="仿宋"/>
          <w:sz w:val="32"/>
          <w:szCs w:val="32"/>
          <w:lang w:val="zh-CN"/>
        </w:rPr>
        <w:t>项目完成情况每年都要向上级财政部门填写相关的绩效分析评价，并上报相关对口管理部门检查。</w:t>
      </w:r>
    </w:p>
    <w:p>
      <w:pPr>
        <w:pageBreakBefore w:val="0"/>
        <w:kinsoku/>
        <w:wordWrap/>
        <w:overflowPunct/>
        <w:topLinePunct w:val="0"/>
        <w:bidi w:val="0"/>
        <w:adjustRightInd w:val="0"/>
        <w:snapToGrid w:val="0"/>
        <w:spacing w:line="353" w:lineRule="auto"/>
        <w:ind w:left="0" w:right="0" w:firstLine="720"/>
        <w:textAlignment w:val="auto"/>
        <w:outlineLvl w:val="1"/>
        <w:rPr>
          <w:rFonts w:ascii="仿宋_GB2312" w:hAnsi="宋体"/>
          <w:sz w:val="32"/>
          <w:szCs w:val="32"/>
          <w:lang w:val="zh-CN"/>
        </w:rPr>
      </w:pPr>
      <w:bookmarkStart w:id="92" w:name="_Toc6628"/>
      <w:r>
        <w:rPr>
          <w:rFonts w:hint="eastAsia" w:ascii="黑体" w:hAnsi="宋体" w:eastAsia="黑体"/>
          <w:sz w:val="32"/>
          <w:szCs w:val="32"/>
        </w:rPr>
        <w:t>四、项目绩效情况</w:t>
      </w:r>
      <w:bookmarkEnd w:id="92"/>
      <w:r>
        <w:rPr>
          <w:rFonts w:hint="eastAsia" w:ascii="仿宋_GB2312" w:hAnsi="宋体"/>
          <w:sz w:val="32"/>
          <w:szCs w:val="32"/>
          <w:lang w:val="zh-CN"/>
        </w:rPr>
        <w:tab/>
      </w:r>
    </w:p>
    <w:p>
      <w:pPr>
        <w:pageBreakBefore w:val="0"/>
        <w:kinsoku/>
        <w:wordWrap/>
        <w:overflowPunct/>
        <w:topLinePunct w:val="0"/>
        <w:bidi w:val="0"/>
        <w:adjustRightInd w:val="0"/>
        <w:snapToGrid w:val="0"/>
        <w:spacing w:line="353" w:lineRule="auto"/>
        <w:ind w:left="0" w:right="0"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pageBreakBefore w:val="0"/>
        <w:kinsoku/>
        <w:wordWrap/>
        <w:overflowPunct/>
        <w:topLinePunct w:val="0"/>
        <w:bidi w:val="0"/>
        <w:adjustRightInd w:val="0"/>
        <w:snapToGrid w:val="0"/>
        <w:spacing w:line="353" w:lineRule="auto"/>
        <w:ind w:left="0" w:right="0" w:firstLine="720"/>
        <w:textAlignment w:val="auto"/>
        <w:outlineLvl w:val="3"/>
        <w:rPr>
          <w:rFonts w:ascii="仿宋" w:hAnsi="仿宋" w:eastAsia="仿宋"/>
          <w:sz w:val="32"/>
          <w:szCs w:val="32"/>
        </w:rPr>
      </w:pPr>
      <w:r>
        <w:rPr>
          <w:rFonts w:hint="eastAsia" w:ascii="仿宋" w:hAnsi="仿宋" w:eastAsia="仿宋"/>
          <w:sz w:val="32"/>
          <w:szCs w:val="32"/>
        </w:rPr>
        <w:t>1.数量指标：政务服务专项经费、三化建设试点工作经费、省级服务业标准化试点项目经费等。</w:t>
      </w:r>
    </w:p>
    <w:p>
      <w:pPr>
        <w:pStyle w:val="6"/>
        <w:pageBreakBefore w:val="0"/>
        <w:kinsoku/>
        <w:wordWrap/>
        <w:overflowPunct/>
        <w:topLinePunct w:val="0"/>
        <w:bidi w:val="0"/>
        <w:adjustRightInd w:val="0"/>
        <w:snapToGrid w:val="0"/>
        <w:spacing w:line="353" w:lineRule="auto"/>
        <w:ind w:left="0" w:right="0"/>
        <w:textAlignment w:val="auto"/>
        <w:rPr>
          <w:rFonts w:ascii="仿宋" w:hAnsi="仿宋" w:eastAsia="仿宋"/>
          <w:sz w:val="32"/>
          <w:szCs w:val="32"/>
        </w:rPr>
      </w:pPr>
      <w:r>
        <w:rPr>
          <w:rFonts w:hint="eastAsia" w:ascii="仿宋" w:hAnsi="仿宋" w:eastAsia="仿宋"/>
          <w:sz w:val="32"/>
          <w:szCs w:val="32"/>
        </w:rPr>
        <w:t xml:space="preserve">     2.质量指标：“政务大厅基本运行经费”预算项目的设立，是具有现实需求的，并具有明显的社会效益性。它确保了政务大厅的正常运转。与部门的长期规划目标、年度工作目标相一致，展示了政府对外形象，并让老百姓共享社会经济发展成果。</w:t>
      </w:r>
    </w:p>
    <w:p>
      <w:pPr>
        <w:pageBreakBefore w:val="0"/>
        <w:kinsoku/>
        <w:wordWrap/>
        <w:overflowPunct/>
        <w:topLinePunct w:val="0"/>
        <w:bidi w:val="0"/>
        <w:adjustRightInd w:val="0"/>
        <w:snapToGrid w:val="0"/>
        <w:spacing w:line="353" w:lineRule="auto"/>
        <w:ind w:left="0" w:right="0"/>
        <w:textAlignment w:val="auto"/>
        <w:rPr>
          <w:rFonts w:ascii="仿宋" w:hAnsi="仿宋" w:eastAsia="仿宋"/>
          <w:sz w:val="32"/>
          <w:szCs w:val="32"/>
        </w:rPr>
      </w:pPr>
      <w:r>
        <w:rPr>
          <w:rFonts w:hint="eastAsia" w:ascii="仿宋" w:hAnsi="仿宋" w:eastAsia="仿宋"/>
          <w:sz w:val="32"/>
          <w:szCs w:val="32"/>
        </w:rPr>
        <w:t xml:space="preserve">     3.时效指标：项目实施时间为2022年1月至12月。</w:t>
      </w:r>
    </w:p>
    <w:p>
      <w:pPr>
        <w:pStyle w:val="6"/>
        <w:pageBreakBefore w:val="0"/>
        <w:kinsoku/>
        <w:wordWrap/>
        <w:overflowPunct/>
        <w:topLinePunct w:val="0"/>
        <w:bidi w:val="0"/>
        <w:adjustRightInd w:val="0"/>
        <w:snapToGrid w:val="0"/>
        <w:spacing w:line="353" w:lineRule="auto"/>
        <w:ind w:left="0" w:right="0"/>
        <w:textAlignment w:val="auto"/>
        <w:rPr>
          <w:rFonts w:eastAsia="仿宋_GB2312"/>
          <w:sz w:val="32"/>
          <w:szCs w:val="32"/>
        </w:rPr>
      </w:pPr>
      <w:r>
        <w:rPr>
          <w:rFonts w:hint="eastAsia" w:ascii="仿宋" w:hAnsi="仿宋" w:eastAsia="仿宋"/>
          <w:sz w:val="32"/>
          <w:szCs w:val="32"/>
        </w:rPr>
        <w:t xml:space="preserve">     4.成本指标：预算指标为34.36万元，实际支出34.36万元</w:t>
      </w:r>
      <w:r>
        <w:rPr>
          <w:rFonts w:hint="eastAsia" w:ascii="仿宋" w:hAnsi="仿宋" w:eastAsia="仿宋" w:cs="仿宋_GB2312"/>
          <w:kern w:val="0"/>
          <w:sz w:val="32"/>
          <w:szCs w:val="32"/>
          <w:shd w:val="clear" w:color="auto" w:fill="FFFFFF"/>
          <w:lang w:val="zh-CN"/>
        </w:rPr>
        <w:t>。</w:t>
      </w:r>
    </w:p>
    <w:p>
      <w:pPr>
        <w:pageBreakBefore w:val="0"/>
        <w:kinsoku/>
        <w:wordWrap/>
        <w:overflowPunct/>
        <w:topLinePunct w:val="0"/>
        <w:bidi w:val="0"/>
        <w:adjustRightInd w:val="0"/>
        <w:snapToGrid w:val="0"/>
        <w:spacing w:line="353" w:lineRule="auto"/>
        <w:ind w:left="0" w:right="0" w:firstLine="720"/>
        <w:textAlignment w:val="auto"/>
        <w:rPr>
          <w:rFonts w:hint="eastAsia"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pStyle w:val="15"/>
        <w:pageBreakBefore w:val="0"/>
        <w:widowControl/>
        <w:shd w:val="clear" w:color="auto" w:fill="FFFFFF"/>
        <w:kinsoku/>
        <w:wordWrap/>
        <w:overflowPunct/>
        <w:topLinePunct w:val="0"/>
        <w:bidi w:val="0"/>
        <w:adjustRightInd w:val="0"/>
        <w:snapToGrid w:val="0"/>
        <w:spacing w:beforeAutospacing="0" w:afterAutospacing="0" w:line="353" w:lineRule="auto"/>
        <w:ind w:left="0" w:right="0" w:firstLine="640" w:firstLineChars="200"/>
        <w:textAlignment w:val="auto"/>
        <w:rPr>
          <w:rFonts w:hint="eastAsia" w:ascii="仿宋" w:hAnsi="仿宋" w:eastAsia="仿宋"/>
          <w:kern w:val="2"/>
          <w:sz w:val="32"/>
          <w:szCs w:val="32"/>
        </w:rPr>
      </w:pPr>
      <w:r>
        <w:rPr>
          <w:rFonts w:hint="eastAsia" w:ascii="仿宋" w:hAnsi="仿宋" w:eastAsia="仿宋"/>
          <w:kern w:val="2"/>
          <w:sz w:val="32"/>
          <w:szCs w:val="32"/>
        </w:rPr>
        <w:t>经济效益指标：无。</w:t>
      </w:r>
    </w:p>
    <w:p>
      <w:pPr>
        <w:pStyle w:val="15"/>
        <w:pageBreakBefore w:val="0"/>
        <w:widowControl/>
        <w:shd w:val="clear" w:color="auto" w:fill="FFFFFF"/>
        <w:kinsoku/>
        <w:wordWrap/>
        <w:overflowPunct/>
        <w:topLinePunct w:val="0"/>
        <w:bidi w:val="0"/>
        <w:adjustRightInd w:val="0"/>
        <w:snapToGrid w:val="0"/>
        <w:spacing w:beforeAutospacing="0" w:afterAutospacing="0" w:line="353" w:lineRule="auto"/>
        <w:ind w:left="0" w:right="0" w:firstLine="640" w:firstLineChars="200"/>
        <w:textAlignment w:val="auto"/>
        <w:rPr>
          <w:rFonts w:ascii="仿宋" w:hAnsi="仿宋" w:eastAsia="仿宋"/>
          <w:kern w:val="2"/>
          <w:sz w:val="32"/>
          <w:szCs w:val="32"/>
        </w:rPr>
      </w:pPr>
      <w:r>
        <w:rPr>
          <w:rFonts w:hint="eastAsia" w:ascii="仿宋" w:hAnsi="仿宋" w:eastAsia="仿宋"/>
          <w:kern w:val="2"/>
          <w:sz w:val="32"/>
          <w:szCs w:val="32"/>
        </w:rPr>
        <w:t>社会效益指标：</w:t>
      </w:r>
      <w:r>
        <w:rPr>
          <w:rFonts w:hint="eastAsia" w:ascii="仿宋" w:hAnsi="仿宋" w:eastAsia="仿宋" w:cs="仿宋_GB2312"/>
          <w:sz w:val="32"/>
          <w:szCs w:val="32"/>
          <w:shd w:val="clear" w:color="auto" w:fill="FFFFFF"/>
        </w:rPr>
        <w:t>营造良好的政务服务环境，维护树立政府形象，获得社会公众认可，提高群众满意度。通过省级政务服务</w:t>
      </w:r>
      <w:r>
        <w:rPr>
          <w:rFonts w:hint="eastAsia" w:ascii="仿宋" w:hAnsi="仿宋" w:eastAsia="仿宋" w:cs="仿宋_GB2312"/>
          <w:sz w:val="32"/>
          <w:szCs w:val="32"/>
          <w:shd w:val="clear" w:color="auto" w:fill="FFFFFF"/>
          <w:lang w:eastAsia="zh-CN"/>
        </w:rPr>
        <w:t>标准化</w:t>
      </w:r>
      <w:r>
        <w:rPr>
          <w:rFonts w:hint="eastAsia" w:ascii="仿宋" w:hAnsi="仿宋" w:eastAsia="仿宋" w:cs="仿宋_GB2312"/>
          <w:sz w:val="32"/>
          <w:szCs w:val="32"/>
          <w:shd w:val="clear" w:color="auto" w:fill="FFFFFF"/>
        </w:rPr>
        <w:t>试点和“三化试点”，推进“放管服”改革和政务服务向基层延伸，打通服务群众的“最后一公里”</w:t>
      </w:r>
      <w:r>
        <w:rPr>
          <w:rFonts w:hint="eastAsia" w:ascii="仿宋" w:hAnsi="仿宋" w:eastAsia="仿宋" w:cs="仿宋_GB2312"/>
          <w:sz w:val="32"/>
          <w:szCs w:val="32"/>
          <w:shd w:val="clear" w:color="auto" w:fill="FFFFFF"/>
          <w:lang w:val="zh-CN"/>
        </w:rPr>
        <w:t>。</w:t>
      </w:r>
    </w:p>
    <w:p>
      <w:pPr>
        <w:pStyle w:val="15"/>
        <w:pageBreakBefore w:val="0"/>
        <w:widowControl/>
        <w:shd w:val="clear" w:color="auto" w:fill="FFFFFF"/>
        <w:kinsoku/>
        <w:wordWrap/>
        <w:overflowPunct/>
        <w:topLinePunct w:val="0"/>
        <w:bidi w:val="0"/>
        <w:adjustRightInd w:val="0"/>
        <w:snapToGrid w:val="0"/>
        <w:spacing w:beforeAutospacing="0" w:afterAutospacing="0" w:line="353" w:lineRule="auto"/>
        <w:ind w:left="0" w:right="0" w:firstLine="640" w:firstLineChars="200"/>
        <w:textAlignment w:val="auto"/>
        <w:rPr>
          <w:rFonts w:ascii="仿宋" w:hAnsi="仿宋" w:eastAsia="仿宋"/>
          <w:kern w:val="2"/>
          <w:sz w:val="32"/>
          <w:szCs w:val="32"/>
        </w:rPr>
      </w:pPr>
      <w:r>
        <w:rPr>
          <w:rFonts w:ascii="仿宋" w:hAnsi="仿宋" w:eastAsia="仿宋"/>
          <w:kern w:val="2"/>
          <w:sz w:val="32"/>
          <w:szCs w:val="32"/>
        </w:rPr>
        <w:t>生态效益指标：无。</w:t>
      </w:r>
    </w:p>
    <w:p>
      <w:pPr>
        <w:pStyle w:val="15"/>
        <w:pageBreakBefore w:val="0"/>
        <w:widowControl/>
        <w:shd w:val="clear" w:color="auto" w:fill="FFFFFF"/>
        <w:kinsoku/>
        <w:wordWrap/>
        <w:overflowPunct/>
        <w:topLinePunct w:val="0"/>
        <w:bidi w:val="0"/>
        <w:adjustRightInd w:val="0"/>
        <w:snapToGrid w:val="0"/>
        <w:spacing w:beforeAutospacing="0" w:afterAutospacing="0" w:line="353" w:lineRule="auto"/>
        <w:ind w:left="0" w:right="0" w:firstLine="640" w:firstLineChars="200"/>
        <w:textAlignment w:val="auto"/>
        <w:rPr>
          <w:rFonts w:hint="eastAsia" w:ascii="仿宋" w:hAnsi="仿宋" w:eastAsia="仿宋"/>
          <w:kern w:val="2"/>
          <w:sz w:val="32"/>
          <w:szCs w:val="32"/>
        </w:rPr>
      </w:pPr>
      <w:r>
        <w:rPr>
          <w:rFonts w:ascii="仿宋" w:hAnsi="仿宋" w:eastAsia="仿宋"/>
          <w:kern w:val="2"/>
          <w:sz w:val="32"/>
          <w:szCs w:val="32"/>
        </w:rPr>
        <w:t>可持续影响指标：无。</w:t>
      </w:r>
    </w:p>
    <w:p>
      <w:pPr>
        <w:pageBreakBefore w:val="0"/>
        <w:kinsoku/>
        <w:wordWrap/>
        <w:overflowPunct/>
        <w:topLinePunct w:val="0"/>
        <w:bidi w:val="0"/>
        <w:adjustRightInd w:val="0"/>
        <w:snapToGrid w:val="0"/>
        <w:spacing w:line="353" w:lineRule="auto"/>
        <w:ind w:left="0" w:right="0" w:firstLine="720"/>
        <w:textAlignment w:val="auto"/>
        <w:outlineLvl w:val="1"/>
        <w:rPr>
          <w:rFonts w:ascii="黑体" w:hAnsi="宋体" w:eastAsia="黑体"/>
          <w:sz w:val="32"/>
          <w:szCs w:val="32"/>
        </w:rPr>
      </w:pPr>
      <w:bookmarkStart w:id="93" w:name="_Toc9059"/>
      <w:r>
        <w:rPr>
          <w:rFonts w:hint="eastAsia" w:ascii="黑体" w:hAnsi="宋体" w:eastAsia="黑体"/>
          <w:sz w:val="32"/>
          <w:szCs w:val="32"/>
        </w:rPr>
        <w:t>五、评价结论及建议</w:t>
      </w:r>
      <w:bookmarkEnd w:id="93"/>
    </w:p>
    <w:p>
      <w:pPr>
        <w:pageBreakBefore w:val="0"/>
        <w:kinsoku/>
        <w:wordWrap/>
        <w:overflowPunct/>
        <w:topLinePunct w:val="0"/>
        <w:bidi w:val="0"/>
        <w:adjustRightInd w:val="0"/>
        <w:snapToGrid w:val="0"/>
        <w:spacing w:line="353" w:lineRule="auto"/>
        <w:ind w:left="0" w:right="0"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ascii="仿宋" w:hAnsi="仿宋" w:eastAsia="仿宋" w:cs="仿宋_GB2312"/>
          <w:kern w:val="0"/>
          <w:sz w:val="32"/>
          <w:szCs w:val="32"/>
          <w:shd w:val="clear" w:color="auto" w:fill="FFFFFF"/>
          <w:lang w:val="zh-CN"/>
        </w:rPr>
      </w:pPr>
      <w:r>
        <w:rPr>
          <w:rFonts w:hint="eastAsia" w:ascii="仿宋" w:hAnsi="仿宋" w:eastAsia="仿宋"/>
          <w:sz w:val="32"/>
          <w:szCs w:val="32"/>
          <w:lang w:val="zh-CN"/>
        </w:rPr>
        <w:t>一是本项目依规立项；二是本项目严格按照相关要求执行；三是本项目资金使用合理合规；四是本项目在产出数量、产出质量、产出时效、产出成本方面均达到绩效目标，经济效益、社会效益成果显著</w:t>
      </w:r>
      <w:r>
        <w:rPr>
          <w:rFonts w:hint="eastAsia" w:ascii="仿宋" w:hAnsi="仿宋" w:eastAsia="仿宋" w:cs="仿宋_GB2312"/>
          <w:kern w:val="0"/>
          <w:sz w:val="32"/>
          <w:szCs w:val="32"/>
          <w:shd w:val="clear" w:color="auto" w:fill="FFFFFF"/>
          <w:lang w:val="zh-CN"/>
        </w:rPr>
        <w:t>。</w:t>
      </w:r>
    </w:p>
    <w:p>
      <w:pPr>
        <w:pageBreakBefore w:val="0"/>
        <w:kinsoku/>
        <w:wordWrap/>
        <w:overflowPunct/>
        <w:topLinePunct w:val="0"/>
        <w:bidi w:val="0"/>
        <w:adjustRightInd w:val="0"/>
        <w:snapToGrid w:val="0"/>
        <w:spacing w:line="353" w:lineRule="auto"/>
        <w:ind w:left="0" w:right="0"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pageBreakBefore w:val="0"/>
        <w:kinsoku/>
        <w:wordWrap/>
        <w:overflowPunct/>
        <w:topLinePunct w:val="0"/>
        <w:bidi w:val="0"/>
        <w:adjustRightInd w:val="0"/>
        <w:snapToGrid w:val="0"/>
        <w:spacing w:line="353" w:lineRule="auto"/>
        <w:ind w:left="0" w:right="0" w:firstLine="640" w:firstLineChars="200"/>
        <w:textAlignment w:val="auto"/>
        <w:rPr>
          <w:rFonts w:ascii="仿宋" w:hAnsi="仿宋" w:eastAsia="仿宋"/>
          <w:sz w:val="32"/>
          <w:szCs w:val="32"/>
          <w:lang w:val="zh-CN"/>
        </w:rPr>
      </w:pPr>
      <w:r>
        <w:rPr>
          <w:rFonts w:hint="eastAsia" w:ascii="仿宋" w:hAnsi="仿宋" w:eastAsia="仿宋"/>
          <w:sz w:val="32"/>
          <w:szCs w:val="32"/>
          <w:lang w:val="zh-CN"/>
        </w:rPr>
        <w:t>1.预算编制时间短，任务重，需要财政做更系统的培训和指导。</w:t>
      </w:r>
    </w:p>
    <w:p>
      <w:pPr>
        <w:pageBreakBefore w:val="0"/>
        <w:kinsoku/>
        <w:wordWrap/>
        <w:overflowPunct/>
        <w:topLinePunct w:val="0"/>
        <w:bidi w:val="0"/>
        <w:adjustRightInd w:val="0"/>
        <w:snapToGrid w:val="0"/>
        <w:spacing w:line="353" w:lineRule="auto"/>
        <w:ind w:left="0" w:right="0" w:firstLine="640" w:firstLineChars="200"/>
        <w:textAlignment w:val="auto"/>
        <w:rPr>
          <w:rFonts w:ascii="仿宋" w:hAnsi="仿宋" w:eastAsia="仿宋"/>
          <w:sz w:val="32"/>
          <w:szCs w:val="32"/>
          <w:lang w:val="zh-CN"/>
        </w:rPr>
      </w:pPr>
      <w:r>
        <w:rPr>
          <w:rFonts w:hint="eastAsia" w:ascii="仿宋" w:hAnsi="仿宋" w:eastAsia="仿宋"/>
          <w:sz w:val="32"/>
          <w:szCs w:val="32"/>
          <w:lang w:val="zh-CN"/>
        </w:rPr>
        <w:t>2.绩效从制定、评价到使用都缺少系统性训练。</w:t>
      </w:r>
    </w:p>
    <w:p>
      <w:pPr>
        <w:pageBreakBefore w:val="0"/>
        <w:widowControl/>
        <w:kinsoku/>
        <w:wordWrap/>
        <w:overflowPunct/>
        <w:topLinePunct w:val="0"/>
        <w:bidi w:val="0"/>
        <w:adjustRightInd w:val="0"/>
        <w:snapToGrid w:val="0"/>
        <w:spacing w:line="353" w:lineRule="auto"/>
        <w:ind w:left="0" w:right="0" w:firstLine="640" w:firstLineChars="200"/>
        <w:contextualSpacing/>
        <w:jc w:val="left"/>
        <w:textAlignment w:val="auto"/>
        <w:rPr>
          <w:rFonts w:ascii="仿宋" w:hAnsi="仿宋" w:eastAsia="仿宋" w:cs="仿宋_GB2312"/>
          <w:kern w:val="0"/>
          <w:sz w:val="32"/>
          <w:szCs w:val="32"/>
          <w:shd w:val="clear" w:color="auto" w:fill="FFFFFF"/>
        </w:rPr>
      </w:pPr>
      <w:r>
        <w:rPr>
          <w:rFonts w:hint="eastAsia" w:ascii="仿宋" w:hAnsi="仿宋" w:eastAsia="仿宋"/>
          <w:sz w:val="32"/>
          <w:szCs w:val="32"/>
          <w:lang w:val="zh-CN"/>
        </w:rPr>
        <w:t>3.预算编制的合理性需要提高</w:t>
      </w:r>
      <w:r>
        <w:rPr>
          <w:rFonts w:hint="eastAsia" w:ascii="仿宋" w:hAnsi="仿宋" w:eastAsia="仿宋" w:cs="仿宋_GB2312"/>
          <w:kern w:val="0"/>
          <w:sz w:val="32"/>
          <w:szCs w:val="32"/>
          <w:shd w:val="clear" w:color="auto" w:fill="FFFFFF"/>
        </w:rPr>
        <w:t>。</w:t>
      </w:r>
    </w:p>
    <w:p>
      <w:pPr>
        <w:pageBreakBefore w:val="0"/>
        <w:kinsoku/>
        <w:wordWrap/>
        <w:overflowPunct/>
        <w:topLinePunct w:val="0"/>
        <w:bidi w:val="0"/>
        <w:adjustRightInd w:val="0"/>
        <w:snapToGrid w:val="0"/>
        <w:spacing w:line="353" w:lineRule="auto"/>
        <w:ind w:left="0" w:right="0"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pageBreakBefore w:val="0"/>
        <w:kinsoku/>
        <w:wordWrap/>
        <w:overflowPunct/>
        <w:topLinePunct w:val="0"/>
        <w:bidi w:val="0"/>
        <w:adjustRightInd w:val="0"/>
        <w:snapToGrid w:val="0"/>
        <w:spacing w:line="353" w:lineRule="auto"/>
        <w:ind w:left="0" w:right="0"/>
        <w:textAlignment w:val="auto"/>
        <w:rPr>
          <w:rStyle w:val="31"/>
          <w:rFonts w:ascii="仿宋" w:hAnsi="仿宋" w:eastAsia="仿宋"/>
          <w:b w:val="0"/>
        </w:rPr>
      </w:pPr>
      <w:r>
        <w:rPr>
          <w:rFonts w:hint="eastAsia" w:ascii="仿宋" w:hAnsi="仿宋" w:eastAsia="仿宋"/>
          <w:sz w:val="32"/>
          <w:szCs w:val="32"/>
          <w:lang w:val="zh-CN"/>
        </w:rPr>
        <w:t xml:space="preserve">    加强预算编制的合理性，平衡预算配置。加强对预算编制和绩效的培训，绩效不仅是在绩效填报上培训，还需要从绩效编制、绩效编制、绩效评价（自评和第三方评价）、绩效结果应用上做一体化培训，促进绩效系统的成熟和稳定。</w:t>
      </w:r>
    </w:p>
    <w:p>
      <w:pPr>
        <w:pageBreakBefore w:val="0"/>
        <w:widowControl/>
        <w:kinsoku/>
        <w:wordWrap/>
        <w:overflowPunct/>
        <w:topLinePunct w:val="0"/>
        <w:bidi w:val="0"/>
        <w:adjustRightInd w:val="0"/>
        <w:snapToGrid w:val="0"/>
        <w:spacing w:line="353" w:lineRule="auto"/>
        <w:ind w:left="0" w:right="0"/>
        <w:jc w:val="left"/>
        <w:textAlignment w:val="auto"/>
        <w:rPr>
          <w:rStyle w:val="31"/>
          <w:rFonts w:ascii="黑体" w:hAnsi="黑体" w:eastAsia="黑体"/>
          <w:b w:val="0"/>
        </w:rPr>
      </w:pPr>
      <w:r>
        <w:rPr>
          <w:rStyle w:val="31"/>
          <w:rFonts w:ascii="黑体" w:hAnsi="黑体" w:eastAsia="黑体"/>
          <w:b w:val="0"/>
        </w:rPr>
        <w:br w:type="page"/>
      </w:r>
    </w:p>
    <w:p>
      <w:pPr>
        <w:pageBreakBefore w:val="0"/>
        <w:kinsoku/>
        <w:wordWrap/>
        <w:overflowPunct/>
        <w:topLinePunct w:val="0"/>
        <w:bidi w:val="0"/>
        <w:adjustRightInd w:val="0"/>
        <w:snapToGrid w:val="0"/>
        <w:spacing w:line="353" w:lineRule="auto"/>
        <w:ind w:left="0" w:right="0"/>
        <w:jc w:val="center"/>
        <w:textAlignment w:val="auto"/>
        <w:outlineLvl w:val="0"/>
        <w:rPr>
          <w:rFonts w:ascii="仿宋" w:hAnsi="仿宋" w:eastAsia="仿宋"/>
        </w:rPr>
      </w:pPr>
      <w:bookmarkStart w:id="94" w:name="_Toc15396618"/>
      <w:bookmarkStart w:id="95" w:name="_Toc13884"/>
      <w:r>
        <w:rPr>
          <w:rFonts w:hint="eastAsia" w:ascii="黑体" w:hAnsi="黑体" w:eastAsia="黑体"/>
          <w:sz w:val="44"/>
          <w:szCs w:val="44"/>
        </w:rPr>
        <w:t>第</w:t>
      </w:r>
      <w:r>
        <w:rPr>
          <w:rStyle w:val="31"/>
          <w:rFonts w:hint="eastAsia" w:ascii="黑体" w:hAnsi="黑体" w:eastAsia="黑体"/>
          <w:b w:val="0"/>
        </w:rPr>
        <w:t>五部分 附表</w:t>
      </w:r>
      <w:bookmarkEnd w:id="80"/>
      <w:bookmarkEnd w:id="94"/>
      <w:bookmarkEnd w:id="95"/>
      <w:bookmarkStart w:id="96" w:name="_Toc15396619"/>
    </w:p>
    <w:p>
      <w:pPr>
        <w:pStyle w:val="4"/>
        <w:pageBreakBefore w:val="0"/>
        <w:kinsoku/>
        <w:wordWrap/>
        <w:overflowPunct/>
        <w:topLinePunct w:val="0"/>
        <w:bidi w:val="0"/>
        <w:adjustRightInd w:val="0"/>
        <w:snapToGrid w:val="0"/>
        <w:spacing w:before="0" w:after="0" w:line="353" w:lineRule="auto"/>
        <w:ind w:left="0" w:right="0"/>
        <w:textAlignment w:val="auto"/>
        <w:rPr>
          <w:rFonts w:ascii="仿宋" w:hAnsi="仿宋" w:eastAsia="仿宋"/>
        </w:rPr>
      </w:pPr>
      <w:bookmarkStart w:id="97" w:name="_Toc18339"/>
      <w:r>
        <w:rPr>
          <w:rFonts w:hint="eastAsia" w:ascii="仿宋" w:hAnsi="仿宋" w:eastAsia="仿宋"/>
          <w:b w:val="0"/>
        </w:rPr>
        <w:t>一、收</w:t>
      </w:r>
      <w:r>
        <w:rPr>
          <w:rStyle w:val="32"/>
          <w:rFonts w:hint="eastAsia" w:ascii="仿宋" w:hAnsi="仿宋" w:eastAsia="仿宋"/>
          <w:b w:val="0"/>
          <w:bCs w:val="0"/>
        </w:rPr>
        <w:t>入支出决算总表</w:t>
      </w:r>
      <w:bookmarkEnd w:id="96"/>
      <w:bookmarkEnd w:id="97"/>
    </w:p>
    <w:p>
      <w:pPr>
        <w:pStyle w:val="4"/>
        <w:pageBreakBefore w:val="0"/>
        <w:kinsoku/>
        <w:wordWrap/>
        <w:overflowPunct/>
        <w:topLinePunct w:val="0"/>
        <w:bidi w:val="0"/>
        <w:adjustRightInd w:val="0"/>
        <w:snapToGrid w:val="0"/>
        <w:spacing w:before="0" w:after="0" w:line="353" w:lineRule="auto"/>
        <w:ind w:left="0" w:right="0"/>
        <w:textAlignment w:val="auto"/>
        <w:rPr>
          <w:rFonts w:ascii="仿宋" w:hAnsi="仿宋" w:eastAsia="仿宋"/>
        </w:rPr>
      </w:pPr>
      <w:bookmarkStart w:id="98" w:name="_Toc28108"/>
      <w:bookmarkStart w:id="99" w:name="_Toc15396620"/>
      <w:r>
        <w:rPr>
          <w:rFonts w:hint="eastAsia" w:ascii="仿宋" w:hAnsi="仿宋" w:eastAsia="仿宋"/>
          <w:b w:val="0"/>
        </w:rPr>
        <w:t>二、收</w:t>
      </w:r>
      <w:r>
        <w:rPr>
          <w:rStyle w:val="32"/>
          <w:rFonts w:hint="eastAsia" w:ascii="仿宋" w:hAnsi="仿宋" w:eastAsia="仿宋"/>
          <w:b w:val="0"/>
          <w:bCs w:val="0"/>
        </w:rPr>
        <w:t>入决算表</w:t>
      </w:r>
      <w:bookmarkEnd w:id="98"/>
      <w:bookmarkEnd w:id="99"/>
    </w:p>
    <w:p>
      <w:pPr>
        <w:pStyle w:val="4"/>
        <w:pageBreakBefore w:val="0"/>
        <w:kinsoku/>
        <w:wordWrap/>
        <w:overflowPunct/>
        <w:topLinePunct w:val="0"/>
        <w:bidi w:val="0"/>
        <w:adjustRightInd w:val="0"/>
        <w:snapToGrid w:val="0"/>
        <w:spacing w:before="0" w:after="0" w:line="353" w:lineRule="auto"/>
        <w:ind w:left="0" w:right="0"/>
        <w:textAlignment w:val="auto"/>
        <w:rPr>
          <w:rFonts w:ascii="仿宋" w:hAnsi="仿宋" w:eastAsia="仿宋"/>
        </w:rPr>
      </w:pPr>
      <w:bookmarkStart w:id="100" w:name="_Toc15396621"/>
      <w:bookmarkStart w:id="101" w:name="_Toc932"/>
      <w:r>
        <w:rPr>
          <w:rStyle w:val="32"/>
          <w:rFonts w:hint="eastAsia" w:ascii="仿宋" w:hAnsi="仿宋" w:eastAsia="仿宋"/>
          <w:b w:val="0"/>
          <w:bCs w:val="0"/>
        </w:rPr>
        <w:t>三、</w:t>
      </w:r>
      <w:r>
        <w:rPr>
          <w:rFonts w:hint="eastAsia" w:ascii="仿宋" w:hAnsi="仿宋" w:eastAsia="仿宋"/>
          <w:b w:val="0"/>
        </w:rPr>
        <w:t>支</w:t>
      </w:r>
      <w:r>
        <w:rPr>
          <w:rStyle w:val="32"/>
          <w:rFonts w:hint="eastAsia" w:ascii="仿宋" w:hAnsi="仿宋" w:eastAsia="仿宋"/>
          <w:b w:val="0"/>
          <w:bCs w:val="0"/>
        </w:rPr>
        <w:t>出决算表</w:t>
      </w:r>
      <w:bookmarkEnd w:id="100"/>
      <w:bookmarkEnd w:id="101"/>
    </w:p>
    <w:p>
      <w:pPr>
        <w:pStyle w:val="4"/>
        <w:pageBreakBefore w:val="0"/>
        <w:kinsoku/>
        <w:wordWrap/>
        <w:overflowPunct/>
        <w:topLinePunct w:val="0"/>
        <w:bidi w:val="0"/>
        <w:adjustRightInd w:val="0"/>
        <w:snapToGrid w:val="0"/>
        <w:spacing w:before="0" w:after="0" w:line="353" w:lineRule="auto"/>
        <w:ind w:left="0" w:right="0"/>
        <w:textAlignment w:val="auto"/>
        <w:rPr>
          <w:rFonts w:ascii="仿宋" w:hAnsi="仿宋" w:eastAsia="仿宋"/>
          <w:b w:val="0"/>
        </w:rPr>
      </w:pPr>
      <w:bookmarkStart w:id="102" w:name="_Toc8915"/>
      <w:bookmarkStart w:id="103" w:name="_Toc15396622"/>
      <w:r>
        <w:rPr>
          <w:rStyle w:val="32"/>
          <w:rFonts w:hint="eastAsia" w:ascii="仿宋" w:hAnsi="仿宋" w:eastAsia="仿宋"/>
          <w:b w:val="0"/>
          <w:bCs w:val="0"/>
        </w:rPr>
        <w:t>四、</w:t>
      </w:r>
      <w:r>
        <w:rPr>
          <w:rFonts w:hint="eastAsia" w:ascii="仿宋" w:hAnsi="仿宋" w:eastAsia="仿宋"/>
          <w:b w:val="0"/>
        </w:rPr>
        <w:t>财</w:t>
      </w:r>
      <w:r>
        <w:rPr>
          <w:rStyle w:val="32"/>
          <w:rFonts w:hint="eastAsia" w:ascii="仿宋" w:hAnsi="仿宋" w:eastAsia="仿宋"/>
          <w:b w:val="0"/>
          <w:bCs w:val="0"/>
        </w:rPr>
        <w:t>政拨款收入支出决算总表</w:t>
      </w:r>
      <w:bookmarkEnd w:id="102"/>
      <w:bookmarkEnd w:id="103"/>
    </w:p>
    <w:p>
      <w:pPr>
        <w:pStyle w:val="4"/>
        <w:pageBreakBefore w:val="0"/>
        <w:kinsoku/>
        <w:wordWrap/>
        <w:overflowPunct/>
        <w:topLinePunct w:val="0"/>
        <w:bidi w:val="0"/>
        <w:adjustRightInd w:val="0"/>
        <w:snapToGrid w:val="0"/>
        <w:spacing w:before="0" w:after="0" w:line="353" w:lineRule="auto"/>
        <w:ind w:left="0" w:right="0"/>
        <w:textAlignment w:val="auto"/>
        <w:rPr>
          <w:rStyle w:val="32"/>
          <w:rFonts w:ascii="仿宋" w:hAnsi="仿宋" w:eastAsia="仿宋"/>
          <w:b w:val="0"/>
          <w:bCs w:val="0"/>
        </w:rPr>
      </w:pPr>
      <w:bookmarkStart w:id="104" w:name="_Toc15396623"/>
      <w:bookmarkStart w:id="105" w:name="_Toc30223"/>
      <w:r>
        <w:rPr>
          <w:rStyle w:val="32"/>
          <w:rFonts w:hint="eastAsia" w:ascii="仿宋" w:hAnsi="仿宋" w:eastAsia="仿宋"/>
          <w:b w:val="0"/>
          <w:bCs w:val="0"/>
        </w:rPr>
        <w:t>五、</w:t>
      </w:r>
      <w:r>
        <w:rPr>
          <w:rFonts w:hint="eastAsia" w:ascii="仿宋" w:hAnsi="仿宋" w:eastAsia="仿宋"/>
          <w:b w:val="0"/>
        </w:rPr>
        <w:t>财</w:t>
      </w:r>
      <w:r>
        <w:rPr>
          <w:rStyle w:val="32"/>
          <w:rFonts w:hint="eastAsia" w:ascii="仿宋" w:hAnsi="仿宋" w:eastAsia="仿宋"/>
          <w:b w:val="0"/>
          <w:bCs w:val="0"/>
        </w:rPr>
        <w:t>政拨款支出决算明细表</w:t>
      </w:r>
      <w:bookmarkEnd w:id="104"/>
      <w:bookmarkEnd w:id="105"/>
      <w:bookmarkStart w:id="106" w:name="_Toc15396624"/>
    </w:p>
    <w:p>
      <w:pPr>
        <w:pStyle w:val="4"/>
        <w:pageBreakBefore w:val="0"/>
        <w:kinsoku/>
        <w:wordWrap/>
        <w:overflowPunct/>
        <w:topLinePunct w:val="0"/>
        <w:bidi w:val="0"/>
        <w:adjustRightInd w:val="0"/>
        <w:snapToGrid w:val="0"/>
        <w:spacing w:before="0" w:after="0" w:line="353" w:lineRule="auto"/>
        <w:ind w:left="0" w:right="0"/>
        <w:textAlignment w:val="auto"/>
        <w:rPr>
          <w:rFonts w:ascii="仿宋" w:hAnsi="仿宋" w:eastAsia="仿宋"/>
        </w:rPr>
      </w:pPr>
      <w:bookmarkStart w:id="107" w:name="_Toc12594"/>
      <w:r>
        <w:rPr>
          <w:rStyle w:val="32"/>
          <w:rFonts w:hint="eastAsia" w:ascii="仿宋" w:hAnsi="仿宋" w:eastAsia="仿宋"/>
          <w:b w:val="0"/>
          <w:bCs w:val="0"/>
        </w:rPr>
        <w:t>六、</w:t>
      </w:r>
      <w:r>
        <w:rPr>
          <w:rFonts w:hint="eastAsia" w:ascii="仿宋" w:hAnsi="仿宋" w:eastAsia="仿宋"/>
          <w:b w:val="0"/>
        </w:rPr>
        <w:t>一</w:t>
      </w:r>
      <w:r>
        <w:rPr>
          <w:rStyle w:val="32"/>
          <w:rFonts w:hint="eastAsia" w:ascii="仿宋" w:hAnsi="仿宋" w:eastAsia="仿宋"/>
          <w:b w:val="0"/>
          <w:bCs w:val="0"/>
        </w:rPr>
        <w:t>般公共预算财政拨款支出决算表</w:t>
      </w:r>
      <w:bookmarkEnd w:id="106"/>
      <w:bookmarkEnd w:id="107"/>
    </w:p>
    <w:p>
      <w:pPr>
        <w:pStyle w:val="4"/>
        <w:pageBreakBefore w:val="0"/>
        <w:kinsoku/>
        <w:wordWrap/>
        <w:overflowPunct/>
        <w:topLinePunct w:val="0"/>
        <w:bidi w:val="0"/>
        <w:adjustRightInd w:val="0"/>
        <w:snapToGrid w:val="0"/>
        <w:spacing w:before="0" w:after="0" w:line="353" w:lineRule="auto"/>
        <w:ind w:left="0" w:right="0"/>
        <w:textAlignment w:val="auto"/>
        <w:rPr>
          <w:rFonts w:ascii="仿宋" w:hAnsi="仿宋" w:eastAsia="仿宋"/>
        </w:rPr>
      </w:pPr>
      <w:bookmarkStart w:id="108" w:name="_Toc19377"/>
      <w:bookmarkStart w:id="109" w:name="_Toc15396625"/>
      <w:r>
        <w:rPr>
          <w:rStyle w:val="32"/>
          <w:rFonts w:hint="eastAsia" w:ascii="仿宋" w:hAnsi="仿宋" w:eastAsia="仿宋"/>
          <w:b w:val="0"/>
          <w:bCs w:val="0"/>
        </w:rPr>
        <w:t>七、</w:t>
      </w:r>
      <w:r>
        <w:rPr>
          <w:rFonts w:hint="eastAsia" w:ascii="仿宋" w:hAnsi="仿宋" w:eastAsia="仿宋"/>
          <w:b w:val="0"/>
        </w:rPr>
        <w:t>一</w:t>
      </w:r>
      <w:r>
        <w:rPr>
          <w:rStyle w:val="32"/>
          <w:rFonts w:hint="eastAsia" w:ascii="仿宋" w:hAnsi="仿宋" w:eastAsia="仿宋"/>
          <w:b w:val="0"/>
          <w:bCs w:val="0"/>
        </w:rPr>
        <w:t>般公共预算财政拨款支出决算明细表</w:t>
      </w:r>
      <w:bookmarkEnd w:id="108"/>
      <w:bookmarkEnd w:id="109"/>
    </w:p>
    <w:p>
      <w:pPr>
        <w:pStyle w:val="4"/>
        <w:pageBreakBefore w:val="0"/>
        <w:kinsoku/>
        <w:wordWrap/>
        <w:overflowPunct/>
        <w:topLinePunct w:val="0"/>
        <w:bidi w:val="0"/>
        <w:adjustRightInd w:val="0"/>
        <w:snapToGrid w:val="0"/>
        <w:spacing w:before="0" w:after="0" w:line="353" w:lineRule="auto"/>
        <w:ind w:left="0" w:right="0"/>
        <w:textAlignment w:val="auto"/>
        <w:rPr>
          <w:rFonts w:ascii="仿宋" w:hAnsi="仿宋" w:eastAsia="仿宋"/>
        </w:rPr>
      </w:pPr>
      <w:bookmarkStart w:id="110" w:name="_Toc15396626"/>
      <w:bookmarkStart w:id="111" w:name="_Toc6443"/>
      <w:r>
        <w:rPr>
          <w:rStyle w:val="32"/>
          <w:rFonts w:hint="eastAsia" w:ascii="仿宋" w:hAnsi="仿宋" w:eastAsia="仿宋"/>
          <w:b w:val="0"/>
          <w:bCs w:val="0"/>
        </w:rPr>
        <w:t>八、</w:t>
      </w:r>
      <w:r>
        <w:rPr>
          <w:rFonts w:hint="eastAsia" w:ascii="仿宋" w:hAnsi="仿宋" w:eastAsia="仿宋"/>
          <w:b w:val="0"/>
        </w:rPr>
        <w:t>一</w:t>
      </w:r>
      <w:r>
        <w:rPr>
          <w:rStyle w:val="32"/>
          <w:rFonts w:hint="eastAsia" w:ascii="仿宋" w:hAnsi="仿宋" w:eastAsia="仿宋"/>
          <w:b w:val="0"/>
          <w:bCs w:val="0"/>
        </w:rPr>
        <w:t>般公共预算财政拨款基本支出决算表</w:t>
      </w:r>
      <w:bookmarkEnd w:id="110"/>
      <w:bookmarkEnd w:id="111"/>
    </w:p>
    <w:p>
      <w:pPr>
        <w:pStyle w:val="4"/>
        <w:pageBreakBefore w:val="0"/>
        <w:kinsoku/>
        <w:wordWrap/>
        <w:overflowPunct/>
        <w:topLinePunct w:val="0"/>
        <w:bidi w:val="0"/>
        <w:adjustRightInd w:val="0"/>
        <w:snapToGrid w:val="0"/>
        <w:spacing w:before="0" w:after="0" w:line="353" w:lineRule="auto"/>
        <w:ind w:left="0" w:right="0"/>
        <w:textAlignment w:val="auto"/>
        <w:rPr>
          <w:rFonts w:ascii="仿宋" w:hAnsi="仿宋" w:eastAsia="仿宋"/>
        </w:rPr>
      </w:pPr>
      <w:bookmarkStart w:id="112" w:name="_Toc6089"/>
      <w:bookmarkStart w:id="113" w:name="_Toc15396627"/>
      <w:r>
        <w:rPr>
          <w:rStyle w:val="32"/>
          <w:rFonts w:hint="eastAsia" w:ascii="仿宋" w:hAnsi="仿宋" w:eastAsia="仿宋"/>
          <w:b w:val="0"/>
          <w:bCs w:val="0"/>
        </w:rPr>
        <w:t>九、</w:t>
      </w:r>
      <w:r>
        <w:rPr>
          <w:rFonts w:hint="eastAsia" w:ascii="仿宋" w:hAnsi="仿宋" w:eastAsia="仿宋"/>
          <w:b w:val="0"/>
        </w:rPr>
        <w:t>一</w:t>
      </w:r>
      <w:r>
        <w:rPr>
          <w:rStyle w:val="32"/>
          <w:rFonts w:hint="eastAsia" w:ascii="仿宋" w:hAnsi="仿宋" w:eastAsia="仿宋"/>
          <w:b w:val="0"/>
          <w:bCs w:val="0"/>
        </w:rPr>
        <w:t>般公共预算财政拨款项目支出决算表</w:t>
      </w:r>
      <w:bookmarkEnd w:id="112"/>
      <w:bookmarkEnd w:id="113"/>
    </w:p>
    <w:p>
      <w:pPr>
        <w:pStyle w:val="4"/>
        <w:pageBreakBefore w:val="0"/>
        <w:kinsoku/>
        <w:wordWrap/>
        <w:overflowPunct/>
        <w:topLinePunct w:val="0"/>
        <w:bidi w:val="0"/>
        <w:adjustRightInd w:val="0"/>
        <w:snapToGrid w:val="0"/>
        <w:spacing w:before="0" w:after="0" w:line="353" w:lineRule="auto"/>
        <w:ind w:left="0" w:right="0"/>
        <w:textAlignment w:val="auto"/>
        <w:rPr>
          <w:rFonts w:ascii="仿宋" w:hAnsi="仿宋" w:eastAsia="仿宋"/>
        </w:rPr>
      </w:pPr>
      <w:bookmarkStart w:id="114" w:name="_Toc15396628"/>
      <w:bookmarkStart w:id="115" w:name="_Toc27899"/>
      <w:r>
        <w:rPr>
          <w:rStyle w:val="32"/>
          <w:rFonts w:hint="eastAsia" w:ascii="仿宋" w:hAnsi="仿宋" w:eastAsia="仿宋"/>
          <w:b w:val="0"/>
          <w:bCs w:val="0"/>
        </w:rPr>
        <w:t>十、</w:t>
      </w:r>
      <w:bookmarkEnd w:id="114"/>
      <w:r>
        <w:rPr>
          <w:rFonts w:hint="eastAsia" w:ascii="仿宋" w:hAnsi="仿宋" w:eastAsia="仿宋"/>
          <w:b w:val="0"/>
        </w:rPr>
        <w:t>政</w:t>
      </w:r>
      <w:r>
        <w:rPr>
          <w:rStyle w:val="32"/>
          <w:rFonts w:hint="eastAsia" w:ascii="仿宋" w:hAnsi="仿宋" w:eastAsia="仿宋"/>
          <w:b w:val="0"/>
          <w:bCs w:val="0"/>
        </w:rPr>
        <w:t>府性基金预算财政拨款收入支出决算表</w:t>
      </w:r>
      <w:bookmarkEnd w:id="115"/>
    </w:p>
    <w:p>
      <w:pPr>
        <w:pStyle w:val="4"/>
        <w:pageBreakBefore w:val="0"/>
        <w:kinsoku/>
        <w:wordWrap/>
        <w:overflowPunct/>
        <w:topLinePunct w:val="0"/>
        <w:bidi w:val="0"/>
        <w:adjustRightInd w:val="0"/>
        <w:snapToGrid w:val="0"/>
        <w:spacing w:before="0" w:after="0" w:line="353" w:lineRule="auto"/>
        <w:ind w:left="0" w:right="0"/>
        <w:textAlignment w:val="auto"/>
        <w:rPr>
          <w:rFonts w:ascii="仿宋" w:hAnsi="仿宋" w:eastAsia="仿宋"/>
        </w:rPr>
      </w:pPr>
      <w:bookmarkStart w:id="116" w:name="_Toc15396629"/>
      <w:bookmarkStart w:id="117" w:name="_Toc10160"/>
      <w:r>
        <w:rPr>
          <w:rStyle w:val="32"/>
          <w:rFonts w:hint="eastAsia" w:ascii="仿宋" w:hAnsi="仿宋" w:eastAsia="仿宋"/>
          <w:b w:val="0"/>
          <w:bCs w:val="0"/>
        </w:rPr>
        <w:t>十一、</w:t>
      </w:r>
      <w:bookmarkEnd w:id="116"/>
      <w:r>
        <w:rPr>
          <w:rFonts w:hint="eastAsia" w:ascii="仿宋" w:hAnsi="仿宋" w:eastAsia="仿宋"/>
          <w:b w:val="0"/>
        </w:rPr>
        <w:t>国</w:t>
      </w:r>
      <w:r>
        <w:rPr>
          <w:rStyle w:val="32"/>
          <w:rFonts w:hint="eastAsia" w:ascii="仿宋" w:hAnsi="仿宋" w:eastAsia="仿宋"/>
          <w:b w:val="0"/>
          <w:bCs w:val="0"/>
        </w:rPr>
        <w:t>有资本经营预算财政拨款收入支出决算表</w:t>
      </w:r>
      <w:bookmarkEnd w:id="117"/>
    </w:p>
    <w:p>
      <w:pPr>
        <w:pStyle w:val="4"/>
        <w:pageBreakBefore w:val="0"/>
        <w:kinsoku/>
        <w:wordWrap/>
        <w:overflowPunct/>
        <w:topLinePunct w:val="0"/>
        <w:bidi w:val="0"/>
        <w:adjustRightInd w:val="0"/>
        <w:snapToGrid w:val="0"/>
        <w:spacing w:before="0" w:after="0" w:line="353" w:lineRule="auto"/>
        <w:ind w:left="0" w:right="0"/>
        <w:textAlignment w:val="auto"/>
        <w:rPr>
          <w:rFonts w:ascii="仿宋" w:hAnsi="仿宋" w:eastAsia="仿宋"/>
        </w:rPr>
      </w:pPr>
      <w:bookmarkStart w:id="118" w:name="_Toc15396630"/>
      <w:bookmarkStart w:id="119" w:name="_Toc99"/>
      <w:r>
        <w:rPr>
          <w:rStyle w:val="32"/>
          <w:rFonts w:hint="eastAsia" w:ascii="仿宋" w:hAnsi="仿宋" w:eastAsia="仿宋"/>
          <w:b w:val="0"/>
          <w:bCs w:val="0"/>
        </w:rPr>
        <w:t>十二、</w:t>
      </w:r>
      <w:bookmarkEnd w:id="118"/>
      <w:r>
        <w:rPr>
          <w:rStyle w:val="32"/>
          <w:rFonts w:hint="eastAsia" w:ascii="仿宋" w:hAnsi="仿宋" w:eastAsia="仿宋"/>
          <w:b w:val="0"/>
          <w:bCs w:val="0"/>
        </w:rPr>
        <w:t>国有资本经营预算财政拨款支出决算表</w:t>
      </w:r>
      <w:bookmarkEnd w:id="119"/>
    </w:p>
    <w:p>
      <w:pPr>
        <w:pStyle w:val="4"/>
        <w:pageBreakBefore w:val="0"/>
        <w:kinsoku/>
        <w:wordWrap/>
        <w:overflowPunct/>
        <w:topLinePunct w:val="0"/>
        <w:bidi w:val="0"/>
        <w:adjustRightInd w:val="0"/>
        <w:snapToGrid w:val="0"/>
        <w:spacing w:before="0" w:after="0" w:line="353" w:lineRule="auto"/>
        <w:ind w:left="0" w:right="0"/>
        <w:textAlignment w:val="auto"/>
        <w:rPr>
          <w:rFonts w:eastAsia="仿宋"/>
        </w:rPr>
      </w:pPr>
      <w:bookmarkStart w:id="120" w:name="_Toc15396631"/>
      <w:bookmarkStart w:id="121" w:name="_Toc29893"/>
      <w:r>
        <w:rPr>
          <w:rStyle w:val="32"/>
          <w:rFonts w:hint="eastAsia" w:ascii="仿宋" w:hAnsi="仿宋" w:eastAsia="仿宋"/>
          <w:b w:val="0"/>
          <w:bCs w:val="0"/>
        </w:rPr>
        <w:t>十三、</w:t>
      </w:r>
      <w:bookmarkEnd w:id="120"/>
      <w:r>
        <w:rPr>
          <w:rStyle w:val="32"/>
          <w:rFonts w:hint="eastAsia" w:ascii="仿宋" w:hAnsi="仿宋" w:eastAsia="仿宋"/>
          <w:b w:val="0"/>
          <w:bCs w:val="0"/>
        </w:rPr>
        <w:t>财政拨款“三公”经费支出决算表</w:t>
      </w:r>
      <w:bookmarkEnd w:id="121"/>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1"/>
          <w:jc w:val="center"/>
        </w:pPr>
        <w:r>
          <w:fldChar w:fldCharType="begin"/>
        </w:r>
        <w:r>
          <w:instrText xml:space="preserve">PAGE   \* MERGEFORMAT</w:instrText>
        </w:r>
        <w:r>
          <w:fldChar w:fldCharType="separate"/>
        </w:r>
        <w:r>
          <w:rPr>
            <w:lang w:val="zh-CN"/>
          </w:rPr>
          <w:t>36</w:t>
        </w:r>
        <w:r>
          <w:rPr>
            <w:lang w:val="zh-CN"/>
          </w:rP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EBEF323"/>
    <w:multiLevelType w:val="singleLevel"/>
    <w:tmpl w:val="DEBEF323"/>
    <w:lvl w:ilvl="0" w:tentative="0">
      <w:start w:val="4"/>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FFF674BC"/>
    <w:multiLevelType w:val="singleLevel"/>
    <w:tmpl w:val="FFF674BC"/>
    <w:lvl w:ilvl="0" w:tentative="0">
      <w:start w:val="1"/>
      <w:numFmt w:val="chineseCounting"/>
      <w:suff w:val="nothing"/>
      <w:lvlText w:val="%1、"/>
      <w:lvlJc w:val="left"/>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73376070"/>
    <w:multiLevelType w:val="singleLevel"/>
    <w:tmpl w:val="73376070"/>
    <w:lvl w:ilvl="0" w:tentative="0">
      <w:start w:val="10"/>
      <w:numFmt w:val="decimal"/>
      <w:lvlText w:val="%1."/>
      <w:lvlJc w:val="left"/>
      <w:pPr>
        <w:tabs>
          <w:tab w:val="left" w:pos="312"/>
        </w:tabs>
      </w:pPr>
    </w:lvl>
  </w:abstractNum>
  <w:num w:numId="1">
    <w:abstractNumId w:val="4"/>
  </w:num>
  <w:num w:numId="2">
    <w:abstractNumId w:val="0"/>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wNjAxZWJjZDEzZGRiYWE1MmYwNTM1Mjk2ZTNjMTIifQ=="/>
  </w:docVars>
  <w:rsids>
    <w:rsidRoot w:val="00F1361C"/>
    <w:rsid w:val="0000573B"/>
    <w:rsid w:val="000222C6"/>
    <w:rsid w:val="0002549F"/>
    <w:rsid w:val="000468DB"/>
    <w:rsid w:val="0006487A"/>
    <w:rsid w:val="00065F8F"/>
    <w:rsid w:val="00070A43"/>
    <w:rsid w:val="000768F2"/>
    <w:rsid w:val="00083E69"/>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37D4"/>
    <w:rsid w:val="00114E9B"/>
    <w:rsid w:val="00136D0C"/>
    <w:rsid w:val="00142216"/>
    <w:rsid w:val="00144D6A"/>
    <w:rsid w:val="0014729F"/>
    <w:rsid w:val="00157BAB"/>
    <w:rsid w:val="001654D1"/>
    <w:rsid w:val="00174518"/>
    <w:rsid w:val="0018106D"/>
    <w:rsid w:val="001877A7"/>
    <w:rsid w:val="00191536"/>
    <w:rsid w:val="00196687"/>
    <w:rsid w:val="001C0962"/>
    <w:rsid w:val="001D7531"/>
    <w:rsid w:val="001E2FF1"/>
    <w:rsid w:val="001E737D"/>
    <w:rsid w:val="001F0592"/>
    <w:rsid w:val="001F7506"/>
    <w:rsid w:val="002006CD"/>
    <w:rsid w:val="00202B36"/>
    <w:rsid w:val="00204B7A"/>
    <w:rsid w:val="00204CDE"/>
    <w:rsid w:val="0021101A"/>
    <w:rsid w:val="00217081"/>
    <w:rsid w:val="00220536"/>
    <w:rsid w:val="00235629"/>
    <w:rsid w:val="00247B82"/>
    <w:rsid w:val="00260C38"/>
    <w:rsid w:val="002616C0"/>
    <w:rsid w:val="00265372"/>
    <w:rsid w:val="002662AA"/>
    <w:rsid w:val="00280496"/>
    <w:rsid w:val="0028492E"/>
    <w:rsid w:val="00294DC9"/>
    <w:rsid w:val="00295495"/>
    <w:rsid w:val="002A31DE"/>
    <w:rsid w:val="002B2613"/>
    <w:rsid w:val="002D6D05"/>
    <w:rsid w:val="002F1818"/>
    <w:rsid w:val="002F4DC0"/>
    <w:rsid w:val="002F567B"/>
    <w:rsid w:val="003216A9"/>
    <w:rsid w:val="00335A74"/>
    <w:rsid w:val="0036561B"/>
    <w:rsid w:val="0036665D"/>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46E63"/>
    <w:rsid w:val="0046709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21B80"/>
    <w:rsid w:val="00525E15"/>
    <w:rsid w:val="005664BB"/>
    <w:rsid w:val="00566FFA"/>
    <w:rsid w:val="0057481D"/>
    <w:rsid w:val="0058486E"/>
    <w:rsid w:val="00585B33"/>
    <w:rsid w:val="00586F76"/>
    <w:rsid w:val="0059014D"/>
    <w:rsid w:val="005B5C64"/>
    <w:rsid w:val="005B67C6"/>
    <w:rsid w:val="005C5337"/>
    <w:rsid w:val="005C6BD0"/>
    <w:rsid w:val="005D1C8B"/>
    <w:rsid w:val="005D468D"/>
    <w:rsid w:val="005D5CED"/>
    <w:rsid w:val="005D7D8C"/>
    <w:rsid w:val="005E2B09"/>
    <w:rsid w:val="005F034F"/>
    <w:rsid w:val="005F1A4C"/>
    <w:rsid w:val="005F7F56"/>
    <w:rsid w:val="00605688"/>
    <w:rsid w:val="006070AF"/>
    <w:rsid w:val="00607E6C"/>
    <w:rsid w:val="006101B1"/>
    <w:rsid w:val="00614E44"/>
    <w:rsid w:val="0062270A"/>
    <w:rsid w:val="00622830"/>
    <w:rsid w:val="00623DA0"/>
    <w:rsid w:val="00630AEF"/>
    <w:rsid w:val="006325F8"/>
    <w:rsid w:val="00633463"/>
    <w:rsid w:val="00634C9A"/>
    <w:rsid w:val="006424CF"/>
    <w:rsid w:val="006440E4"/>
    <w:rsid w:val="00660348"/>
    <w:rsid w:val="0066343B"/>
    <w:rsid w:val="00664777"/>
    <w:rsid w:val="0067280B"/>
    <w:rsid w:val="006748A4"/>
    <w:rsid w:val="00681A31"/>
    <w:rsid w:val="00683E73"/>
    <w:rsid w:val="006A3141"/>
    <w:rsid w:val="006A5E34"/>
    <w:rsid w:val="006B2422"/>
    <w:rsid w:val="006B2B9A"/>
    <w:rsid w:val="006C029B"/>
    <w:rsid w:val="006C1937"/>
    <w:rsid w:val="006F020C"/>
    <w:rsid w:val="007063D2"/>
    <w:rsid w:val="0071071A"/>
    <w:rsid w:val="007127B7"/>
    <w:rsid w:val="0071798E"/>
    <w:rsid w:val="007416B6"/>
    <w:rsid w:val="00746F48"/>
    <w:rsid w:val="0075404D"/>
    <w:rsid w:val="0076182A"/>
    <w:rsid w:val="00767B7E"/>
    <w:rsid w:val="007770C3"/>
    <w:rsid w:val="00784D24"/>
    <w:rsid w:val="00785FBA"/>
    <w:rsid w:val="00786E4A"/>
    <w:rsid w:val="007875EB"/>
    <w:rsid w:val="007925E1"/>
    <w:rsid w:val="0079426B"/>
    <w:rsid w:val="007C332C"/>
    <w:rsid w:val="007D1682"/>
    <w:rsid w:val="007D312A"/>
    <w:rsid w:val="007D3F19"/>
    <w:rsid w:val="007E23B0"/>
    <w:rsid w:val="007E23E5"/>
    <w:rsid w:val="007F1991"/>
    <w:rsid w:val="007F2C2F"/>
    <w:rsid w:val="007F55FC"/>
    <w:rsid w:val="007F5665"/>
    <w:rsid w:val="00800112"/>
    <w:rsid w:val="008012DE"/>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8F77FF"/>
    <w:rsid w:val="00900B08"/>
    <w:rsid w:val="00902155"/>
    <w:rsid w:val="00902FA3"/>
    <w:rsid w:val="00923564"/>
    <w:rsid w:val="0092392E"/>
    <w:rsid w:val="009315F9"/>
    <w:rsid w:val="00933499"/>
    <w:rsid w:val="00935C98"/>
    <w:rsid w:val="00943DCE"/>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4DB6"/>
    <w:rsid w:val="009F1185"/>
    <w:rsid w:val="009F18CD"/>
    <w:rsid w:val="009F2A13"/>
    <w:rsid w:val="009F5540"/>
    <w:rsid w:val="009F7527"/>
    <w:rsid w:val="00A04EB0"/>
    <w:rsid w:val="00A13CC1"/>
    <w:rsid w:val="00A16847"/>
    <w:rsid w:val="00A237D8"/>
    <w:rsid w:val="00A268C4"/>
    <w:rsid w:val="00A307CD"/>
    <w:rsid w:val="00A331C8"/>
    <w:rsid w:val="00A40A00"/>
    <w:rsid w:val="00A4142F"/>
    <w:rsid w:val="00A422EB"/>
    <w:rsid w:val="00A45BB7"/>
    <w:rsid w:val="00A50676"/>
    <w:rsid w:val="00A56DF2"/>
    <w:rsid w:val="00A56E6E"/>
    <w:rsid w:val="00A67AB5"/>
    <w:rsid w:val="00A733B2"/>
    <w:rsid w:val="00A741C2"/>
    <w:rsid w:val="00A91760"/>
    <w:rsid w:val="00A93B00"/>
    <w:rsid w:val="00A93C21"/>
    <w:rsid w:val="00AB64C9"/>
    <w:rsid w:val="00AC3C6A"/>
    <w:rsid w:val="00AC79DB"/>
    <w:rsid w:val="00AD44C0"/>
    <w:rsid w:val="00AD5620"/>
    <w:rsid w:val="00AD656B"/>
    <w:rsid w:val="00AD7C1B"/>
    <w:rsid w:val="00AE16BA"/>
    <w:rsid w:val="00AE1EBE"/>
    <w:rsid w:val="00AF0A50"/>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352B"/>
    <w:rsid w:val="00B77EA6"/>
    <w:rsid w:val="00B81598"/>
    <w:rsid w:val="00B841F1"/>
    <w:rsid w:val="00B854DA"/>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2575"/>
    <w:rsid w:val="00C533CC"/>
    <w:rsid w:val="00C5751C"/>
    <w:rsid w:val="00C61BFC"/>
    <w:rsid w:val="00C62B85"/>
    <w:rsid w:val="00C65438"/>
    <w:rsid w:val="00C87FD8"/>
    <w:rsid w:val="00C91381"/>
    <w:rsid w:val="00C91CBB"/>
    <w:rsid w:val="00CB4E70"/>
    <w:rsid w:val="00CC09B6"/>
    <w:rsid w:val="00CC666F"/>
    <w:rsid w:val="00CC6BAC"/>
    <w:rsid w:val="00CD1E3F"/>
    <w:rsid w:val="00CE44F6"/>
    <w:rsid w:val="00CE49DA"/>
    <w:rsid w:val="00CE7B61"/>
    <w:rsid w:val="00D00095"/>
    <w:rsid w:val="00D114F0"/>
    <w:rsid w:val="00D20620"/>
    <w:rsid w:val="00D254F7"/>
    <w:rsid w:val="00D26091"/>
    <w:rsid w:val="00D2685C"/>
    <w:rsid w:val="00D34E7C"/>
    <w:rsid w:val="00D34F17"/>
    <w:rsid w:val="00D35489"/>
    <w:rsid w:val="00D36AFE"/>
    <w:rsid w:val="00D4145D"/>
    <w:rsid w:val="00D51276"/>
    <w:rsid w:val="00D53133"/>
    <w:rsid w:val="00D65A13"/>
    <w:rsid w:val="00D7035F"/>
    <w:rsid w:val="00D95577"/>
    <w:rsid w:val="00DA634F"/>
    <w:rsid w:val="00DA65AC"/>
    <w:rsid w:val="00DB1913"/>
    <w:rsid w:val="00DC410D"/>
    <w:rsid w:val="00DC4B63"/>
    <w:rsid w:val="00DC5A81"/>
    <w:rsid w:val="00DC68CA"/>
    <w:rsid w:val="00DC7CBA"/>
    <w:rsid w:val="00DD1833"/>
    <w:rsid w:val="00DD73B7"/>
    <w:rsid w:val="00DF06E2"/>
    <w:rsid w:val="00DF28BC"/>
    <w:rsid w:val="00DF34B9"/>
    <w:rsid w:val="00E01053"/>
    <w:rsid w:val="00E07ACF"/>
    <w:rsid w:val="00E22135"/>
    <w:rsid w:val="00E331A1"/>
    <w:rsid w:val="00E33202"/>
    <w:rsid w:val="00E336A9"/>
    <w:rsid w:val="00E472B1"/>
    <w:rsid w:val="00E50624"/>
    <w:rsid w:val="00E5285B"/>
    <w:rsid w:val="00E568DF"/>
    <w:rsid w:val="00E64269"/>
    <w:rsid w:val="00E747EB"/>
    <w:rsid w:val="00E82267"/>
    <w:rsid w:val="00E853CE"/>
    <w:rsid w:val="00E867B6"/>
    <w:rsid w:val="00EA010F"/>
    <w:rsid w:val="00ED1B63"/>
    <w:rsid w:val="00ED3C1F"/>
    <w:rsid w:val="00ED4085"/>
    <w:rsid w:val="00ED420E"/>
    <w:rsid w:val="00ED6FBE"/>
    <w:rsid w:val="00EE2F57"/>
    <w:rsid w:val="00EF39C0"/>
    <w:rsid w:val="00EF4C34"/>
    <w:rsid w:val="00EF77C6"/>
    <w:rsid w:val="00F05438"/>
    <w:rsid w:val="00F1361C"/>
    <w:rsid w:val="00F156F0"/>
    <w:rsid w:val="00F160C7"/>
    <w:rsid w:val="00F22EFC"/>
    <w:rsid w:val="00F2408F"/>
    <w:rsid w:val="00F240E9"/>
    <w:rsid w:val="00F36D8F"/>
    <w:rsid w:val="00F417B1"/>
    <w:rsid w:val="00F45853"/>
    <w:rsid w:val="00F5721D"/>
    <w:rsid w:val="00F602DF"/>
    <w:rsid w:val="00F754A1"/>
    <w:rsid w:val="00F81FD9"/>
    <w:rsid w:val="00F841AA"/>
    <w:rsid w:val="00F84A94"/>
    <w:rsid w:val="00F87E96"/>
    <w:rsid w:val="00FA23E8"/>
    <w:rsid w:val="00FD3683"/>
    <w:rsid w:val="00FD3CC1"/>
    <w:rsid w:val="00FF1E02"/>
    <w:rsid w:val="00FF30B4"/>
    <w:rsid w:val="015975B8"/>
    <w:rsid w:val="01CB578C"/>
    <w:rsid w:val="02143E91"/>
    <w:rsid w:val="066E0107"/>
    <w:rsid w:val="07996F6E"/>
    <w:rsid w:val="0A2032A3"/>
    <w:rsid w:val="0F98263C"/>
    <w:rsid w:val="101860EC"/>
    <w:rsid w:val="10C055FF"/>
    <w:rsid w:val="118107EC"/>
    <w:rsid w:val="13D50BC4"/>
    <w:rsid w:val="16BB723D"/>
    <w:rsid w:val="1BE8440E"/>
    <w:rsid w:val="1C68296C"/>
    <w:rsid w:val="1D155CEE"/>
    <w:rsid w:val="1EC7098C"/>
    <w:rsid w:val="1FF35744"/>
    <w:rsid w:val="237B6F81"/>
    <w:rsid w:val="23860B96"/>
    <w:rsid w:val="240371BF"/>
    <w:rsid w:val="29FD04D3"/>
    <w:rsid w:val="2C8A61B5"/>
    <w:rsid w:val="2DF04E50"/>
    <w:rsid w:val="2F040D46"/>
    <w:rsid w:val="2F1464CC"/>
    <w:rsid w:val="319F7F4E"/>
    <w:rsid w:val="3304709D"/>
    <w:rsid w:val="358D33A2"/>
    <w:rsid w:val="36AA5135"/>
    <w:rsid w:val="376D39B2"/>
    <w:rsid w:val="37E16F03"/>
    <w:rsid w:val="387A4724"/>
    <w:rsid w:val="38D469F0"/>
    <w:rsid w:val="3D98207C"/>
    <w:rsid w:val="3E78745D"/>
    <w:rsid w:val="41766CF7"/>
    <w:rsid w:val="44E268DA"/>
    <w:rsid w:val="4A627F82"/>
    <w:rsid w:val="4B0E749A"/>
    <w:rsid w:val="4B4F25DA"/>
    <w:rsid w:val="4BE068DB"/>
    <w:rsid w:val="4D577224"/>
    <w:rsid w:val="4EAB630A"/>
    <w:rsid w:val="4ECE2238"/>
    <w:rsid w:val="52CD24EF"/>
    <w:rsid w:val="537E6D0A"/>
    <w:rsid w:val="56CC541F"/>
    <w:rsid w:val="5AF92295"/>
    <w:rsid w:val="5CD71FC4"/>
    <w:rsid w:val="5DB2351A"/>
    <w:rsid w:val="6037173E"/>
    <w:rsid w:val="6566406B"/>
    <w:rsid w:val="6C4A05C8"/>
    <w:rsid w:val="6D8276B5"/>
    <w:rsid w:val="6E7E3605"/>
    <w:rsid w:val="6FF5CC65"/>
    <w:rsid w:val="70C7542B"/>
    <w:rsid w:val="715C0E4B"/>
    <w:rsid w:val="72734D90"/>
    <w:rsid w:val="73AD73D5"/>
    <w:rsid w:val="73B6EB34"/>
    <w:rsid w:val="744731E5"/>
    <w:rsid w:val="76E3355F"/>
    <w:rsid w:val="778769C8"/>
    <w:rsid w:val="79EE5BA4"/>
    <w:rsid w:val="7A894339"/>
    <w:rsid w:val="7EEF11D3"/>
    <w:rsid w:val="7FA30C79"/>
    <w:rsid w:val="7FB7269E"/>
    <w:rsid w:val="7FC96657"/>
    <w:rsid w:val="D8D6DB89"/>
    <w:rsid w:val="DB6F4CAB"/>
    <w:rsid w:val="DF6F97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5"/>
    <w:unhideWhenUsed/>
    <w:qFormat/>
    <w:uiPriority w:val="9"/>
    <w:pPr>
      <w:keepNext/>
      <w:keepLines/>
      <w:spacing w:before="260" w:after="260" w:line="416" w:lineRule="auto"/>
      <w:outlineLvl w:val="2"/>
    </w:pPr>
    <w:rPr>
      <w:b/>
      <w:bCs/>
      <w:sz w:val="32"/>
      <w:szCs w:val="32"/>
    </w:rPr>
  </w:style>
  <w:style w:type="character" w:default="1" w:styleId="18">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2">
    <w:name w:val="Body Text"/>
    <w:basedOn w:val="1"/>
    <w:link w:val="28"/>
    <w:qFormat/>
    <w:uiPriority w:val="99"/>
    <w:pPr>
      <w:spacing w:beforeLines="30"/>
    </w:pPr>
    <w:rPr>
      <w:rFonts w:ascii="仿宋_GB2312" w:eastAsia="仿宋_GB2312"/>
      <w:kern w:val="0"/>
      <w:sz w:val="30"/>
    </w:rPr>
  </w:style>
  <w:style w:type="paragraph" w:styleId="6">
    <w:name w:val="Salutation"/>
    <w:basedOn w:val="1"/>
    <w:next w:val="1"/>
    <w:link w:val="54"/>
    <w:unhideWhenUsed/>
    <w:qFormat/>
    <w:uiPriority w:val="99"/>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Plain Text"/>
    <w:basedOn w:val="1"/>
    <w:link w:val="53"/>
    <w:qFormat/>
    <w:uiPriority w:val="0"/>
    <w:rPr>
      <w:rFonts w:ascii="仿宋_GB2312" w:eastAsia="仿宋_GB2312"/>
      <w:spacing w:val="-70"/>
      <w:sz w:val="32"/>
      <w:szCs w:val="32"/>
    </w:rPr>
  </w:style>
  <w:style w:type="paragraph" w:styleId="10">
    <w:name w:val="Balloon Text"/>
    <w:basedOn w:val="1"/>
    <w:link w:val="34"/>
    <w:unhideWhenUsed/>
    <w:qFormat/>
    <w:uiPriority w:val="0"/>
    <w:rPr>
      <w:sz w:val="18"/>
      <w:szCs w:val="18"/>
    </w:rPr>
  </w:style>
  <w:style w:type="paragraph" w:styleId="11">
    <w:name w:val="footer"/>
    <w:basedOn w:val="1"/>
    <w:link w:val="26"/>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unhideWhenUsed/>
    <w:qFormat/>
    <w:uiPriority w:val="99"/>
    <w:pPr>
      <w:spacing w:beforeAutospacing="1" w:afterAutospacing="1"/>
      <w:jc w:val="left"/>
    </w:pPr>
    <w:rPr>
      <w:kern w:val="0"/>
      <w:sz w:val="24"/>
    </w:rPr>
  </w:style>
  <w:style w:type="paragraph" w:styleId="16">
    <w:name w:val="Body Text First Indent 2"/>
    <w:basedOn w:val="7"/>
    <w:unhideWhenUsed/>
    <w:qFormat/>
    <w:uiPriority w:val="99"/>
    <w:pPr>
      <w:ind w:firstLine="420" w:firstLineChars="200"/>
    </w:pPr>
  </w:style>
  <w:style w:type="character" w:styleId="19">
    <w:name w:val="Strong"/>
    <w:basedOn w:val="18"/>
    <w:qFormat/>
    <w:uiPriority w:val="99"/>
    <w:rPr>
      <w:b/>
    </w:rPr>
  </w:style>
  <w:style w:type="character" w:styleId="20">
    <w:name w:val="FollowedHyperlink"/>
    <w:basedOn w:val="18"/>
    <w:unhideWhenUsed/>
    <w:qFormat/>
    <w:uiPriority w:val="99"/>
    <w:rPr>
      <w:color w:val="954F72"/>
      <w:u w:val="single"/>
    </w:rPr>
  </w:style>
  <w:style w:type="character" w:styleId="21">
    <w:name w:val="Hyperlink"/>
    <w:basedOn w:val="18"/>
    <w:unhideWhenUsed/>
    <w:qFormat/>
    <w:uiPriority w:val="99"/>
    <w:rPr>
      <w:color w:val="0000FF" w:themeColor="hyperlink"/>
      <w:u w:val="single"/>
    </w:rPr>
  </w:style>
  <w:style w:type="paragraph" w:customStyle="1" w:styleId="2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3">
    <w:name w:val="Header Char"/>
    <w:basedOn w:val="18"/>
    <w:semiHidden/>
    <w:qFormat/>
    <w:uiPriority w:val="99"/>
    <w:rPr>
      <w:rFonts w:ascii="Times New Roman" w:hAnsi="Times New Roman"/>
      <w:sz w:val="18"/>
      <w:szCs w:val="18"/>
    </w:rPr>
  </w:style>
  <w:style w:type="character" w:customStyle="1" w:styleId="24">
    <w:name w:val="页眉 Char"/>
    <w:link w:val="12"/>
    <w:semiHidden/>
    <w:qFormat/>
    <w:locked/>
    <w:uiPriority w:val="99"/>
    <w:rPr>
      <w:sz w:val="18"/>
    </w:rPr>
  </w:style>
  <w:style w:type="character" w:customStyle="1" w:styleId="25">
    <w:name w:val="Footer Char"/>
    <w:basedOn w:val="18"/>
    <w:semiHidden/>
    <w:qFormat/>
    <w:uiPriority w:val="99"/>
    <w:rPr>
      <w:rFonts w:ascii="Times New Roman" w:hAnsi="Times New Roman"/>
      <w:sz w:val="18"/>
      <w:szCs w:val="18"/>
    </w:rPr>
  </w:style>
  <w:style w:type="character" w:customStyle="1" w:styleId="26">
    <w:name w:val="页脚 Char"/>
    <w:link w:val="11"/>
    <w:qFormat/>
    <w:locked/>
    <w:uiPriority w:val="99"/>
    <w:rPr>
      <w:sz w:val="18"/>
    </w:rPr>
  </w:style>
  <w:style w:type="character" w:customStyle="1" w:styleId="27">
    <w:name w:val="Body Text Char"/>
    <w:basedOn w:val="18"/>
    <w:semiHidden/>
    <w:qFormat/>
    <w:uiPriority w:val="99"/>
    <w:rPr>
      <w:rFonts w:ascii="Times New Roman" w:hAnsi="Times New Roman"/>
      <w:szCs w:val="24"/>
    </w:rPr>
  </w:style>
  <w:style w:type="character" w:customStyle="1" w:styleId="28">
    <w:name w:val="正文文本 Char"/>
    <w:link w:val="2"/>
    <w:qFormat/>
    <w:locked/>
    <w:uiPriority w:val="99"/>
    <w:rPr>
      <w:rFonts w:ascii="仿宋_GB2312" w:hAnsi="Times New Roman" w:eastAsia="仿宋_GB2312"/>
      <w:sz w:val="24"/>
    </w:rPr>
  </w:style>
  <w:style w:type="paragraph" w:customStyle="1" w:styleId="2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30">
    <w:name w:val="列出段落1"/>
    <w:basedOn w:val="1"/>
    <w:qFormat/>
    <w:uiPriority w:val="34"/>
    <w:pPr>
      <w:ind w:firstLine="420" w:firstLineChars="200"/>
    </w:pPr>
  </w:style>
  <w:style w:type="character" w:customStyle="1" w:styleId="31">
    <w:name w:val="标题 1 Char"/>
    <w:basedOn w:val="18"/>
    <w:link w:val="3"/>
    <w:qFormat/>
    <w:uiPriority w:val="9"/>
    <w:rPr>
      <w:rFonts w:ascii="Times New Roman" w:hAnsi="Times New Roman"/>
      <w:b/>
      <w:bCs/>
      <w:kern w:val="44"/>
      <w:sz w:val="44"/>
      <w:szCs w:val="44"/>
    </w:rPr>
  </w:style>
  <w:style w:type="character" w:customStyle="1" w:styleId="32">
    <w:name w:val="标题 2 Char"/>
    <w:basedOn w:val="18"/>
    <w:link w:val="4"/>
    <w:qFormat/>
    <w:uiPriority w:val="9"/>
    <w:rPr>
      <w:rFonts w:asciiTheme="majorHAnsi" w:hAnsiTheme="majorHAnsi" w:eastAsiaTheme="majorEastAsia" w:cstheme="majorBidi"/>
      <w:b/>
      <w:bCs/>
      <w:kern w:val="2"/>
      <w:sz w:val="32"/>
      <w:szCs w:val="32"/>
    </w:rPr>
  </w:style>
  <w:style w:type="paragraph" w:customStyle="1" w:styleId="33">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4">
    <w:name w:val="批注框文本 Char"/>
    <w:basedOn w:val="18"/>
    <w:link w:val="10"/>
    <w:semiHidden/>
    <w:qFormat/>
    <w:uiPriority w:val="99"/>
    <w:rPr>
      <w:rFonts w:ascii="Times New Roman" w:hAnsi="Times New Roman"/>
      <w:kern w:val="2"/>
      <w:sz w:val="18"/>
      <w:szCs w:val="18"/>
    </w:rPr>
  </w:style>
  <w:style w:type="character" w:customStyle="1" w:styleId="35">
    <w:name w:val="标题 3 Char"/>
    <w:basedOn w:val="18"/>
    <w:link w:val="5"/>
    <w:qFormat/>
    <w:uiPriority w:val="9"/>
    <w:rPr>
      <w:rFonts w:ascii="Times New Roman" w:hAnsi="Times New Roman"/>
      <w:b/>
      <w:bCs/>
      <w:kern w:val="2"/>
      <w:sz w:val="32"/>
      <w:szCs w:val="32"/>
    </w:rPr>
  </w:style>
  <w:style w:type="paragraph" w:customStyle="1" w:styleId="36">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7">
    <w:name w:val="四号正文"/>
    <w:basedOn w:val="1"/>
    <w:qFormat/>
    <w:uiPriority w:val="0"/>
    <w:pPr>
      <w:spacing w:line="360" w:lineRule="auto"/>
    </w:pPr>
    <w:rPr>
      <w:rFonts w:ascii="??" w:hAnsi="??"/>
      <w:color w:val="000000"/>
      <w:kern w:val="0"/>
      <w:sz w:val="28"/>
      <w:szCs w:val="21"/>
      <w:lang w:val="zh-CN"/>
    </w:rPr>
  </w:style>
  <w:style w:type="paragraph" w:customStyle="1" w:styleId="38">
    <w:name w:val="TOC 标题3"/>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3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0">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1">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42">
    <w:name w:val="xl64"/>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43">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4">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5">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6">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7">
    <w:name w:val="xl6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8">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color w:val="000000"/>
      <w:kern w:val="0"/>
      <w:sz w:val="30"/>
      <w:szCs w:val="30"/>
    </w:rPr>
  </w:style>
  <w:style w:type="paragraph" w:customStyle="1" w:styleId="49">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50">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51">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52">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 w:type="character" w:customStyle="1" w:styleId="53">
    <w:name w:val="纯文本 Char"/>
    <w:basedOn w:val="18"/>
    <w:link w:val="9"/>
    <w:qFormat/>
    <w:uiPriority w:val="0"/>
    <w:rPr>
      <w:rFonts w:ascii="仿宋_GB2312" w:hAnsi="Times New Roman" w:eastAsia="仿宋_GB2312" w:cs="Times New Roman"/>
      <w:spacing w:val="-70"/>
      <w:kern w:val="2"/>
      <w:sz w:val="32"/>
      <w:szCs w:val="32"/>
    </w:rPr>
  </w:style>
  <w:style w:type="character" w:customStyle="1" w:styleId="54">
    <w:name w:val="称呼 Char"/>
    <w:basedOn w:val="18"/>
    <w:link w:val="6"/>
    <w:qFormat/>
    <w:uiPriority w:val="99"/>
    <w:rPr>
      <w:rFonts w:ascii="Times New Roman" w:hAnsi="Times New Roman" w:eastAsia="宋体" w:cs="Times New Roman"/>
      <w:kern w:val="2"/>
      <w:sz w:val="21"/>
      <w:szCs w:val="24"/>
    </w:rPr>
  </w:style>
  <w:style w:type="paragraph" w:customStyle="1" w:styleId="55">
    <w:name w:val="WPSOffice手动目录 1"/>
    <w:qFormat/>
    <w:uiPriority w:val="0"/>
    <w:pPr>
      <w:ind w:leftChars="0"/>
    </w:pPr>
    <w:rPr>
      <w:rFonts w:asciiTheme="minorHAnsi" w:hAnsiTheme="minorHAnsi" w:eastAsiaTheme="minorEastAsia" w:cstheme="minorBidi"/>
      <w:sz w:val="20"/>
      <w:szCs w:val="20"/>
    </w:rPr>
  </w:style>
  <w:style w:type="paragraph" w:customStyle="1" w:styleId="56">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AA9A9-DAF3-453D-96D6-C444C688745E}">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Pages>
  <Words>2116</Words>
  <Characters>12064</Characters>
  <Lines>100</Lines>
  <Paragraphs>28</Paragraphs>
  <TotalTime>1</TotalTime>
  <ScaleCrop>false</ScaleCrop>
  <LinksUpToDate>false</LinksUpToDate>
  <CharactersWithSpaces>14152</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lenovo</cp:lastModifiedBy>
  <cp:lastPrinted>2023-10-25T01:29:00Z</cp:lastPrinted>
  <dcterms:modified xsi:type="dcterms:W3CDTF">2024-07-02T04:25:26Z</dcterms:modified>
  <dc:title>四川省***</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D626A55F977D4FD48DA18F9EF1C6AFB5</vt:lpwstr>
  </property>
</Properties>
</file>