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bookmarkStart w:id="67" w:name="_GoBack"/>
      <w:bookmarkEnd w:id="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_GBK" w:hAnsi="方正小标宋_GBK" w:eastAsia="方正小标宋_GBK" w:cs="方正小标宋_GBK"/>
          <w:sz w:val="72"/>
          <w:szCs w:val="72"/>
        </w:rPr>
      </w:pPr>
      <w:bookmarkStart w:id="1" w:name="_Toc15377193"/>
      <w:bookmarkStart w:id="2" w:name="_Toc15396475"/>
      <w:bookmarkStart w:id="3" w:name="_Toc15378441"/>
      <w:bookmarkStart w:id="4" w:name="_Toc15396597"/>
      <w:bookmarkStart w:id="5" w:name="_Toc15377425"/>
      <w:r>
        <w:rPr>
          <w:rFonts w:hint="eastAsia" w:ascii="方正小标宋_GBK" w:hAnsi="方正小标宋_GBK" w:eastAsia="方正小标宋_GBK" w:cs="方正小标宋_GBK"/>
          <w:sz w:val="72"/>
          <w:szCs w:val="72"/>
        </w:rPr>
        <w:t>2022年度</w:t>
      </w:r>
      <w:bookmarkEnd w:id="1"/>
      <w:bookmarkEnd w:id="2"/>
      <w:bookmarkEnd w:id="3"/>
      <w:bookmarkEnd w:id="4"/>
      <w:bookmarkEnd w:id="5"/>
    </w:p>
    <w:p>
      <w:pPr>
        <w:adjustRightInd w:val="0"/>
        <w:snapToGrid w:val="0"/>
        <w:spacing w:line="360" w:lineRule="auto"/>
        <w:jc w:val="center"/>
        <w:outlineLvl w:val="0"/>
        <w:rPr>
          <w:rFonts w:hint="eastAsia" w:ascii="方正小标宋_GBK" w:hAnsi="方正小标宋_GBK" w:eastAsia="方正小标宋_GBK" w:cs="方正小标宋_GBK"/>
          <w:spacing w:val="-23"/>
          <w:sz w:val="72"/>
          <w:szCs w:val="72"/>
        </w:rPr>
      </w:pPr>
      <w:bookmarkStart w:id="6" w:name="_Toc15377194"/>
      <w:bookmarkStart w:id="7" w:name="_Toc15396598"/>
      <w:bookmarkStart w:id="8" w:name="_Toc15377426"/>
      <w:bookmarkStart w:id="9" w:name="_Toc15378442"/>
      <w:bookmarkStart w:id="10" w:name="_Toc15396476"/>
      <w:r>
        <w:rPr>
          <w:rFonts w:hint="eastAsia" w:ascii="方正小标宋_GBK" w:hAnsi="方正小标宋_GBK" w:eastAsia="方正小标宋_GBK" w:cs="方正小标宋_GBK"/>
          <w:spacing w:val="-23"/>
          <w:sz w:val="72"/>
          <w:szCs w:val="72"/>
        </w:rPr>
        <w:t>攀枝花市西区</w:t>
      </w:r>
      <w:bookmarkEnd w:id="0"/>
      <w:bookmarkStart w:id="11" w:name="_Toc15306268"/>
      <w:r>
        <w:rPr>
          <w:rFonts w:hint="eastAsia" w:ascii="方正小标宋_GBK" w:hAnsi="方正小标宋_GBK" w:eastAsia="方正小标宋_GBK" w:cs="方正小标宋_GBK"/>
          <w:spacing w:val="-23"/>
          <w:sz w:val="72"/>
          <w:szCs w:val="72"/>
        </w:rPr>
        <w:t>水利局单位决算</w:t>
      </w:r>
      <w:bookmarkEnd w:id="6"/>
      <w:bookmarkEnd w:id="7"/>
      <w:bookmarkEnd w:id="8"/>
      <w:bookmarkEnd w:id="9"/>
      <w:bookmarkEnd w:id="10"/>
      <w:bookmarkEnd w:id="11"/>
    </w:p>
    <w:p>
      <w:pPr>
        <w:widowControl/>
        <w:tabs>
          <w:tab w:val="left" w:pos="7980"/>
        </w:tabs>
        <w:jc w:val="center"/>
        <w:rPr>
          <w:rFonts w:hint="eastAsia" w:ascii="黑体" w:hAnsi="黑体" w:eastAsia="黑体"/>
          <w:sz w:val="48"/>
          <w:szCs w:val="48"/>
        </w:rPr>
        <w:sectPr>
          <w:headerReference r:id="rId3" w:type="default"/>
          <w:pgSz w:w="11906" w:h="16838"/>
          <w:pgMar w:top="1984" w:right="1474" w:bottom="2098" w:left="1587" w:header="851" w:footer="992" w:gutter="0"/>
          <w:pgNumType w:fmt="numberInDash" w:start="1"/>
          <w:cols w:space="425" w:num="1"/>
          <w:titlePg/>
          <w:docGrid w:type="lines" w:linePitch="312" w:charSpace="0"/>
        </w:sectPr>
      </w:pPr>
    </w:p>
    <w:p>
      <w:pPr>
        <w:widowControl/>
        <w:tabs>
          <w:tab w:val="left" w:pos="7980"/>
        </w:tabs>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公开时间：2023年10月</w:t>
      </w:r>
      <w:r>
        <w:rPr>
          <w:rFonts w:hint="eastAsia"/>
          <w:lang w:val="en-US" w:eastAsia="zh-CN"/>
        </w:rPr>
        <w:t>30</w:t>
      </w:r>
      <w:r>
        <w:rPr>
          <w:rFonts w:hint="eastAsia"/>
        </w:rPr>
        <w:t>日</w:t>
      </w:r>
    </w:p>
    <w:p/>
    <w:p>
      <w:pPr>
        <w:pStyle w:val="10"/>
        <w:adjustRightInd w:val="0"/>
        <w:snapToGrid w:val="0"/>
        <w:spacing w:before="0" w:line="4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第一部分单位概况</w:t>
      </w:r>
      <w:r>
        <w:rPr>
          <w:rFonts w:hint="eastAsia" w:ascii="仿宋_GB2312" w:hAnsi="仿宋_GB2312" w:eastAsia="仿宋_GB2312" w:cs="仿宋_GB2312"/>
          <w:sz w:val="32"/>
          <w:szCs w:val="32"/>
          <w:lang w:val="en-US" w:eastAsia="zh-CN"/>
        </w:rPr>
        <w:t>.....................................3</w:t>
      </w:r>
    </w:p>
    <w:p>
      <w:pPr>
        <w:pStyle w:val="11"/>
        <w:tabs>
          <w:tab w:val="left" w:pos="7980"/>
          <w:tab w:val="left" w:pos="8190"/>
        </w:tabs>
        <w:adjustRightInd w:val="0"/>
        <w:snapToGrid w:val="0"/>
        <w:spacing w:line="4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一、主要职责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p>
    <w:p>
      <w:pPr>
        <w:pStyle w:val="11"/>
        <w:adjustRightInd w:val="0"/>
        <w:snapToGrid w:val="0"/>
        <w:spacing w:line="44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lang w:val="en-US" w:eastAsia="zh-CN"/>
        </w:rPr>
        <w:t>......................................6</w:t>
      </w:r>
    </w:p>
    <w:p>
      <w:pPr>
        <w:pStyle w:val="10"/>
        <w:adjustRightInd w:val="0"/>
        <w:snapToGrid w:val="0"/>
        <w:spacing w:before="0" w:line="440" w:lineRule="exact"/>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第二部分 2022年度单位决算情况说明</w:t>
      </w:r>
      <w:r>
        <w:rPr>
          <w:rFonts w:hint="eastAsia" w:ascii="仿宋_GB2312" w:hAnsi="仿宋_GB2312" w:eastAsia="仿宋_GB2312" w:cs="仿宋_GB2312"/>
          <w:kern w:val="2"/>
          <w:sz w:val="32"/>
          <w:szCs w:val="32"/>
          <w:lang w:val="en-US" w:eastAsia="zh-CN" w:bidi="ar-SA"/>
        </w:rPr>
        <w:t>...................7</w:t>
      </w:r>
    </w:p>
    <w:p>
      <w:pPr>
        <w:pStyle w:val="11"/>
        <w:adjustRightInd w:val="0"/>
        <w:snapToGrid w:val="0"/>
        <w:spacing w:line="440" w:lineRule="exact"/>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一、收入支出决算总体情况说明</w:t>
      </w:r>
      <w:r>
        <w:rPr>
          <w:rFonts w:hint="eastAsia" w:ascii="仿宋_GB2312" w:hAnsi="仿宋_GB2312" w:eastAsia="仿宋_GB2312" w:cs="仿宋_GB2312"/>
          <w:kern w:val="2"/>
          <w:sz w:val="32"/>
          <w:szCs w:val="32"/>
          <w:lang w:val="en-US" w:eastAsia="zh-CN" w:bidi="ar-SA"/>
        </w:rPr>
        <w:t>......................7</w:t>
      </w:r>
    </w:p>
    <w:p>
      <w:pPr>
        <w:pStyle w:val="11"/>
        <w:adjustRightInd w:val="0"/>
        <w:snapToGrid w:val="0"/>
        <w:spacing w:line="440" w:lineRule="exact"/>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二、收入决算情况说明</w:t>
      </w:r>
      <w:r>
        <w:rPr>
          <w:rFonts w:hint="eastAsia" w:ascii="仿宋_GB2312" w:hAnsi="仿宋_GB2312" w:eastAsia="仿宋_GB2312" w:cs="仿宋_GB2312"/>
          <w:kern w:val="2"/>
          <w:sz w:val="32"/>
          <w:szCs w:val="32"/>
          <w:lang w:val="en-US" w:eastAsia="zh-CN" w:bidi="ar-SA"/>
        </w:rPr>
        <w:t>..............................7</w:t>
      </w:r>
    </w:p>
    <w:p>
      <w:pPr>
        <w:pStyle w:val="11"/>
        <w:adjustRightInd w:val="0"/>
        <w:snapToGrid w:val="0"/>
        <w:spacing w:line="440" w:lineRule="exact"/>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三、支出决算情况说明</w:t>
      </w:r>
      <w:r>
        <w:rPr>
          <w:rFonts w:hint="eastAsia" w:ascii="仿宋_GB2312" w:hAnsi="仿宋_GB2312" w:eastAsia="仿宋_GB2312" w:cs="仿宋_GB2312"/>
          <w:kern w:val="2"/>
          <w:sz w:val="32"/>
          <w:szCs w:val="32"/>
          <w:lang w:val="en-US" w:eastAsia="zh-CN" w:bidi="ar-SA"/>
        </w:rPr>
        <w:t>..............................8</w:t>
      </w:r>
    </w:p>
    <w:p>
      <w:pPr>
        <w:pStyle w:val="11"/>
        <w:adjustRightInd w:val="0"/>
        <w:snapToGrid w:val="0"/>
        <w:spacing w:line="440" w:lineRule="exact"/>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kern w:val="2"/>
          <w:sz w:val="32"/>
          <w:szCs w:val="32"/>
          <w:lang w:val="en-US" w:eastAsia="zh-CN" w:bidi="ar-SA"/>
        </w:rPr>
        <w:t>......12</w:t>
      </w:r>
    </w:p>
    <w:p>
      <w:pPr>
        <w:pStyle w:val="11"/>
        <w:adjustRightInd w:val="0"/>
        <w:snapToGrid w:val="0"/>
        <w:spacing w:line="440" w:lineRule="exact"/>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七、财政拨款“三公”经费支出决算情况说明</w:t>
      </w:r>
      <w:r>
        <w:rPr>
          <w:rFonts w:hint="eastAsia" w:ascii="仿宋_GB2312" w:hAnsi="仿宋_GB2312" w:eastAsia="仿宋_GB2312" w:cs="仿宋_GB2312"/>
          <w:kern w:val="2"/>
          <w:sz w:val="32"/>
          <w:szCs w:val="32"/>
          <w:lang w:val="en-US" w:eastAsia="zh-CN" w:bidi="ar-SA"/>
        </w:rPr>
        <w:t>..........12</w:t>
      </w:r>
    </w:p>
    <w:p>
      <w:pPr>
        <w:pStyle w:val="11"/>
        <w:adjustRightInd w:val="0"/>
        <w:snapToGrid w:val="0"/>
        <w:spacing w:line="440" w:lineRule="exact"/>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kern w:val="2"/>
          <w:sz w:val="32"/>
          <w:szCs w:val="32"/>
          <w:lang w:val="en-US" w:eastAsia="zh-CN" w:bidi="ar-SA"/>
        </w:rPr>
        <w:t>............... 14</w:t>
      </w:r>
    </w:p>
    <w:p>
      <w:pPr>
        <w:pStyle w:val="11"/>
        <w:adjustRightInd w:val="0"/>
        <w:snapToGrid w:val="0"/>
        <w:spacing w:line="440" w:lineRule="exact"/>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九、国有资本经营预算支出决算情况说明</w:t>
      </w:r>
      <w:r>
        <w:rPr>
          <w:rFonts w:hint="eastAsia" w:ascii="仿宋_GB2312" w:hAnsi="仿宋_GB2312" w:eastAsia="仿宋_GB2312" w:cs="仿宋_GB2312"/>
          <w:kern w:val="2"/>
          <w:sz w:val="32"/>
          <w:szCs w:val="32"/>
          <w:lang w:val="en-US" w:eastAsia="zh-CN" w:bidi="ar-SA"/>
        </w:rPr>
        <w:t>..............14</w:t>
      </w:r>
    </w:p>
    <w:p>
      <w:pPr>
        <w:pStyle w:val="11"/>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十、其他重要事项的情况说明</w:t>
      </w:r>
      <w:r>
        <w:rPr>
          <w:rFonts w:hint="eastAsia" w:ascii="仿宋_GB2312" w:hAnsi="仿宋_GB2312" w:eastAsia="仿宋_GB2312" w:cs="仿宋_GB2312"/>
          <w:kern w:val="2"/>
          <w:sz w:val="32"/>
          <w:szCs w:val="32"/>
          <w:lang w:val="en-US" w:eastAsia="zh-CN" w:bidi="ar-SA"/>
        </w:rPr>
        <w:t>........................15</w:t>
      </w:r>
    </w:p>
    <w:p>
      <w:pPr>
        <w:pStyle w:val="11"/>
        <w:adjustRightInd w:val="0"/>
        <w:snapToGrid w:val="0"/>
        <w:spacing w:line="440" w:lineRule="exact"/>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第三部分名词解释</w:t>
      </w:r>
      <w:r>
        <w:rPr>
          <w:rFonts w:hint="eastAsia" w:ascii="仿宋_GB2312" w:hAnsi="仿宋_GB2312" w:eastAsia="仿宋_GB2312" w:cs="仿宋_GB2312"/>
          <w:kern w:val="2"/>
          <w:sz w:val="32"/>
          <w:szCs w:val="32"/>
          <w:lang w:val="en-US" w:eastAsia="zh-CN" w:bidi="ar-SA"/>
        </w:rPr>
        <w:t>..................................17</w:t>
      </w:r>
    </w:p>
    <w:p>
      <w:pPr>
        <w:pStyle w:val="11"/>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第四部分附件</w:t>
      </w:r>
      <w:r>
        <w:rPr>
          <w:rFonts w:hint="eastAsia" w:ascii="仿宋_GB2312" w:hAnsi="仿宋_GB2312" w:eastAsia="仿宋_GB2312" w:cs="仿宋_GB2312"/>
          <w:kern w:val="2"/>
          <w:sz w:val="32"/>
          <w:szCs w:val="32"/>
          <w:lang w:val="en-US" w:eastAsia="zh-CN" w:bidi="ar-SA"/>
        </w:rPr>
        <w:t>......................................21</w:t>
      </w:r>
      <w:r>
        <w:rPr>
          <w:rFonts w:hint="eastAsia" w:ascii="仿宋_GB2312" w:hAnsi="仿宋_GB2312" w:eastAsia="仿宋_GB2312" w:cs="仿宋_GB2312"/>
          <w:sz w:val="32"/>
          <w:szCs w:val="32"/>
        </w:rPr>
        <w:t>第五部分附表</w:t>
      </w:r>
      <w:r>
        <w:rPr>
          <w:rFonts w:hint="eastAsia" w:ascii="仿宋_GB2312" w:hAnsi="仿宋_GB2312" w:eastAsia="仿宋_GB2312" w:cs="仿宋_GB2312"/>
          <w:kern w:val="2"/>
          <w:sz w:val="32"/>
          <w:szCs w:val="32"/>
          <w:lang w:val="en-US" w:eastAsia="zh-CN" w:bidi="ar-SA"/>
        </w:rPr>
        <w:t>..................................... 22</w:t>
      </w:r>
      <w:r>
        <w:rPr>
          <w:rFonts w:hint="eastAsia" w:ascii="仿宋_GB2312" w:hAnsi="仿宋_GB2312" w:eastAsia="仿宋_GB2312" w:cs="仿宋_GB2312"/>
          <w:sz w:val="32"/>
          <w:szCs w:val="32"/>
        </w:rPr>
        <w:t>一、收入支出决算总表</w:t>
      </w:r>
      <w:r>
        <w:rPr>
          <w:rFonts w:hint="eastAsia" w:ascii="仿宋_GB2312" w:hAnsi="仿宋_GB2312" w:eastAsia="仿宋_GB2312" w:cs="仿宋_GB2312"/>
          <w:kern w:val="2"/>
          <w:sz w:val="32"/>
          <w:szCs w:val="32"/>
          <w:lang w:val="en-US" w:eastAsia="zh-CN" w:bidi="ar-SA"/>
        </w:rPr>
        <w:t>..............................22</w:t>
      </w:r>
      <w:r>
        <w:rPr>
          <w:rFonts w:hint="eastAsia" w:ascii="仿宋_GB2312" w:hAnsi="仿宋_GB2312" w:eastAsia="仿宋_GB2312" w:cs="仿宋_GB2312"/>
          <w:sz w:val="32"/>
          <w:szCs w:val="32"/>
        </w:rPr>
        <w:t>二、收入决算表</w:t>
      </w:r>
      <w:r>
        <w:rPr>
          <w:rFonts w:hint="eastAsia" w:ascii="仿宋_GB2312" w:hAnsi="仿宋_GB2312" w:eastAsia="仿宋_GB2312" w:cs="仿宋_GB2312"/>
          <w:kern w:val="2"/>
          <w:sz w:val="32"/>
          <w:szCs w:val="32"/>
          <w:lang w:val="en-US" w:eastAsia="zh-CN" w:bidi="ar-SA"/>
        </w:rPr>
        <w:t>....................................22</w:t>
      </w:r>
      <w:r>
        <w:rPr>
          <w:rFonts w:hint="eastAsia" w:ascii="仿宋_GB2312" w:hAnsi="仿宋_GB2312" w:eastAsia="仿宋_GB2312" w:cs="仿宋_GB2312"/>
          <w:sz w:val="32"/>
          <w:szCs w:val="32"/>
        </w:rPr>
        <w:t>三、支出决算表</w:t>
      </w:r>
      <w:r>
        <w:rPr>
          <w:rFonts w:hint="eastAsia" w:ascii="仿宋_GB2312" w:hAnsi="仿宋_GB2312" w:eastAsia="仿宋_GB2312" w:cs="仿宋_GB2312"/>
          <w:kern w:val="2"/>
          <w:sz w:val="32"/>
          <w:szCs w:val="32"/>
          <w:lang w:val="en-US" w:eastAsia="zh-CN" w:bidi="ar-SA"/>
        </w:rPr>
        <w:t>....................................22</w:t>
      </w:r>
    </w:p>
    <w:p>
      <w:pPr>
        <w:pStyle w:val="11"/>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r>
        <w:rPr>
          <w:rFonts w:hint="eastAsia" w:ascii="仿宋_GB2312" w:hAnsi="仿宋_GB2312" w:eastAsia="仿宋_GB2312" w:cs="仿宋_GB2312"/>
          <w:kern w:val="2"/>
          <w:sz w:val="32"/>
          <w:szCs w:val="32"/>
          <w:lang w:val="en-US" w:eastAsia="zh-CN" w:bidi="ar-SA"/>
        </w:rPr>
        <w:t>......................22</w:t>
      </w:r>
      <w:r>
        <w:rPr>
          <w:rFonts w:hint="eastAsia" w:ascii="仿宋_GB2312" w:hAnsi="仿宋_GB2312" w:eastAsia="仿宋_GB2312" w:cs="仿宋_GB2312"/>
          <w:sz w:val="32"/>
          <w:szCs w:val="32"/>
        </w:rPr>
        <w:t>五、财政拨款支出决算明细表</w:t>
      </w:r>
      <w:r>
        <w:rPr>
          <w:rFonts w:hint="eastAsia" w:ascii="仿宋_GB2312" w:hAnsi="仿宋_GB2312" w:eastAsia="仿宋_GB2312" w:cs="仿宋_GB2312"/>
          <w:kern w:val="2"/>
          <w:sz w:val="32"/>
          <w:szCs w:val="32"/>
          <w:lang w:val="en-US" w:eastAsia="zh-CN" w:bidi="ar-SA"/>
        </w:rPr>
        <w:t>........................22</w:t>
      </w:r>
    </w:p>
    <w:p>
      <w:pPr>
        <w:pStyle w:val="11"/>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r>
        <w:rPr>
          <w:rFonts w:hint="eastAsia" w:ascii="仿宋_GB2312" w:hAnsi="仿宋_GB2312" w:eastAsia="仿宋_GB2312" w:cs="仿宋_GB2312"/>
          <w:kern w:val="2"/>
          <w:sz w:val="32"/>
          <w:szCs w:val="32"/>
          <w:lang w:val="en-US" w:eastAsia="zh-CN" w:bidi="ar-SA"/>
        </w:rPr>
        <w:t>................22</w:t>
      </w:r>
    </w:p>
    <w:p>
      <w:pPr>
        <w:pStyle w:val="11"/>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r>
        <w:rPr>
          <w:rFonts w:hint="eastAsia" w:ascii="仿宋_GB2312" w:hAnsi="仿宋_GB2312" w:eastAsia="仿宋_GB2312" w:cs="仿宋_GB2312"/>
          <w:kern w:val="2"/>
          <w:sz w:val="32"/>
          <w:szCs w:val="32"/>
          <w:lang w:val="en-US" w:eastAsia="zh-CN" w:bidi="ar-SA"/>
        </w:rPr>
        <w:t>............22</w:t>
      </w:r>
    </w:p>
    <w:p>
      <w:pPr>
        <w:pStyle w:val="11"/>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八、一般公共预算财政拨款基本支出决算明细表</w:t>
      </w:r>
      <w:r>
        <w:rPr>
          <w:rFonts w:hint="eastAsia" w:ascii="仿宋_GB2312" w:hAnsi="仿宋_GB2312" w:eastAsia="仿宋_GB2312" w:cs="仿宋_GB2312"/>
          <w:kern w:val="2"/>
          <w:sz w:val="32"/>
          <w:szCs w:val="32"/>
          <w:lang w:val="en-US" w:eastAsia="zh-CN" w:bidi="ar-SA"/>
        </w:rPr>
        <w:t>........22</w:t>
      </w:r>
      <w:r>
        <w:rPr>
          <w:rFonts w:hint="eastAsia" w:ascii="仿宋_GB2312" w:hAnsi="仿宋_GB2312" w:eastAsia="仿宋_GB2312" w:cs="仿宋_GB2312"/>
          <w:sz w:val="32"/>
          <w:szCs w:val="32"/>
        </w:rPr>
        <w:t>九、一般公共预算财政拨款项目支出决算表</w:t>
      </w:r>
      <w:r>
        <w:rPr>
          <w:rFonts w:hint="eastAsia" w:ascii="仿宋_GB2312" w:hAnsi="仿宋_GB2312" w:eastAsia="仿宋_GB2312" w:cs="仿宋_GB2312"/>
          <w:kern w:val="2"/>
          <w:sz w:val="32"/>
          <w:szCs w:val="32"/>
          <w:lang w:val="en-US" w:eastAsia="zh-CN" w:bidi="ar-SA"/>
        </w:rPr>
        <w:t>............22</w:t>
      </w:r>
    </w:p>
    <w:p>
      <w:pPr>
        <w:pStyle w:val="11"/>
        <w:adjustRightInd w:val="0"/>
        <w:snapToGrid w:val="0"/>
        <w:spacing w:line="44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十、政府性基金预算财政拨款收入支出决算表</w:t>
      </w:r>
      <w:r>
        <w:rPr>
          <w:rFonts w:hint="eastAsia" w:ascii="仿宋_GB2312" w:hAnsi="仿宋_GB2312" w:eastAsia="仿宋_GB2312" w:cs="仿宋_GB2312"/>
          <w:kern w:val="2"/>
          <w:sz w:val="32"/>
          <w:szCs w:val="32"/>
          <w:lang w:val="en-US" w:eastAsia="zh-CN" w:bidi="ar-SA"/>
        </w:rPr>
        <w:t>..........22</w:t>
      </w:r>
      <w:r>
        <w:rPr>
          <w:rFonts w:hint="eastAsia" w:ascii="仿宋_GB2312" w:hAnsi="仿宋_GB2312" w:eastAsia="仿宋_GB2312" w:cs="仿宋_GB2312"/>
          <w:sz w:val="32"/>
          <w:szCs w:val="32"/>
        </w:rPr>
        <w:t>十一、国有资本经营预算财政拨款收入支出决算表</w:t>
      </w:r>
      <w:r>
        <w:rPr>
          <w:rFonts w:hint="eastAsia" w:ascii="仿宋_GB2312" w:hAnsi="仿宋_GB2312" w:eastAsia="仿宋_GB2312" w:cs="仿宋_GB2312"/>
          <w:kern w:val="2"/>
          <w:sz w:val="32"/>
          <w:szCs w:val="32"/>
          <w:lang w:val="en-US" w:eastAsia="zh-CN" w:bidi="ar-SA"/>
        </w:rPr>
        <w:t>......22</w:t>
      </w:r>
    </w:p>
    <w:p>
      <w:pPr>
        <w:pStyle w:val="11"/>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十二、国有资本经营预算财政拨款支出决算表</w:t>
      </w:r>
      <w:r>
        <w:rPr>
          <w:rFonts w:hint="eastAsia" w:ascii="仿宋_GB2312" w:hAnsi="仿宋_GB2312" w:eastAsia="仿宋_GB2312" w:cs="仿宋_GB2312"/>
          <w:kern w:val="2"/>
          <w:sz w:val="32"/>
          <w:szCs w:val="32"/>
          <w:lang w:val="en-US" w:eastAsia="zh-CN" w:bidi="ar-SA"/>
        </w:rPr>
        <w:t>..........22</w:t>
      </w:r>
    </w:p>
    <w:p>
      <w:pPr>
        <w:pStyle w:val="11"/>
        <w:tabs>
          <w:tab w:val="left" w:pos="8400"/>
        </w:tabs>
        <w:adjustRightInd w:val="0"/>
        <w:snapToGrid w:val="0"/>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十三、财政拨款“三公”经费支出决算表</w:t>
      </w:r>
      <w:r>
        <w:rPr>
          <w:rFonts w:hint="eastAsia" w:ascii="仿宋_GB2312" w:hAnsi="仿宋_GB2312" w:eastAsia="仿宋_GB2312" w:cs="仿宋_GB2312"/>
          <w:kern w:val="2"/>
          <w:sz w:val="32"/>
          <w:szCs w:val="32"/>
          <w:lang w:val="en-US" w:eastAsia="zh-CN" w:bidi="ar-SA"/>
        </w:rPr>
        <w:t>..............22</w:t>
      </w:r>
    </w:p>
    <w:p>
      <w:pPr>
        <w:widowControl/>
        <w:adjustRightInd w:val="0"/>
        <w:snapToGrid w:val="0"/>
        <w:spacing w:line="440" w:lineRule="exact"/>
        <w:ind w:firstLine="1760" w:firstLineChars="550"/>
        <w:jc w:val="left"/>
        <w:rPr>
          <w:rFonts w:hint="eastAsia" w:ascii="仿宋_GB2312" w:hAnsi="仿宋_GB2312" w:eastAsia="仿宋_GB2312" w:cs="仿宋_GB2312"/>
          <w:sz w:val="32"/>
          <w:szCs w:val="32"/>
        </w:rPr>
      </w:pPr>
    </w:p>
    <w:p>
      <w:pPr>
        <w:widowControl/>
        <w:spacing w:line="440" w:lineRule="exact"/>
        <w:jc w:val="left"/>
        <w:rPr>
          <w:rFonts w:hint="eastAsia" w:ascii="仿宋_GB2312" w:hAnsi="仿宋_GB2312" w:eastAsia="仿宋_GB2312" w:cs="仿宋_GB2312"/>
          <w:bCs/>
          <w:kern w:val="44"/>
          <w:sz w:val="32"/>
          <w:szCs w:val="32"/>
        </w:rPr>
      </w:pPr>
      <w:bookmarkStart w:id="12" w:name="_Toc15377196"/>
      <w:bookmarkStart w:id="13" w:name="_Toc15396599"/>
      <w:r>
        <w:rPr>
          <w:rFonts w:hint="eastAsia" w:ascii="仿宋_GB2312" w:hAnsi="仿宋_GB2312" w:eastAsia="仿宋_GB2312" w:cs="仿宋_GB2312"/>
          <w:b/>
          <w:sz w:val="32"/>
          <w:szCs w:val="32"/>
        </w:rPr>
        <w:br w:type="page"/>
      </w:r>
    </w:p>
    <w:p>
      <w:pPr>
        <w:pStyle w:val="3"/>
        <w:jc w:val="center"/>
        <w:rPr>
          <w:rStyle w:val="24"/>
          <w:rFonts w:ascii="黑体" w:hAnsi="黑体" w:eastAsia="黑体"/>
          <w:b/>
          <w:bCs w:val="0"/>
        </w:rPr>
      </w:pPr>
      <w:r>
        <w:rPr>
          <w:rFonts w:hint="eastAsia" w:ascii="方正小标宋_GBK" w:hAnsi="方正小标宋_GBK" w:eastAsia="方正小标宋_GBK" w:cs="方正小标宋_GBK"/>
          <w:b w:val="0"/>
        </w:rPr>
        <w:t>第一部分 单位</w:t>
      </w:r>
      <w:r>
        <w:rPr>
          <w:rStyle w:val="24"/>
          <w:rFonts w:hint="eastAsia" w:ascii="方正小标宋_GBK" w:hAnsi="方正小标宋_GBK" w:eastAsia="方正小标宋_GBK" w:cs="方正小标宋_GBK"/>
          <w:b w:val="0"/>
          <w:bCs w:val="0"/>
        </w:rPr>
        <w:t>概况</w:t>
      </w:r>
      <w:bookmarkEnd w:id="12"/>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bookmarkStart w:id="14" w:name="_Toc15396600"/>
      <w:bookmarkStart w:id="15" w:name="_Toc15377197"/>
      <w:r>
        <w:rPr>
          <w:rFonts w:hint="eastAsia" w:ascii="黑体" w:hAnsi="黑体" w:eastAsia="黑体" w:cs="黑体"/>
          <w:sz w:val="32"/>
          <w:szCs w:val="32"/>
          <w:lang w:val="en-US" w:eastAsia="zh-CN"/>
        </w:rPr>
        <w:t>一、</w:t>
      </w:r>
      <w:r>
        <w:rPr>
          <w:rFonts w:hint="eastAsia" w:ascii="黑体" w:hAnsi="黑体" w:eastAsia="黑体" w:cs="黑体"/>
          <w:sz w:val="32"/>
          <w:szCs w:val="32"/>
        </w:rPr>
        <w:t>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执行国家、省、市有关水行政管理及水利水电工程移民工作的法律、法规和方针、政策。负责保障水资源的合理开发利用；负责全区水利、水土保持、水资源行政管理的制度建设，拟订政策和发展规划。组织编制全区重要江河湖库的流域综合规划、水资源保护和水源地保护规划、节约用水、防洪规划等重要水利规划，组织有关全区国民经济总体规划、城乡规划、重大建设项目中涉及水利、水土保持、水资源管理等方面的论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全区水资源统一管理。组织实施最严格水资源管理制度，实施水资源的统一监督管理，合理配置水资源，统筹兼顾和保障生活、生产经营、生态环境用水；负责重要流域、区域以及重大调水工程的水资源调度，组织实施水资源有偿使用制度和水资源论证、防洪论证制度；指导开展水资源有偿使用工作;指导水利行业供水工作; 按规定组织开展水资源、水能资源调查评价和水资源承载能力监测预警工作。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全区水资源保护工作，参与编制水功能区划分和指导入河排污口设置管理工作。指导地下水开发利用和地下水资源管理保护工作；指导地下水超采区综合治理工作；指导饮用水水源保护有关工作；负责拟定全区节约用水政策和指导节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4.负责全区水利行业体制改革工作；监管区政府授权管理的区级水利资产，负责全区水利行业国有资产的业务管理工作。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5.负责全区水利、水土保持、水资源基本建设的指导并实施行业监督；指导水利设施的管理、保护与综合利用。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6.负责组织实施有关水利、水土保持、水资源的法律法规及执法工作；查处辖区内重大水事纠纷；负责有关行政复议和行政诉讼应诉工作。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7.负责全区水土保持工作。拟订水土保持规划并监督实施，负责全区水土流失综合治理及监测工作；负责权限范围内开发建设项目水土保持的审批、实施、监督及水土保持设施的验收工作。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辖区内河道、水库、湖泊（包括人工水道、行洪区、蓄水区、滞洪区）、河口滩涂的行政管理及河道管护范围内砂石资源等的开发、利用和保护；负责对占用河道、河堤通道设施（包括临时设施）等行为的行政监督管理工作；指导河湖水系连通工作；负责河长制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指导农村水利工作。组织开展大中型灌排工程建设与改造。指导农村饮水安全工程建设管理工作，指导节水灌溉有关工作。指导农村水利改革创新和社会化服务体系建设。指导农村水能资源开发、小水电改造和水电农村电气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10.指导全区水利发展和水利行业劳动保护、科技推广、安全生产工作。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参与大中型水利水电工程建设移民人口和实物指标调查，配合编制大中型水利水电工程建设移民安置规划大纲和移民安置规划，按有关程序参与规划审查。拟订大中型水利水电工程建设移民安置年度计划和资金安排，指导和组织实施并监督检查移民搬迁安置工作，组织移民安置工作的验收。组织编制大中型水利水电工程建设移民后期扶持规划，拟订后期扶持年度计划并组织实施，负责移民后期扶持项目的申报，权限内后期扶持数据库建设和管理。负责大中型水利水电移民迁建安置的信访维稳工作、后期扶持政策宣传工作、计划财务工作、信息统计监测工作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13.承担区政府公布的有关行政审批事项。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14.负责职责范围内的安全生产和职业健康、生态环境保护、行政审批服务便民化工作。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15.承办区政府交办的其他事项。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职能转变。水利局应切实加强水资源合理利用、优化配置和节约保护。坚持节水优先，从增加供给转向更加重视需求管理，严格控制用水总量和提高用水效率。坚持保护优先，加强水资源、水域和水利工作的管理保护，维护河湖健康美丽。坚持统筹兼顾，保障合理用水需求和水资源的可持续利用，为经济社会发展提供水安全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二、机构设置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攀枝花市西区水利局下属二级单位2个，其中行政单位</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个，参照公务员法管理的事业单位0个，其他事业单位2个。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纳入攀枝花市西区水利局2022年度单位决算编制范围的二级预算单位包括：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攀枝花市西区水利工程运行中心</w:t>
      </w:r>
    </w:p>
    <w:bookmarkEnd w:id="14"/>
    <w:bookmarkEnd w:id="15"/>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3"/>
        <w:numPr>
          <w:ilvl w:val="0"/>
          <w:numId w:val="1"/>
        </w:numPr>
        <w:ind w:left="847" w:leftChars="0" w:right="440" w:firstLine="0" w:firstLineChars="0"/>
        <w:jc w:val="center"/>
        <w:rPr>
          <w:rStyle w:val="24"/>
          <w:rFonts w:hint="eastAsia" w:ascii="方正小标宋_GBK" w:hAnsi="方正小标宋_GBK" w:eastAsia="方正小标宋_GBK" w:cs="方正小标宋_GBK"/>
          <w:b w:val="0"/>
          <w:bCs/>
          <w:sz w:val="44"/>
          <w:szCs w:val="44"/>
        </w:rPr>
      </w:pPr>
      <w:bookmarkStart w:id="16" w:name="_Toc15377204"/>
      <w:bookmarkStart w:id="17" w:name="_Toc15396602"/>
      <w:r>
        <w:rPr>
          <w:rFonts w:hint="eastAsia" w:ascii="方正小标宋_GBK" w:hAnsi="方正小标宋_GBK" w:eastAsia="方正小标宋_GBK" w:cs="方正小标宋_GBK"/>
          <w:b w:val="0"/>
          <w:sz w:val="44"/>
          <w:szCs w:val="44"/>
        </w:rPr>
        <w:t>2022年度</w:t>
      </w:r>
      <w:r>
        <w:rPr>
          <w:rStyle w:val="24"/>
          <w:rFonts w:hint="eastAsia" w:ascii="方正小标宋_GBK" w:hAnsi="方正小标宋_GBK" w:eastAsia="方正小标宋_GBK" w:cs="方正小标宋_GBK"/>
          <w:b w:val="0"/>
          <w:bCs/>
          <w:sz w:val="44"/>
          <w:szCs w:val="44"/>
        </w:rPr>
        <w:t>单位决算情况说明</w:t>
      </w:r>
      <w:bookmarkEnd w:id="16"/>
      <w:bookmarkEnd w:id="17"/>
      <w:bookmarkStart w:id="18" w:name="_Toc15396603"/>
      <w:bookmarkStart w:id="19" w:name="_Toc1537720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收入支出决算总体情况说明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2022年度收、支总计1001.70万元。与2021年相比，收、支总计各增加559.64万元，增长126.6%。主要变动原因是支付以前年度工程款。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（图</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：收、支决算总计变动情况图）</w:t>
      </w:r>
    </w:p>
    <w:p>
      <w:pPr>
        <w:pStyle w:val="2"/>
        <w:tabs>
          <w:tab w:val="left" w:pos="630"/>
        </w:tabs>
        <w:spacing w:before="93"/>
        <w:rPr>
          <w:rStyle w:val="25"/>
          <w:rFonts w:ascii="黑体" w:hAnsi="黑体" w:eastAsia="黑体"/>
          <w:b w:val="0"/>
        </w:rPr>
      </w:pPr>
      <w:r>
        <w:drawing>
          <wp:anchor distT="0" distB="0" distL="0" distR="0" simplePos="0" relativeHeight="251659264" behindDoc="0" locked="0" layoutInCell="1" allowOverlap="1">
            <wp:simplePos x="0" y="0"/>
            <wp:positionH relativeFrom="column">
              <wp:posOffset>766445</wp:posOffset>
            </wp:positionH>
            <wp:positionV relativeFrom="paragraph">
              <wp:posOffset>161290</wp:posOffset>
            </wp:positionV>
            <wp:extent cx="3962400" cy="2182495"/>
            <wp:effectExtent l="4445" t="4445" r="14605" b="2286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0" w:name="_Toc15396604"/>
      <w:bookmarkStart w:id="21" w:name="_Toc15377206"/>
      <w:r>
        <w:rPr>
          <w:rFonts w:hint="eastAsia"/>
          <w:lang w:val="en-US" w:eastAsia="zh-CN"/>
        </w:rPr>
        <w:t xml:space="preserve">    </w:t>
      </w:r>
      <w:r>
        <w:rPr>
          <w:rFonts w:hint="eastAsia" w:ascii="黑体" w:hAnsi="黑体" w:eastAsia="黑体"/>
          <w:sz w:val="32"/>
          <w:szCs w:val="32"/>
          <w:lang w:val="en-US" w:eastAsia="zh-CN"/>
        </w:rPr>
        <w:t>二、</w:t>
      </w:r>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rPr>
        <w:t>22年本年收入合计959.04万元，其中：一般公共预算财政拨款收入834.98万元，占87.06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；政府性基金预算财政拨款收入124.07万元，占12.94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；国有资本经营预算财政拨款收入0万元，占0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；上级补助收入0万元，占0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；事业收入0万元，占0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；经营收入0万元，占0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；附属单位上缴收入0万元，占0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；其他收入0万元，占0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 w:hAnsi="仿宋" w:eastAsia="仿宋"/>
          <w:sz w:val="32"/>
          <w:szCs w:val="32"/>
        </w:rPr>
        <w:t>（图2：收入决算结构图）</w:t>
      </w:r>
    </w:p>
    <w:p>
      <w:pPr>
        <w:pStyle w:val="2"/>
        <w:tabs>
          <w:tab w:val="left" w:pos="210"/>
          <w:tab w:val="left" w:pos="420"/>
          <w:tab w:val="left" w:pos="630"/>
        </w:tabs>
        <w:spacing w:before="93"/>
        <w:rPr>
          <w:rStyle w:val="25"/>
          <w:rFonts w:ascii="黑体" w:hAnsi="黑体" w:eastAsia="黑体"/>
          <w:b w:val="0"/>
        </w:rPr>
      </w:pPr>
      <w:r>
        <w:drawing>
          <wp:anchor distT="0" distB="0" distL="114300" distR="114300" simplePos="0" relativeHeight="251660288" behindDoc="0" locked="0" layoutInCell="1" allowOverlap="1">
            <wp:simplePos x="0" y="0"/>
            <wp:positionH relativeFrom="column">
              <wp:posOffset>624205</wp:posOffset>
            </wp:positionH>
            <wp:positionV relativeFrom="paragraph">
              <wp:posOffset>91440</wp:posOffset>
            </wp:positionV>
            <wp:extent cx="3903980" cy="2296160"/>
            <wp:effectExtent l="5080" t="5080" r="15240" b="2286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22" w:name="_Toc15377207"/>
      <w:bookmarkStart w:id="23" w:name="_Toc15396605"/>
      <w:r>
        <w:rPr>
          <w:rFonts w:hint="eastAsia"/>
          <w:lang w:val="en-US" w:eastAsia="zh-CN"/>
        </w:rPr>
        <w:t xml:space="preserve">    </w:t>
      </w:r>
      <w:r>
        <w:rPr>
          <w:rFonts w:hint="eastAsia" w:ascii="黑体" w:hAnsi="黑体" w:eastAsia="黑体"/>
          <w:sz w:val="32"/>
          <w:szCs w:val="32"/>
          <w:lang w:val="en-US" w:eastAsia="zh-CN"/>
        </w:rPr>
        <w:t>三、</w:t>
      </w:r>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2022年本年支出合计997.70万元，其中：基本支出269.02万元，占26.96%；项目支出728.68万元，占73.04%；上缴上级支出0万元，占0%；经营支出0万元，占0%；对附属单位补助支出0万元，占0%。</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w:t>
      </w:r>
    </w:p>
    <w:p>
      <w:pPr>
        <w:pStyle w:val="2"/>
        <w:tabs>
          <w:tab w:val="left" w:pos="420"/>
          <w:tab w:val="left" w:pos="630"/>
        </w:tabs>
        <w:spacing w:before="93"/>
        <w:rPr>
          <w:rStyle w:val="25"/>
          <w:rFonts w:ascii="黑体" w:hAnsi="黑体" w:eastAsia="黑体"/>
          <w:b w:val="0"/>
        </w:rPr>
      </w:pPr>
      <w:r>
        <w:drawing>
          <wp:anchor distT="0" distB="0" distL="114300" distR="114300" simplePos="0" relativeHeight="251661312" behindDoc="0" locked="0" layoutInCell="1" allowOverlap="1">
            <wp:simplePos x="0" y="0"/>
            <wp:positionH relativeFrom="column">
              <wp:posOffset>442595</wp:posOffset>
            </wp:positionH>
            <wp:positionV relativeFrom="paragraph">
              <wp:posOffset>191770</wp:posOffset>
            </wp:positionV>
            <wp:extent cx="4558665" cy="1868170"/>
            <wp:effectExtent l="4445" t="4445" r="8890" b="1333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24" w:name="_Toc15396606"/>
      <w:bookmarkStart w:id="25" w:name="_Toc15377208"/>
      <w:r>
        <w:rPr>
          <w:rFonts w:hint="eastAsia"/>
          <w:lang w:val="en-US" w:eastAsia="zh-CN"/>
        </w:rPr>
        <w:t xml:space="preserve">    </w:t>
      </w:r>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2022年财政拨款收、支总计998.80万元。与2021年相比，财政拨款收、支总计各增加560.48万元，增长127.87%。主要变动原因是支付以前年度工程款</w:t>
      </w:r>
      <w:r>
        <w:rPr>
          <w:rFonts w:hint="eastAsia" w:ascii="仿宋_GB2312" w:hAnsi="仿宋_GB2312" w:eastAsia="仿宋_GB2312" w:cs="仿宋_GB2312"/>
          <w:sz w:val="32"/>
          <w:szCs w:val="32"/>
          <w:lang w:eastAsia="zh-CN"/>
        </w:rPr>
        <w:t>。</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w:t>
      </w:r>
    </w:p>
    <w:p>
      <w:pPr>
        <w:pStyle w:val="2"/>
        <w:spacing w:before="93"/>
        <w:rPr>
          <w:rStyle w:val="25"/>
          <w:rFonts w:ascii="黑体" w:hAnsi="黑体" w:eastAsia="黑体"/>
          <w:b w:val="0"/>
        </w:rPr>
      </w:pPr>
      <w:r>
        <w:drawing>
          <wp:anchor distT="0" distB="0" distL="114300" distR="114300" simplePos="0" relativeHeight="251662336" behindDoc="0" locked="0" layoutInCell="1" allowOverlap="1">
            <wp:simplePos x="0" y="0"/>
            <wp:positionH relativeFrom="column">
              <wp:posOffset>166370</wp:posOffset>
            </wp:positionH>
            <wp:positionV relativeFrom="paragraph">
              <wp:posOffset>129540</wp:posOffset>
            </wp:positionV>
            <wp:extent cx="4750435" cy="2266315"/>
            <wp:effectExtent l="4445" t="5080" r="7620" b="1460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26" w:name="_Toc15396607"/>
      <w:bookmarkStart w:id="27" w:name="_Toc15377209"/>
      <w:r>
        <w:rPr>
          <w:rFonts w:hint="eastAsia"/>
          <w:lang w:val="en-US" w:eastAsia="zh-CN"/>
        </w:rPr>
        <w:t xml:space="preserve">     </w:t>
      </w:r>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0" w:firstLineChars="200"/>
        <w:outlineLvl w:val="2"/>
        <w:rPr>
          <w:rFonts w:hint="eastAsia" w:ascii="楷体_GB2312" w:hAnsi="楷体_GB2312" w:eastAsia="楷体_GB2312" w:cs="楷体_GB2312"/>
          <w:b w:val="0"/>
          <w:bCs/>
          <w:sz w:val="32"/>
          <w:szCs w:val="32"/>
          <w:lang w:eastAsia="zh-CN"/>
        </w:rPr>
      </w:pPr>
      <w:bookmarkStart w:id="28" w:name="_Toc15377210"/>
      <w:r>
        <w:rPr>
          <w:rFonts w:hint="eastAsia" w:ascii="楷体_GB2312" w:hAnsi="楷体_GB2312" w:eastAsia="楷体_GB2312" w:cs="楷体_GB2312"/>
          <w:b w:val="0"/>
          <w:bCs/>
          <w:sz w:val="32"/>
          <w:szCs w:val="32"/>
        </w:rPr>
        <w:t>（一）一般公共预算财政拨款支出决算总体情况</w:t>
      </w:r>
      <w:bookmarkEnd w:id="28"/>
      <w:r>
        <w:rPr>
          <w:rFonts w:hint="eastAsia" w:ascii="楷体_GB2312" w:hAnsi="楷体_GB2312" w:eastAsia="楷体_GB2312" w:cs="楷体_GB2312"/>
          <w:b w:val="0"/>
          <w:bCs/>
          <w:sz w:val="32"/>
          <w:szCs w:val="32"/>
          <w:lang w:eastAsia="zh-CN"/>
        </w:rPr>
        <w:t>。</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2022年一般公共预算财政拨款支出873.63万元，占本年支出合计的87.56%。与2021年相比，一般公共预算财政拨款支出增加452.51万元，增长107.45%。主要变动原因是支付以前年度工程款</w:t>
      </w:r>
    </w:p>
    <w:p>
      <w:pPr>
        <w:spacing w:line="600" w:lineRule="exact"/>
        <w:ind w:firstLine="420" w:firstLineChars="200"/>
        <w:outlineLvl w:val="1"/>
        <w:rPr>
          <w:rFonts w:hint="eastAsia" w:ascii="仿宋_GB2312" w:hAnsi="仿宋_GB2312" w:eastAsia="仿宋_GB2312" w:cs="仿宋_GB2312"/>
          <w:sz w:val="32"/>
          <w:szCs w:val="32"/>
        </w:rPr>
      </w:pPr>
      <w:r>
        <w:drawing>
          <wp:anchor distT="0" distB="0" distL="114300" distR="114300" simplePos="0" relativeHeight="251663360" behindDoc="0" locked="0" layoutInCell="1" allowOverlap="1">
            <wp:simplePos x="0" y="0"/>
            <wp:positionH relativeFrom="column">
              <wp:posOffset>480695</wp:posOffset>
            </wp:positionH>
            <wp:positionV relativeFrom="paragraph">
              <wp:posOffset>512445</wp:posOffset>
            </wp:positionV>
            <wp:extent cx="4379595" cy="1725930"/>
            <wp:effectExtent l="5080" t="5080" r="15875" b="21590"/>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eastAsia="仿宋_GB2312" w:cs="仿宋_GB2312"/>
          <w:sz w:val="32"/>
          <w:szCs w:val="32"/>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仿宋" w:hAnsi="仿宋" w:eastAsia="楷体_GB2312"/>
          <w:b/>
          <w:sz w:val="32"/>
          <w:szCs w:val="32"/>
          <w:lang w:eastAsia="zh-CN"/>
        </w:rPr>
      </w:pPr>
      <w:bookmarkStart w:id="29" w:name="_Toc15377211"/>
      <w:r>
        <w:rPr>
          <w:rFonts w:hint="eastAsia" w:ascii="楷体_GB2312" w:hAnsi="楷体_GB2312" w:eastAsia="楷体_GB2312" w:cs="楷体_GB2312"/>
          <w:b w:val="0"/>
          <w:bCs/>
          <w:sz w:val="32"/>
          <w:szCs w:val="32"/>
        </w:rPr>
        <w:t>（二）一般公共预算财政拨款支出决算结构情况</w:t>
      </w:r>
      <w:bookmarkEnd w:id="29"/>
      <w:r>
        <w:rPr>
          <w:rFonts w:hint="eastAsia" w:ascii="楷体_GB2312" w:hAnsi="楷体_GB2312" w:eastAsia="楷体_GB2312" w:cs="楷体_GB2312"/>
          <w:b w:val="0"/>
          <w:bCs/>
          <w:sz w:val="32"/>
          <w:szCs w:val="32"/>
          <w:lang w:eastAsia="zh-CN"/>
        </w:rPr>
        <w:t>。</w:t>
      </w:r>
    </w:p>
    <w:p>
      <w:pPr>
        <w:spacing w:line="60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2022年一般公共预算财政拨款支出873.63万元，主要用于以下方面:</w:t>
      </w:r>
      <w:r>
        <w:rPr>
          <w:rFonts w:hint="eastAsia" w:ascii="仿宋_GB2312" w:hAnsi="仿宋_GB2312" w:eastAsia="仿宋_GB2312" w:cs="仿宋_GB2312"/>
          <w:b/>
          <w:sz w:val="32"/>
          <w:szCs w:val="32"/>
        </w:rPr>
        <w:t>一般公共服务</w:t>
      </w:r>
      <w:r>
        <w:rPr>
          <w:rFonts w:hint="eastAsia" w:ascii="仿宋_GB2312" w:hAnsi="仿宋_GB2312" w:eastAsia="仿宋_GB2312" w:cs="仿宋_GB2312"/>
          <w:b/>
          <w:bCs/>
          <w:sz w:val="32"/>
          <w:szCs w:val="32"/>
        </w:rPr>
        <w:t>支出54.24</w:t>
      </w:r>
      <w:r>
        <w:rPr>
          <w:rFonts w:hint="eastAsia" w:ascii="仿宋_GB2312" w:hAnsi="仿宋_GB2312" w:eastAsia="仿宋_GB2312" w:cs="仿宋_GB2312"/>
          <w:sz w:val="32"/>
          <w:szCs w:val="32"/>
        </w:rPr>
        <w:t>万元，占6.21%；</w:t>
      </w:r>
      <w:r>
        <w:rPr>
          <w:rFonts w:hint="eastAsia" w:ascii="仿宋_GB2312" w:hAnsi="仿宋_GB2312" w:eastAsia="仿宋_GB2312" w:cs="仿宋_GB2312"/>
          <w:b/>
          <w:sz w:val="32"/>
          <w:szCs w:val="32"/>
        </w:rPr>
        <w:t>教育支出</w:t>
      </w:r>
      <w:r>
        <w:rPr>
          <w:rFonts w:hint="eastAsia" w:ascii="仿宋_GB2312" w:hAnsi="仿宋_GB2312" w:eastAsia="仿宋_GB2312" w:cs="仿宋_GB2312"/>
          <w:sz w:val="32"/>
          <w:szCs w:val="32"/>
        </w:rPr>
        <w:t>0万元，占0%；</w:t>
      </w:r>
      <w:r>
        <w:rPr>
          <w:rFonts w:hint="eastAsia" w:ascii="仿宋_GB2312" w:hAnsi="仿宋_GB2312" w:eastAsia="仿宋_GB2312" w:cs="仿宋_GB2312"/>
          <w:b/>
          <w:sz w:val="32"/>
          <w:szCs w:val="32"/>
        </w:rPr>
        <w:t>科学技术</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0万元，占0%；</w:t>
      </w:r>
      <w:r>
        <w:rPr>
          <w:rFonts w:hint="eastAsia" w:ascii="仿宋_GB2312" w:hAnsi="仿宋_GB2312" w:eastAsia="仿宋_GB2312" w:cs="仿宋_GB2312"/>
          <w:b/>
          <w:bCs/>
          <w:sz w:val="32"/>
          <w:szCs w:val="32"/>
        </w:rPr>
        <w:t>文化旅游体育与传媒支出0万元，占0%</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社会保障和就业</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19.29万元，占2.21%；</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sz w:val="32"/>
          <w:szCs w:val="32"/>
        </w:rPr>
        <w:t>13.74万元，占1.57%；</w:t>
      </w:r>
      <w:r>
        <w:rPr>
          <w:rFonts w:hint="eastAsia" w:ascii="仿宋_GB2312" w:hAnsi="仿宋_GB2312" w:eastAsia="仿宋_GB2312" w:cs="仿宋_GB2312"/>
          <w:b/>
          <w:bCs/>
          <w:sz w:val="32"/>
          <w:szCs w:val="32"/>
        </w:rPr>
        <w:t>住房保障支出21.18</w:t>
      </w:r>
      <w:r>
        <w:rPr>
          <w:rFonts w:hint="eastAsia" w:ascii="仿宋_GB2312" w:hAnsi="仿宋_GB2312" w:eastAsia="仿宋_GB2312" w:cs="仿宋_GB2312"/>
          <w:sz w:val="32"/>
          <w:szCs w:val="32"/>
        </w:rPr>
        <w:t>万元，占2.42%；农林水支出765.20，占87.59%。</w:t>
      </w: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（图6：一般公共预算财政拨款支出决算结构）</w:t>
      </w:r>
    </w:p>
    <w:p>
      <w:pPr>
        <w:pStyle w:val="2"/>
        <w:tabs>
          <w:tab w:val="left" w:pos="630"/>
        </w:tabs>
        <w:spacing w:before="93"/>
        <w:rPr>
          <w:rFonts w:hint="eastAsia" w:ascii="楷体_GB2312" w:hAnsi="楷体_GB2312" w:eastAsia="楷体_GB2312" w:cs="楷体_GB2312"/>
          <w:b w:val="0"/>
          <w:bCs/>
          <w:kern w:val="2"/>
          <w:sz w:val="32"/>
          <w:szCs w:val="32"/>
          <w:lang w:val="en-US" w:eastAsia="zh-CN" w:bidi="ar-SA"/>
        </w:rPr>
      </w:pPr>
      <w:r>
        <w:drawing>
          <wp:anchor distT="0" distB="0" distL="114300" distR="114300" simplePos="0" relativeHeight="251664384" behindDoc="0" locked="0" layoutInCell="1" allowOverlap="1">
            <wp:simplePos x="0" y="0"/>
            <wp:positionH relativeFrom="column">
              <wp:posOffset>661670</wp:posOffset>
            </wp:positionH>
            <wp:positionV relativeFrom="paragraph">
              <wp:posOffset>98425</wp:posOffset>
            </wp:positionV>
            <wp:extent cx="4292600" cy="2428240"/>
            <wp:effectExtent l="4445" t="4445" r="8255" b="5715"/>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30" w:name="_Toc15377212"/>
      <w:r>
        <w:rPr>
          <w:rFonts w:hint="eastAsia"/>
          <w:lang w:val="en-US" w:eastAsia="zh-CN"/>
        </w:rPr>
        <w:t xml:space="preserve">    </w:t>
      </w:r>
      <w:r>
        <w:rPr>
          <w:rFonts w:hint="eastAsia" w:ascii="楷体_GB2312" w:hAnsi="楷体_GB2312" w:eastAsia="楷体_GB2312" w:cs="楷体_GB2312"/>
          <w:b w:val="0"/>
          <w:bCs/>
          <w:kern w:val="2"/>
          <w:sz w:val="32"/>
          <w:szCs w:val="32"/>
          <w:lang w:val="en-US" w:eastAsia="zh-CN" w:bidi="ar-SA"/>
        </w:rPr>
        <w:t>（三）一般公共预算财政拨款支出决算具体情况</w:t>
      </w:r>
      <w:bookmarkEnd w:id="30"/>
      <w:r>
        <w:rPr>
          <w:rFonts w:hint="eastAsia" w:ascii="楷体_GB2312" w:hAnsi="楷体_GB2312" w:eastAsia="楷体_GB2312" w:cs="楷体_GB2312"/>
          <w:b w:val="0"/>
          <w:bCs/>
          <w:kern w:val="2"/>
          <w:sz w:val="32"/>
          <w:szCs w:val="32"/>
          <w:lang w:val="en-US" w:eastAsia="zh-CN" w:bidi="ar-SA"/>
        </w:rPr>
        <w:t>。</w:t>
      </w:r>
    </w:p>
    <w:p>
      <w:pPr>
        <w:spacing w:line="600" w:lineRule="exact"/>
        <w:ind w:firstLine="643" w:firstLineChars="200"/>
        <w:outlineLvl w:val="2"/>
        <w:rPr>
          <w:rFonts w:hint="default" w:ascii="Times New Roman" w:hAnsi="Times New Roman" w:eastAsia="仿宋_GB2312" w:cs="Times New Roman"/>
          <w:sz w:val="32"/>
          <w:szCs w:val="32"/>
        </w:rPr>
      </w:pPr>
      <w:bookmarkStart w:id="31" w:name="_Toc15378460"/>
      <w:bookmarkStart w:id="32" w:name="_Toc15377213"/>
      <w:bookmarkStart w:id="33" w:name="_Toc15377444"/>
      <w:r>
        <w:rPr>
          <w:rFonts w:hint="default" w:ascii="Times New Roman" w:hAnsi="Times New Roman" w:eastAsia="仿宋_GB2312" w:cs="Times New Roman"/>
          <w:b/>
          <w:sz w:val="32"/>
          <w:szCs w:val="32"/>
        </w:rPr>
        <w:t>2022年一般公共预算支出决算数为873.63</w:t>
      </w:r>
      <w:r>
        <w:rPr>
          <w:rFonts w:hint="default" w:ascii="Times New Roman" w:hAnsi="Times New Roman" w:eastAsia="仿宋_GB2312" w:cs="Times New Roman"/>
          <w:sz w:val="32"/>
          <w:szCs w:val="32"/>
        </w:rPr>
        <w:t>，</w:t>
      </w:r>
      <w:r>
        <w:rPr>
          <w:rStyle w:val="14"/>
          <w:rFonts w:hint="default" w:ascii="Times New Roman" w:hAnsi="Times New Roman" w:eastAsia="仿宋_GB2312" w:cs="Times New Roman"/>
          <w:bCs/>
          <w:sz w:val="32"/>
          <w:szCs w:val="32"/>
        </w:rPr>
        <w:t>完成预算100%。其中：</w:t>
      </w:r>
      <w:bookmarkEnd w:id="31"/>
      <w:bookmarkEnd w:id="32"/>
      <w:bookmarkEnd w:id="33"/>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1.一般公共服务（类）党委办公厅（室）及相关机构事务（款）  一般行政管理事务（项）:支出决算为54.24万元，完成预算100%。</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2.社会保障和就业（类）行政事业单位养老支出（款）行政单位离退休（项）:支出决算为3.26万元，完成预算100%。</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3.社会保障和就业（类）行政事业单位养老支出（款）  机关事业单位基本养老保险缴费支出（项）:支出决算为16.03万元，完成预算100%。</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4.卫生健康（类）行政事业单位医疗（款）行政单位医疗（项）:支出决算为4.19万元，完成预算100%。</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5.卫生健康（类）行政事业单位医疗（款）事业单位医疗（项）:支出决算为8.17万元，完成预算100%。</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6.卫生健康（类）行政事业单位医疗（款）公务员医疗补助（项）:支出决算为0.59万元，完成预算100%。</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7.卫生健康（类）行政事业单位医疗（款）其他行政事业单位医疗支出（项）:支出决算为0.79万元，完成预算100%。</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8.农林水支出（类）水利（款）行政运行（项）:支出决算为91.70万元，完成预算100%。</w:t>
      </w:r>
    </w:p>
    <w:p>
      <w:pPr>
        <w:pStyle w:val="2"/>
        <w:spacing w:before="93"/>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9.农林水支出（类）水利（款）水资源节约管理与保护（项）:支出决算为43.20万元，完成预算100%。</w:t>
      </w:r>
    </w:p>
    <w:p>
      <w:pPr>
        <w:pStyle w:val="2"/>
        <w:spacing w:before="93"/>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10.农林水支出（类）水利（款）防汛（项）:支出决算为24.11万元，完成预算100%。</w:t>
      </w:r>
    </w:p>
    <w:p>
      <w:pPr>
        <w:pStyle w:val="2"/>
        <w:spacing w:before="93"/>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11.农林水支出（类）水利（款）抗旱（项）:支出决算为159.76万元，完成预算100%。</w:t>
      </w:r>
    </w:p>
    <w:p>
      <w:pPr>
        <w:pStyle w:val="2"/>
        <w:spacing w:before="93"/>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12.农林水支出（类）水利（款）其他水利支出（项）:支出决算为446.43万元，完成预算100%。</w:t>
      </w:r>
    </w:p>
    <w:p>
      <w:pPr>
        <w:adjustRightInd w:val="0"/>
        <w:snapToGrid w:val="0"/>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13.住房保障支出（类）住房改革支出（款）住房公积金（项）:支出决算为21.18万元，完成预算100%。</w:t>
      </w: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22年一般公共预算财政拨款基本支出269.02万元，其中：</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249.52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19.50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36" w:name="_Toc15377215"/>
      <w:bookmarkStart w:id="37" w:name="_Toc15396609"/>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hint="eastAsia" w:ascii="楷体_GB2312" w:hAnsi="楷体_GB2312" w:eastAsia="楷体_GB2312" w:cs="楷体_GB2312"/>
          <w:b w:val="0"/>
          <w:bCs/>
          <w:sz w:val="32"/>
          <w:szCs w:val="32"/>
          <w:lang w:eastAsia="zh-CN"/>
        </w:rPr>
      </w:pPr>
      <w:bookmarkStart w:id="38" w:name="_Toc15377216"/>
      <w:r>
        <w:rPr>
          <w:rFonts w:hint="eastAsia" w:ascii="楷体_GB2312" w:hAnsi="楷体_GB2312" w:eastAsia="楷体_GB2312" w:cs="楷体_GB2312"/>
          <w:b w:val="0"/>
          <w:bCs/>
          <w:sz w:val="32"/>
          <w:szCs w:val="32"/>
        </w:rPr>
        <w:t>（一）“三公”经费财政拨款支出决算总体情况说明</w:t>
      </w:r>
      <w:bookmarkEnd w:id="38"/>
      <w:r>
        <w:rPr>
          <w:rFonts w:hint="eastAsia" w:ascii="楷体_GB2312" w:hAnsi="楷体_GB2312" w:eastAsia="楷体_GB2312" w:cs="楷体_GB2312"/>
          <w:b w:val="0"/>
          <w:bCs/>
          <w:sz w:val="32"/>
          <w:szCs w:val="32"/>
          <w:lang w:eastAsia="zh-CN"/>
        </w:rPr>
        <w:t>。</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rPr>
        <w:t>22年“三公”经费财政拨款支出决算为5.29万元，完成预算100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，较上年减少0.03万元，下降0.56%</w:t>
      </w:r>
      <w:r>
        <w:rPr>
          <w:rFonts w:hint="eastAsia" w:eastAsia="仿宋_GB2312" w:cs="Times New Roman"/>
          <w:sz w:val="32"/>
          <w:szCs w:val="32"/>
          <w:lang w:eastAsia="zh-CN"/>
        </w:rPr>
        <w:t>，</w:t>
      </w:r>
      <w:r>
        <w:rPr>
          <w:rStyle w:val="14"/>
          <w:rFonts w:hint="default" w:ascii="Times New Roman" w:hAnsi="Times New Roman" w:eastAsia="仿宋_GB2312" w:cs="Times New Roman"/>
          <w:b w:val="0"/>
          <w:bCs/>
          <w:sz w:val="32"/>
          <w:szCs w:val="32"/>
        </w:rPr>
        <w:t>主要原因是严格执行中央八项规定。</w:t>
      </w:r>
    </w:p>
    <w:p>
      <w:pPr>
        <w:spacing w:line="600" w:lineRule="exact"/>
        <w:ind w:firstLine="640"/>
        <w:outlineLvl w:val="2"/>
        <w:rPr>
          <w:rFonts w:hint="eastAsia" w:ascii="楷体_GB2312" w:hAnsi="楷体_GB2312" w:eastAsia="楷体_GB2312" w:cs="楷体_GB2312"/>
          <w:b w:val="0"/>
          <w:bCs/>
          <w:sz w:val="32"/>
          <w:szCs w:val="32"/>
          <w:lang w:eastAsia="zh-CN"/>
        </w:rPr>
      </w:pPr>
      <w:bookmarkStart w:id="39" w:name="_Toc15377217"/>
      <w:r>
        <w:rPr>
          <w:rFonts w:hint="eastAsia" w:ascii="楷体_GB2312" w:hAnsi="楷体_GB2312" w:eastAsia="楷体_GB2312" w:cs="楷体_GB2312"/>
          <w:b w:val="0"/>
          <w:bCs/>
          <w:sz w:val="32"/>
          <w:szCs w:val="32"/>
        </w:rPr>
        <w:t>（二）“三公”经费财政拨款支出决算具体情况说明</w:t>
      </w:r>
      <w:bookmarkEnd w:id="39"/>
      <w:r>
        <w:rPr>
          <w:rFonts w:hint="eastAsia" w:ascii="楷体_GB2312" w:hAnsi="楷体_GB2312" w:eastAsia="楷体_GB2312" w:cs="楷体_GB2312"/>
          <w:b w:val="0"/>
          <w:bCs/>
          <w:sz w:val="32"/>
          <w:szCs w:val="32"/>
          <w:lang w:eastAsia="zh-CN"/>
        </w:rPr>
        <w:t>。</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rPr>
        <w:t>22年“三公”经费财政拨款支出决算中，因公出国（境）费支出决算0万元，占0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；公务用车购置及运行维护费支出决算4.97万元，占94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；公务接待费支出决算0.32万元，占6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。具体情况如下：</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（图7：“三公”经费财政拨款支出结构）</w:t>
      </w:r>
    </w:p>
    <w:p>
      <w:pPr>
        <w:pStyle w:val="2"/>
        <w:spacing w:before="93"/>
        <w:rPr>
          <w:rStyle w:val="14"/>
          <w:rFonts w:hint="default" w:ascii="Times New Roman" w:hAnsi="Times New Roman" w:eastAsia="仿宋_GB2312" w:cs="Times New Roman"/>
          <w:b w:val="0"/>
          <w:bCs/>
          <w:sz w:val="32"/>
          <w:szCs w:val="32"/>
        </w:rPr>
      </w:pPr>
      <w:r>
        <w:drawing>
          <wp:anchor distT="0" distB="0" distL="114300" distR="114300" simplePos="0" relativeHeight="251665408" behindDoc="0" locked="0" layoutInCell="1" allowOverlap="1">
            <wp:simplePos x="0" y="0"/>
            <wp:positionH relativeFrom="column">
              <wp:posOffset>575945</wp:posOffset>
            </wp:positionH>
            <wp:positionV relativeFrom="paragraph">
              <wp:posOffset>161290</wp:posOffset>
            </wp:positionV>
            <wp:extent cx="4445635" cy="2381250"/>
            <wp:effectExtent l="4445" t="4445" r="7620" b="14605"/>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lang w:val="en-US" w:eastAsia="zh-CN"/>
        </w:rPr>
        <w:t xml:space="preserve">   </w:t>
      </w:r>
      <w:r>
        <w:rPr>
          <w:rStyle w:val="14"/>
          <w:rFonts w:hint="default" w:ascii="Times New Roman" w:hAnsi="Times New Roman" w:eastAsia="仿宋_GB2312" w:cs="Times New Roman"/>
          <w:b w:val="0"/>
          <w:bCs/>
          <w:sz w:val="32"/>
          <w:szCs w:val="32"/>
          <w:lang w:val="en-US" w:eastAsia="zh-CN"/>
        </w:rPr>
        <w:t xml:space="preserve"> </w:t>
      </w:r>
      <w:r>
        <w:rPr>
          <w:rStyle w:val="14"/>
          <w:rFonts w:hint="default" w:ascii="Times New Roman" w:hAnsi="Times New Roman" w:eastAsia="仿宋_GB2312" w:cs="Times New Roman"/>
          <w:b w:val="0"/>
          <w:bCs/>
          <w:sz w:val="32"/>
          <w:szCs w:val="32"/>
        </w:rPr>
        <w:t>1.因公出国（境）经费支出0万元，完成预算0%。全年安排因公出国（境）团组0次，出国（境）0人。因公出国（境）支出决算与2021年持平。</w:t>
      </w:r>
    </w:p>
    <w:p>
      <w:pPr>
        <w:pStyle w:val="2"/>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Style w:val="14"/>
          <w:rFonts w:hint="default" w:ascii="Times New Roman" w:hAnsi="Times New Roman" w:eastAsia="仿宋_GB2312" w:cs="Times New Roman"/>
          <w:b w:val="0"/>
          <w:bCs/>
          <w:sz w:val="32"/>
          <w:szCs w:val="32"/>
        </w:rPr>
      </w:pPr>
      <w:r>
        <w:rPr>
          <w:rStyle w:val="14"/>
          <w:rFonts w:hint="default" w:ascii="Times New Roman" w:hAnsi="Times New Roman" w:eastAsia="仿宋_GB2312" w:cs="Times New Roman"/>
          <w:b w:val="0"/>
          <w:bCs/>
          <w:sz w:val="32"/>
          <w:szCs w:val="32"/>
        </w:rPr>
        <w:t>2.公务用车购置及运行维护费支出4.97万元,完成预算100%。公务用车购置及运行维护费支出决算比2021年减少0.03万元，下降0.6%。主要原因是严格执行中央八项规定。</w:t>
      </w:r>
    </w:p>
    <w:p>
      <w:pPr>
        <w:pStyle w:val="2"/>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Style w:val="14"/>
          <w:rFonts w:hint="default" w:ascii="Times New Roman" w:hAnsi="Times New Roman" w:eastAsia="仿宋_GB2312" w:cs="Times New Roman"/>
          <w:b w:val="0"/>
          <w:bCs/>
          <w:sz w:val="32"/>
          <w:szCs w:val="32"/>
        </w:rPr>
      </w:pPr>
      <w:r>
        <w:rPr>
          <w:rStyle w:val="14"/>
          <w:rFonts w:hint="default" w:ascii="Times New Roman" w:hAnsi="Times New Roman" w:eastAsia="仿宋_GB2312" w:cs="Times New Roman"/>
          <w:b w:val="0"/>
          <w:bCs/>
          <w:sz w:val="32"/>
          <w:szCs w:val="32"/>
        </w:rPr>
        <w:t>其中：公务用车购置支出0万元。全年按规定更新购置公务用车0辆，其中：轿车0辆、金额0万元，越野车0辆、金额0万元，载客汽车0辆、金额0万元。截至2022年12月底，单位共有公务用车2辆，其中：轿车0辆、越野车0辆、载客汽车2辆。</w:t>
      </w:r>
    </w:p>
    <w:p>
      <w:pPr>
        <w:pStyle w:val="2"/>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val="0"/>
          <w:bCs/>
          <w:sz w:val="32"/>
          <w:szCs w:val="32"/>
        </w:rPr>
        <w:t>公务用车运行维护费支出4.97万元。防汛抗旱、农田水利建设、水土保持、河道管理及水利工程调研、检</w:t>
      </w:r>
      <w:r>
        <w:rPr>
          <w:rFonts w:hint="default" w:ascii="Times New Roman" w:hAnsi="Times New Roman" w:eastAsia="仿宋_GB2312" w:cs="Times New Roman"/>
          <w:sz w:val="32"/>
          <w:szCs w:val="32"/>
        </w:rPr>
        <w:t>查、绩效考评等所需的公务用车燃料费、维修费、过路过桥费、保险费等支出。</w:t>
      </w:r>
    </w:p>
    <w:p>
      <w:pPr>
        <w:pStyle w:val="2"/>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Style w:val="14"/>
          <w:rFonts w:hint="default" w:ascii="Times New Roman" w:hAnsi="Times New Roman" w:eastAsia="仿宋_GB2312" w:cs="Times New Roman"/>
          <w:b w:val="0"/>
          <w:bCs/>
          <w:sz w:val="32"/>
          <w:szCs w:val="32"/>
          <w:lang w:val="en-US" w:eastAsia="zh-CN"/>
        </w:rPr>
      </w:pPr>
      <w:r>
        <w:rPr>
          <w:rStyle w:val="14"/>
          <w:rFonts w:hint="default" w:ascii="Times New Roman" w:hAnsi="Times New Roman" w:eastAsia="仿宋_GB2312" w:cs="Times New Roman"/>
          <w:b w:val="0"/>
          <w:bCs/>
          <w:sz w:val="32"/>
          <w:szCs w:val="32"/>
          <w:lang w:val="en-US" w:eastAsia="zh-CN"/>
        </w:rPr>
        <w:t>3.公务接待费支出0.32万元，完成预算100%。公务接待费支出决算与2021年持平。</w:t>
      </w:r>
    </w:p>
    <w:p>
      <w:pPr>
        <w:pStyle w:val="2"/>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Style w:val="14"/>
          <w:rFonts w:hint="default" w:ascii="Times New Roman" w:hAnsi="Times New Roman" w:eastAsia="仿宋_GB2312" w:cs="Times New Roman"/>
          <w:b w:val="0"/>
          <w:bCs/>
          <w:sz w:val="32"/>
          <w:szCs w:val="32"/>
          <w:lang w:val="en-US" w:eastAsia="zh-CN"/>
        </w:rPr>
      </w:pPr>
      <w:r>
        <w:rPr>
          <w:rStyle w:val="14"/>
          <w:rFonts w:hint="default" w:ascii="Times New Roman" w:hAnsi="Times New Roman" w:eastAsia="仿宋_GB2312" w:cs="Times New Roman"/>
          <w:b w:val="0"/>
          <w:bCs/>
          <w:sz w:val="32"/>
          <w:szCs w:val="32"/>
          <w:lang w:val="en-US" w:eastAsia="zh-CN"/>
        </w:rPr>
        <w:t xml:space="preserve">国内公务接待支出0.32万元，主要用于防汛抗旱、农田水利建设、水土保持、河道管理及水利工程调研、检查、绩效考评等执行公务、开展业务活动开支的用餐费。国内公务接待2批次，14人次（不包括陪同人员），共计支出0.32万元，具体内容包括：省水利督察组到西区督查工作接待6人，0.22万元；省河长办到西区调研金沙江河湖长制工作接待8人，0.1万元）。  </w:t>
      </w:r>
    </w:p>
    <w:p>
      <w:pPr>
        <w:pStyle w:val="2"/>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Style w:val="14"/>
          <w:rFonts w:hint="default" w:ascii="Times New Roman" w:hAnsi="Times New Roman" w:eastAsia="仿宋_GB2312" w:cs="Times New Roman"/>
          <w:b w:val="0"/>
          <w:bCs/>
          <w:sz w:val="32"/>
          <w:szCs w:val="32"/>
          <w:lang w:val="en-US" w:eastAsia="zh-CN"/>
        </w:rPr>
      </w:pPr>
      <w:r>
        <w:rPr>
          <w:rStyle w:val="14"/>
          <w:rFonts w:hint="default" w:ascii="Times New Roman" w:hAnsi="Times New Roman" w:eastAsia="仿宋_GB2312" w:cs="Times New Roman"/>
          <w:b w:val="0"/>
          <w:bCs/>
          <w:sz w:val="32"/>
          <w:szCs w:val="32"/>
          <w:lang w:val="en-US" w:eastAsia="zh-CN"/>
        </w:rPr>
        <w:t>外事接待支出0万元。外事接待0批次，0人次（不包括陪同人员），共计支出0万元。</w:t>
      </w:r>
    </w:p>
    <w:p>
      <w:pPr>
        <w:spacing w:line="600" w:lineRule="exact"/>
        <w:ind w:firstLine="640"/>
        <w:outlineLvl w:val="1"/>
        <w:rPr>
          <w:rStyle w:val="25"/>
          <w:rFonts w:hint="default" w:ascii="Times New Roman" w:hAnsi="Times New Roman" w:eastAsia="黑体" w:cs="Times New Roman"/>
        </w:rPr>
      </w:pPr>
      <w:bookmarkStart w:id="40" w:name="_Toc15396610"/>
      <w:bookmarkStart w:id="41" w:name="_Toc15377218"/>
      <w:r>
        <w:rPr>
          <w:rFonts w:hint="default" w:ascii="Times New Roman" w:hAnsi="Times New Roman" w:eastAsia="黑体" w:cs="Times New Roman"/>
          <w:sz w:val="32"/>
          <w:szCs w:val="32"/>
        </w:rPr>
        <w:t>八、</w:t>
      </w:r>
      <w:r>
        <w:rPr>
          <w:rStyle w:val="25"/>
          <w:rFonts w:hint="default" w:ascii="Times New Roman" w:hAnsi="Times New Roman" w:eastAsia="黑体" w:cs="Times New Roman"/>
          <w:b w:val="0"/>
        </w:rPr>
        <w:t>政府性基金预算支出决算情况说明</w:t>
      </w:r>
      <w:bookmarkEnd w:id="40"/>
      <w:bookmarkEnd w:id="41"/>
    </w:p>
    <w:p>
      <w:pPr>
        <w:spacing w:line="600" w:lineRule="exact"/>
        <w:ind w:firstLine="640"/>
        <w:rPr>
          <w:rFonts w:hint="default" w:ascii="Times New Roman" w:hAnsi="Times New Roman" w:eastAsia="仿宋_GB2312" w:cs="Times New Roman"/>
          <w:sz w:val="32"/>
          <w:szCs w:val="32"/>
        </w:rPr>
      </w:pPr>
      <w:r>
        <w:rPr>
          <w:rStyle w:val="14"/>
          <w:rFonts w:hint="default" w:ascii="Times New Roman" w:hAnsi="Times New Roman" w:eastAsia="仿宋_GB2312" w:cs="Times New Roman"/>
          <w:b w:val="0"/>
          <w:bCs/>
          <w:kern w:val="0"/>
          <w:sz w:val="32"/>
          <w:szCs w:val="32"/>
          <w:lang w:val="en-US" w:eastAsia="zh-CN" w:bidi="ar-SA"/>
        </w:rPr>
        <w:t>2022年政府性基金预算财政拨款支出124.07万元。</w:t>
      </w:r>
    </w:p>
    <w:p>
      <w:pPr>
        <w:numPr>
          <w:ilvl w:val="0"/>
          <w:numId w:val="2"/>
        </w:numPr>
        <w:spacing w:line="600" w:lineRule="exact"/>
        <w:ind w:firstLine="640" w:firstLineChars="200"/>
        <w:outlineLvl w:val="1"/>
        <w:rPr>
          <w:rStyle w:val="25"/>
          <w:rFonts w:hint="default" w:ascii="Times New Roman" w:hAnsi="Times New Roman" w:eastAsia="黑体" w:cs="Times New Roman"/>
          <w:b w:val="0"/>
        </w:rPr>
      </w:pPr>
      <w:bookmarkStart w:id="42" w:name="_Toc15377219"/>
      <w:bookmarkStart w:id="43" w:name="_Toc15396611"/>
      <w:r>
        <w:rPr>
          <w:rStyle w:val="25"/>
          <w:rFonts w:hint="default" w:ascii="Times New Roman" w:hAnsi="Times New Roman" w:eastAsia="黑体" w:cs="Times New Roman"/>
          <w:b w:val="0"/>
        </w:rPr>
        <w:t>国有资本经营预算支出决算情况说明</w:t>
      </w:r>
      <w:bookmarkEnd w:id="42"/>
      <w:bookmarkEnd w:id="43"/>
    </w:p>
    <w:p>
      <w:pPr>
        <w:spacing w:line="600" w:lineRule="exact"/>
        <w:ind w:firstLine="640"/>
        <w:rPr>
          <w:rStyle w:val="14"/>
          <w:rFonts w:hint="default" w:ascii="Times New Roman" w:hAnsi="Times New Roman" w:eastAsia="仿宋_GB2312" w:cs="Times New Roman"/>
          <w:b w:val="0"/>
          <w:bCs/>
          <w:kern w:val="0"/>
          <w:sz w:val="32"/>
          <w:szCs w:val="32"/>
          <w:lang w:val="en-US" w:eastAsia="zh-CN" w:bidi="ar-SA"/>
        </w:rPr>
      </w:pPr>
      <w:r>
        <w:rPr>
          <w:rStyle w:val="14"/>
          <w:rFonts w:hint="default" w:ascii="Times New Roman" w:hAnsi="Times New Roman" w:eastAsia="仿宋_GB2312" w:cs="Times New Roman"/>
          <w:b w:val="0"/>
          <w:bCs/>
          <w:kern w:val="0"/>
          <w:sz w:val="32"/>
          <w:szCs w:val="32"/>
          <w:lang w:val="en-US" w:eastAsia="zh-CN" w:bidi="ar-SA"/>
        </w:rPr>
        <w:t>2022年国有资本经营预算财政拨款支出0万元。</w:t>
      </w:r>
    </w:p>
    <w:p>
      <w:pPr>
        <w:numPr>
          <w:ilvl w:val="0"/>
          <w:numId w:val="0"/>
        </w:numPr>
        <w:spacing w:line="600" w:lineRule="exact"/>
        <w:ind w:firstLine="640" w:firstLineChars="200"/>
        <w:outlineLvl w:val="1"/>
        <w:rPr>
          <w:rStyle w:val="25"/>
          <w:rFonts w:hint="default" w:ascii="Times New Roman" w:hAnsi="Times New Roman" w:eastAsia="黑体" w:cs="Times New Roman"/>
          <w:b w:val="0"/>
        </w:rPr>
      </w:pPr>
      <w:bookmarkStart w:id="44" w:name="_Toc15377221"/>
      <w:bookmarkStart w:id="45" w:name="_Toc15396612"/>
      <w:r>
        <w:rPr>
          <w:rStyle w:val="25"/>
          <w:rFonts w:hint="default" w:ascii="Times New Roman" w:hAnsi="Times New Roman" w:eastAsia="黑体" w:cs="Times New Roman"/>
          <w:b w:val="0"/>
          <w:lang w:val="en-US" w:eastAsia="zh-CN"/>
        </w:rPr>
        <w:t>十、</w:t>
      </w:r>
      <w:r>
        <w:rPr>
          <w:rStyle w:val="25"/>
          <w:rFonts w:hint="default" w:ascii="Times New Roman" w:hAnsi="Times New Roman" w:eastAsia="黑体" w:cs="Times New Roman"/>
          <w:b w:val="0"/>
        </w:rPr>
        <w:t>其他重要事项的情况说明</w:t>
      </w:r>
      <w:bookmarkEnd w:id="44"/>
      <w:bookmarkEnd w:id="45"/>
    </w:p>
    <w:p>
      <w:pPr>
        <w:spacing w:line="600" w:lineRule="exact"/>
        <w:ind w:firstLine="640"/>
        <w:outlineLvl w:val="2"/>
        <w:rPr>
          <w:rFonts w:hint="default" w:ascii="Times New Roman" w:hAnsi="Times New Roman" w:eastAsia="楷体_GB2312" w:cs="Times New Roman"/>
          <w:b w:val="0"/>
          <w:bCs/>
          <w:sz w:val="32"/>
          <w:szCs w:val="32"/>
          <w:lang w:eastAsia="zh-CN"/>
        </w:rPr>
      </w:pPr>
      <w:bookmarkStart w:id="46" w:name="_Toc15377222"/>
      <w:r>
        <w:rPr>
          <w:rFonts w:hint="default" w:ascii="Times New Roman" w:hAnsi="Times New Roman" w:eastAsia="楷体_GB2312" w:cs="Times New Roman"/>
          <w:b w:val="0"/>
          <w:bCs/>
          <w:sz w:val="32"/>
          <w:szCs w:val="32"/>
        </w:rPr>
        <w:t>（一）机关运行经费支出情况</w:t>
      </w:r>
      <w:bookmarkEnd w:id="46"/>
      <w:r>
        <w:rPr>
          <w:rFonts w:hint="default" w:ascii="Times New Roman" w:hAnsi="Times New Roman" w:eastAsia="楷体_GB2312" w:cs="Times New Roman"/>
          <w:b w:val="0"/>
          <w:bCs/>
          <w:sz w:val="32"/>
          <w:szCs w:val="32"/>
          <w:lang w:eastAsia="zh-CN"/>
        </w:rPr>
        <w:t>。</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2022年，攀枝花市西区水利局机关运行经费支出19.50万元，比2021年增减少2.76万元，下降12.40%。主要原因是牢固树立“过紧日子”思想，严控“三公”经费支出。</w:t>
      </w:r>
    </w:p>
    <w:p>
      <w:pPr>
        <w:spacing w:line="600" w:lineRule="exact"/>
        <w:ind w:firstLine="640"/>
        <w:outlineLvl w:val="2"/>
        <w:rPr>
          <w:rFonts w:hint="default" w:ascii="Times New Roman" w:hAnsi="Times New Roman" w:eastAsia="楷体_GB2312" w:cs="Times New Roman"/>
          <w:b w:val="0"/>
          <w:bCs/>
          <w:sz w:val="32"/>
          <w:szCs w:val="32"/>
          <w:lang w:eastAsia="zh-CN"/>
        </w:rPr>
      </w:pPr>
      <w:bookmarkStart w:id="47" w:name="_Toc15377223"/>
      <w:r>
        <w:rPr>
          <w:rFonts w:hint="default" w:ascii="Times New Roman" w:hAnsi="Times New Roman" w:eastAsia="楷体_GB2312" w:cs="Times New Roman"/>
          <w:b w:val="0"/>
          <w:bCs/>
          <w:sz w:val="32"/>
          <w:szCs w:val="32"/>
        </w:rPr>
        <w:t>（二）政府采购支出情况</w:t>
      </w:r>
      <w:bookmarkEnd w:id="47"/>
      <w:r>
        <w:rPr>
          <w:rFonts w:hint="default" w:ascii="Times New Roman" w:hAnsi="Times New Roman" w:eastAsia="楷体_GB2312" w:cs="Times New Roman"/>
          <w:b w:val="0"/>
          <w:bCs/>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攀枝花市西区水利局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line="600" w:lineRule="exact"/>
        <w:ind w:firstLine="640"/>
        <w:outlineLvl w:val="2"/>
        <w:rPr>
          <w:rFonts w:hint="default" w:ascii="Times New Roman" w:hAnsi="Times New Roman" w:eastAsia="楷体_GB2312" w:cs="Times New Roman"/>
          <w:b w:val="0"/>
          <w:bCs/>
          <w:sz w:val="32"/>
          <w:szCs w:val="32"/>
          <w:lang w:eastAsia="zh-CN"/>
        </w:rPr>
      </w:pPr>
      <w:bookmarkStart w:id="48" w:name="_Toc15377224"/>
      <w:r>
        <w:rPr>
          <w:rFonts w:hint="default" w:ascii="Times New Roman" w:hAnsi="Times New Roman" w:eastAsia="楷体_GB2312" w:cs="Times New Roman"/>
          <w:b w:val="0"/>
          <w:bCs/>
          <w:sz w:val="32"/>
          <w:szCs w:val="32"/>
        </w:rPr>
        <w:t>（三）国有资产占有使用情况</w:t>
      </w:r>
      <w:bookmarkEnd w:id="48"/>
      <w:r>
        <w:rPr>
          <w:rFonts w:hint="default" w:ascii="Times New Roman" w:hAnsi="Times New Roman" w:eastAsia="楷体_GB2312" w:cs="Times New Roman"/>
          <w:b w:val="0"/>
          <w:bCs/>
          <w:sz w:val="32"/>
          <w:szCs w:val="32"/>
          <w:lang w:eastAsia="zh-CN"/>
        </w:rPr>
        <w:t>。</w:t>
      </w:r>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截至2022年12月31日，攀枝花市西区水利局共有车辆2辆，其中：主要领导干部用车0辆、机要通信用车0辆、应急保障用车0辆、特种专业技术用车2辆、其他用车0辆。单价100万元以上专用设备0台（套）。</w:t>
      </w:r>
    </w:p>
    <w:p>
      <w:pPr>
        <w:spacing w:line="600" w:lineRule="exact"/>
        <w:ind w:firstLine="640"/>
        <w:outlineLvl w:val="2"/>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（四）预算绩效管理情况</w:t>
      </w:r>
      <w:r>
        <w:rPr>
          <w:rFonts w:hint="default" w:ascii="Times New Roman" w:hAnsi="Times New Roman" w:eastAsia="楷体_GB2312" w:cs="Times New Roman"/>
          <w:b w:val="0"/>
          <w:bCs/>
          <w:sz w:val="32"/>
          <w:szCs w:val="32"/>
          <w:lang w:eastAsia="zh-CN"/>
        </w:rPr>
        <w:t>。</w:t>
      </w:r>
    </w:p>
    <w:p>
      <w:pPr>
        <w:pStyle w:val="2"/>
        <w:spacing w:before="93"/>
        <w:ind w:firstLine="640" w:firstLineChars="200"/>
        <w:rPr>
          <w:rFonts w:hint="default" w:ascii="Times New Roman" w:hAnsi="Times New Roman" w:cs="Times New Roman"/>
          <w:highlight w:val="yellow"/>
        </w:rPr>
      </w:pPr>
      <w:r>
        <w:rPr>
          <w:rFonts w:hint="default" w:ascii="Times New Roman" w:hAnsi="Times New Roman" w:cs="Times New Roman"/>
          <w:sz w:val="32"/>
          <w:szCs w:val="32"/>
        </w:rPr>
        <w:t>根据预算绩效管理要求，本单位在2022年度预算编制阶段，组织对47项目带薪年休假经费、基本养老保险、工资性支出、基本公用支出、水利行业管理、河湖长制目标考核项目经费、防汛抗旱目标考核经费项目等47个项目开展了预算事前绩效评估，对47个项目编制了绩效目标，预算执行过程中，选取47个项目开展绩效监控，组织对47个项目开展绩效自评，绩效自评表详见第四部分附件。</w:t>
      </w:r>
    </w:p>
    <w:p>
      <w:pPr>
        <w:widowControl/>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numPr>
          <w:ilvl w:val="0"/>
          <w:numId w:val="0"/>
        </w:numPr>
        <w:spacing w:line="600" w:lineRule="exact"/>
        <w:jc w:val="center"/>
        <w:outlineLvl w:val="0"/>
        <w:rPr>
          <w:rStyle w:val="24"/>
          <w:rFonts w:hint="eastAsia" w:ascii="方正小标宋_GBK" w:hAnsi="方正小标宋_GBK" w:eastAsia="方正小标宋_GBK" w:cs="方正小标宋_GBK"/>
          <w:b w:val="0"/>
        </w:rPr>
      </w:pPr>
      <w:bookmarkStart w:id="49" w:name="_Toc15396613"/>
      <w:bookmarkStart w:id="50" w:name="_Toc15377225"/>
      <w:r>
        <w:rPr>
          <w:rFonts w:hint="eastAsia" w:ascii="方正小标宋_GBK" w:hAnsi="方正小标宋_GBK" w:eastAsia="方正小标宋_GBK" w:cs="方正小标宋_GBK"/>
          <w:sz w:val="44"/>
          <w:szCs w:val="44"/>
          <w:lang w:val="en-US" w:eastAsia="zh-CN"/>
        </w:rPr>
        <w:t xml:space="preserve">第三部分  </w:t>
      </w:r>
      <w:r>
        <w:rPr>
          <w:rFonts w:hint="eastAsia" w:ascii="方正小标宋_GBK" w:hAnsi="方正小标宋_GBK" w:eastAsia="方正小标宋_GBK" w:cs="方正小标宋_GBK"/>
          <w:sz w:val="44"/>
          <w:szCs w:val="44"/>
        </w:rPr>
        <w:t>名</w:t>
      </w:r>
      <w:r>
        <w:rPr>
          <w:rStyle w:val="24"/>
          <w:rFonts w:hint="eastAsia" w:ascii="方正小标宋_GBK" w:hAnsi="方正小标宋_GBK" w:eastAsia="方正小标宋_GBK" w:cs="方正小标宋_GBK"/>
          <w:b w:val="0"/>
        </w:rPr>
        <w:t>词解释</w:t>
      </w:r>
      <w:bookmarkEnd w:id="49"/>
      <w:bookmarkEnd w:id="50"/>
    </w:p>
    <w:p>
      <w:pPr>
        <w:spacing w:line="600" w:lineRule="exact"/>
        <w:jc w:val="left"/>
        <w:rPr>
          <w:rFonts w:ascii="宋体"/>
          <w:b/>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bookmarkStart w:id="51" w:name="_Toc15377226"/>
      <w:r>
        <w:rPr>
          <w:rFonts w:eastAsia="仿宋_GB2312"/>
          <w:sz w:val="32"/>
          <w:szCs w:val="32"/>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eastAsia="仿宋_GB2312"/>
          <w:sz w:val="32"/>
          <w:szCs w:val="32"/>
        </w:rPr>
        <w:t>2.事业收入：指事业单位开展专业业务活动及辅助活动取得的收入。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eastAsia="仿宋_GB2312"/>
          <w:sz w:val="32"/>
          <w:szCs w:val="32"/>
        </w:rPr>
        <w:t>3.其他收入：指单位取得的除上述收入以外的各项收入。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lang w:val="en-US" w:eastAsia="zh-CN"/>
        </w:rPr>
        <w:t>4</w:t>
      </w:r>
      <w:r>
        <w:rPr>
          <w:rFonts w:eastAsia="仿宋_GB2312"/>
          <w:sz w:val="32"/>
          <w:szCs w:val="32"/>
        </w:rPr>
        <w:t>.使用非财政拨款结余：指事业单位使用以前年度积累的非财政拨款结余弥补当年收支差额的金额。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lang w:val="en-US" w:eastAsia="zh-CN"/>
        </w:rPr>
        <w:t>5</w:t>
      </w:r>
      <w:r>
        <w:rPr>
          <w:rFonts w:eastAsia="仿宋_GB2312"/>
          <w:sz w:val="32"/>
          <w:szCs w:val="32"/>
        </w:rPr>
        <w:t>.年初结转和结余：指以前年度尚未完成、结转到本年按有关规定继续使用的资金。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lang w:val="en-US" w:eastAsia="zh-CN"/>
        </w:rPr>
        <w:t>6.</w:t>
      </w:r>
      <w:r>
        <w:rPr>
          <w:rFonts w:eastAsia="仿宋_GB2312"/>
          <w:sz w:val="32"/>
          <w:szCs w:val="32"/>
        </w:rPr>
        <w:t>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lang w:val="en-US" w:eastAsia="zh-CN"/>
        </w:rPr>
        <w:t>7</w:t>
      </w:r>
      <w:r>
        <w:rPr>
          <w:rFonts w:eastAsia="仿宋_GB2312"/>
          <w:sz w:val="32"/>
          <w:szCs w:val="32"/>
        </w:rPr>
        <w:t>.社会保障和就业支出（类）行政事业单位养老支出（款）行政单位离退休（项）：反映行政单位（包括实行公务员管理的事业单位）开支的离退休支出。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lang w:val="en-US" w:eastAsia="zh-CN"/>
        </w:rPr>
        <w:t>8</w:t>
      </w:r>
      <w:r>
        <w:rPr>
          <w:rFonts w:eastAsia="仿宋_GB2312"/>
          <w:sz w:val="32"/>
          <w:szCs w:val="32"/>
        </w:rPr>
        <w:t>.社会保障和就业支出（类）行政事业单位养老支出（款）机关事业单位基本养老保险缴费支出（项）：指机关事业单位实施养老保险制度由单位缴纳的基本养老保险费支出。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lang w:val="en-US" w:eastAsia="zh-CN"/>
        </w:rPr>
        <w:t>9</w:t>
      </w:r>
      <w:r>
        <w:rPr>
          <w:rFonts w:eastAsia="仿宋_GB2312"/>
          <w:sz w:val="32"/>
          <w:szCs w:val="32"/>
        </w:rPr>
        <w:t>.社会保障和就业（类）抚恤（款）死亡抚恤（项）：反映按规定用于烈士和牺牲、病故人员家属的一次性和定期抚恤以及丧葬补助费。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lang w:val="en-US" w:eastAsia="zh-CN"/>
        </w:rPr>
        <w:t>10</w:t>
      </w:r>
      <w:r>
        <w:rPr>
          <w:rFonts w:eastAsia="仿宋_GB2312"/>
          <w:sz w:val="32"/>
          <w:szCs w:val="32"/>
        </w:rPr>
        <w:t>.农林水支出（类）水利（款）行政运行（项）：指行政单位（包括实行公务员管理的事业单位）的基本支出。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1</w:t>
      </w:r>
      <w:r>
        <w:rPr>
          <w:rFonts w:hint="eastAsia" w:eastAsia="仿宋_GB2312"/>
          <w:sz w:val="32"/>
          <w:szCs w:val="32"/>
          <w:lang w:val="en-US" w:eastAsia="zh-CN"/>
        </w:rPr>
        <w:t>1</w:t>
      </w:r>
      <w:r>
        <w:rPr>
          <w:rFonts w:eastAsia="仿宋_GB2312"/>
          <w:sz w:val="32"/>
          <w:szCs w:val="32"/>
        </w:rPr>
        <w:t>.农林水支出（类）农业农村（款）行政运行（项）：指行政单位（包括实行公务员管理的事业单位）的基本支出。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1</w:t>
      </w:r>
      <w:r>
        <w:rPr>
          <w:rFonts w:hint="eastAsia" w:eastAsia="仿宋_GB2312"/>
          <w:sz w:val="32"/>
          <w:szCs w:val="32"/>
          <w:lang w:val="en-US" w:eastAsia="zh-CN"/>
        </w:rPr>
        <w:t>2</w:t>
      </w:r>
      <w:r>
        <w:rPr>
          <w:rFonts w:eastAsia="仿宋_GB2312"/>
          <w:sz w:val="32"/>
          <w:szCs w:val="32"/>
        </w:rPr>
        <w:t>.农林水支出（类）水利（款）水土保持（项）：指反映水利系统纳入预算管理的水土保持事业单位的支出，包括规划制定和实施，治理、生态修复、预防监测、调查协调、综合治理、开发技术的示范、监督执法等支出以及水土保持生态工程措施和各项管理保护活动的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1</w:t>
      </w:r>
      <w:r>
        <w:rPr>
          <w:rFonts w:hint="eastAsia" w:eastAsia="仿宋_GB2312"/>
          <w:sz w:val="32"/>
          <w:szCs w:val="32"/>
          <w:lang w:val="en-US" w:eastAsia="zh-CN"/>
        </w:rPr>
        <w:t>3</w:t>
      </w:r>
      <w:r>
        <w:rPr>
          <w:rFonts w:eastAsia="仿宋_GB2312"/>
          <w:sz w:val="32"/>
          <w:szCs w:val="32"/>
        </w:rPr>
        <w:t>.农林水支出（类）水利（款）水资源节约管理与保护（项）：反映水资源节约、监管、配置、调度、保护和基础管理工作 的支出。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1</w:t>
      </w:r>
      <w:r>
        <w:rPr>
          <w:rFonts w:hint="eastAsia" w:eastAsia="仿宋_GB2312"/>
          <w:sz w:val="32"/>
          <w:szCs w:val="32"/>
          <w:lang w:val="en-US" w:eastAsia="zh-CN"/>
        </w:rPr>
        <w:t>4</w:t>
      </w:r>
      <w:r>
        <w:rPr>
          <w:rFonts w:eastAsia="仿宋_GB2312"/>
          <w:sz w:val="32"/>
          <w:szCs w:val="32"/>
        </w:rPr>
        <w:t>.农林水支出（类）水利（款）防汛（项）：反映防汛业务支出。有关事项包括防汛物资</w:t>
      </w:r>
      <w:r>
        <w:rPr>
          <w:rFonts w:hint="eastAsia" w:eastAsia="仿宋_GB2312"/>
          <w:sz w:val="32"/>
          <w:szCs w:val="32"/>
        </w:rPr>
        <w:t>采购</w:t>
      </w:r>
      <w:r>
        <w:rPr>
          <w:rFonts w:eastAsia="仿宋_GB2312"/>
          <w:sz w:val="32"/>
          <w:szCs w:val="32"/>
        </w:rPr>
        <w:t>，防汛通信设施设备、网络系统，防汛值班、水情报汛、 防汛指挥系统运行维护、水毁修复以及防汛组织（如防汛预 案编制、检查、演习、宣传、会议等），水利设施灾后重建，退田还湖，蓄滞洪区补偿，水情、雨情、决策支持，防汛视频会商，山洪灾害防治等。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1</w:t>
      </w:r>
      <w:r>
        <w:rPr>
          <w:rFonts w:hint="eastAsia" w:eastAsia="仿宋_GB2312"/>
          <w:sz w:val="32"/>
          <w:szCs w:val="32"/>
          <w:lang w:val="en-US" w:eastAsia="zh-CN"/>
        </w:rPr>
        <w:t>5</w:t>
      </w:r>
      <w:r>
        <w:rPr>
          <w:rFonts w:eastAsia="仿宋_GB2312"/>
          <w:sz w:val="32"/>
          <w:szCs w:val="32"/>
        </w:rPr>
        <w:t>.农林水支出（类）水利（款）其他水利支出（项）：指反映其他用于水利方面的支出。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1</w:t>
      </w:r>
      <w:r>
        <w:rPr>
          <w:rFonts w:hint="eastAsia" w:eastAsia="仿宋_GB2312"/>
          <w:sz w:val="32"/>
          <w:szCs w:val="32"/>
          <w:lang w:val="en-US" w:eastAsia="zh-CN"/>
        </w:rPr>
        <w:t>6</w:t>
      </w:r>
      <w:r>
        <w:rPr>
          <w:rFonts w:eastAsia="仿宋_GB2312"/>
          <w:sz w:val="32"/>
          <w:szCs w:val="32"/>
        </w:rPr>
        <w:t>.住房保障支出（类）住房改革支出（款）住房公积金（项）：指反映行政事业单位按人事、财政部门规定的基本工资和津贴补贴以及规定比例为职工缴纳的住房公积金。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1</w:t>
      </w:r>
      <w:r>
        <w:rPr>
          <w:rFonts w:hint="eastAsia" w:eastAsia="仿宋_GB2312"/>
          <w:sz w:val="32"/>
          <w:szCs w:val="32"/>
          <w:lang w:val="en-US" w:eastAsia="zh-CN"/>
        </w:rPr>
        <w:t>7</w:t>
      </w:r>
      <w:r>
        <w:rPr>
          <w:rFonts w:eastAsia="仿宋_GB2312"/>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lang w:val="en-US" w:eastAsia="zh-CN"/>
        </w:rPr>
        <w:t>18</w:t>
      </w:r>
      <w:r>
        <w:rPr>
          <w:rFonts w:eastAsia="仿宋_GB2312"/>
          <w:sz w:val="32"/>
          <w:szCs w:val="32"/>
        </w:rPr>
        <w:t>.项目支出：指在基本支出之外为完成特定行政任务和事业发展目标所发生的支出。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lang w:val="en-US" w:eastAsia="zh-CN"/>
        </w:rPr>
        <w:t>19</w:t>
      </w:r>
      <w:r>
        <w:rPr>
          <w:rFonts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2</w:t>
      </w:r>
      <w:r>
        <w:rPr>
          <w:rFonts w:hint="eastAsia" w:eastAsia="仿宋_GB2312"/>
          <w:sz w:val="32"/>
          <w:szCs w:val="32"/>
          <w:lang w:val="en-US" w:eastAsia="zh-CN"/>
        </w:rPr>
        <w:t>0</w:t>
      </w:r>
      <w:r>
        <w:rPr>
          <w:rFonts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Style w:val="24"/>
          <w:rFonts w:hint="eastAsia" w:ascii="方正小标宋_GBK" w:hAnsi="方正小标宋_GBK" w:eastAsia="方正小标宋_GBK" w:cs="方正小标宋_GBK"/>
          <w:b w:val="0"/>
        </w:rPr>
      </w:pPr>
      <w:r>
        <w:rPr>
          <w:rFonts w:ascii="宋体"/>
          <w:b/>
          <w:sz w:val="44"/>
          <w:szCs w:val="44"/>
        </w:rPr>
        <w:br w:type="page"/>
      </w:r>
      <w:bookmarkStart w:id="52" w:name="_Toc15396614"/>
      <w:r>
        <w:rPr>
          <w:rStyle w:val="24"/>
          <w:rFonts w:hint="eastAsia" w:ascii="方正小标宋_GBK" w:hAnsi="方正小标宋_GBK" w:eastAsia="方正小标宋_GBK" w:cs="方正小标宋_GBK"/>
          <w:b w:val="0"/>
        </w:rPr>
        <w:t>第四部分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eastAsia" w:ascii="宋体" w:hAnsi="宋体" w:eastAsia="宋体" w:cs="宋体"/>
          <w:kern w:val="0"/>
          <w:sz w:val="32"/>
          <w:szCs w:val="32"/>
          <w:lang w:eastAsia="zh-CN"/>
        </w:rPr>
      </w:pPr>
      <w:bookmarkStart w:id="53" w:name="_Toc15396618"/>
      <w:r>
        <w:rPr>
          <w:rFonts w:hint="eastAsia" w:ascii="宋体" w:hAnsi="宋体" w:cs="宋体"/>
          <w:kern w:val="0"/>
          <w:sz w:val="32"/>
          <w:szCs w:val="32"/>
        </w:rPr>
        <w:t>部门预算项目支出绩效自评表（2022年度）见附件</w:t>
      </w:r>
      <w:r>
        <w:rPr>
          <w:rFonts w:hint="eastAsia" w:ascii="宋体" w:hAnsi="宋体" w:cs="宋体"/>
          <w:kern w:val="0"/>
          <w:sz w:val="32"/>
          <w:szCs w:val="32"/>
          <w:lang w:val="en-US" w:eastAsia="zh-CN"/>
        </w:rPr>
        <w:t>2</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方正小标宋_GBK" w:hAnsi="方正小标宋_GBK" w:eastAsia="方正小标宋_GBK" w:cs="方正小标宋_GBK"/>
          <w:sz w:val="44"/>
          <w:szCs w:val="44"/>
        </w:rPr>
        <w:t>第</w:t>
      </w:r>
      <w:r>
        <w:rPr>
          <w:rStyle w:val="24"/>
          <w:rFonts w:hint="eastAsia" w:ascii="方正小标宋_GBK" w:hAnsi="方正小标宋_GBK" w:eastAsia="方正小标宋_GBK" w:cs="方正小标宋_GBK"/>
          <w:b w:val="0"/>
        </w:rPr>
        <w:t>五部分 附表</w:t>
      </w:r>
      <w:bookmarkEnd w:id="51"/>
      <w:bookmarkEnd w:id="53"/>
      <w:bookmarkStart w:id="54" w:name="_Toc15396619"/>
    </w:p>
    <w:p>
      <w:pPr>
        <w:pStyle w:val="4"/>
        <w:rPr>
          <w:rFonts w:hint="eastAsia" w:ascii="仿宋_GB2312" w:hAnsi="仿宋_GB2312" w:eastAsia="仿宋_GB2312" w:cs="仿宋_GB2312"/>
        </w:rPr>
      </w:pPr>
      <w:r>
        <w:rPr>
          <w:rFonts w:hint="eastAsia" w:ascii="仿宋_GB2312" w:hAnsi="仿宋_GB2312" w:eastAsia="仿宋_GB2312" w:cs="仿宋_GB2312"/>
          <w:b w:val="0"/>
        </w:rPr>
        <w:t>一、收</w:t>
      </w:r>
      <w:r>
        <w:rPr>
          <w:rStyle w:val="25"/>
          <w:rFonts w:hint="eastAsia" w:ascii="仿宋_GB2312" w:hAnsi="仿宋_GB2312" w:eastAsia="仿宋_GB2312" w:cs="仿宋_GB2312"/>
          <w:b w:val="0"/>
          <w:bCs w:val="0"/>
        </w:rPr>
        <w:t>入支出决算总表</w:t>
      </w:r>
      <w:bookmarkEnd w:id="54"/>
    </w:p>
    <w:p>
      <w:pPr>
        <w:pStyle w:val="4"/>
        <w:rPr>
          <w:rFonts w:hint="eastAsia" w:ascii="仿宋_GB2312" w:hAnsi="仿宋_GB2312" w:eastAsia="仿宋_GB2312" w:cs="仿宋_GB2312"/>
        </w:rPr>
      </w:pPr>
      <w:bookmarkStart w:id="55" w:name="_Toc15396620"/>
      <w:r>
        <w:rPr>
          <w:rFonts w:hint="eastAsia" w:ascii="仿宋_GB2312" w:hAnsi="仿宋_GB2312" w:eastAsia="仿宋_GB2312" w:cs="仿宋_GB2312"/>
          <w:b w:val="0"/>
        </w:rPr>
        <w:t>二、收</w:t>
      </w:r>
      <w:r>
        <w:rPr>
          <w:rStyle w:val="25"/>
          <w:rFonts w:hint="eastAsia" w:ascii="仿宋_GB2312" w:hAnsi="仿宋_GB2312" w:eastAsia="仿宋_GB2312" w:cs="仿宋_GB2312"/>
          <w:b w:val="0"/>
          <w:bCs w:val="0"/>
        </w:rPr>
        <w:t>入决算表</w:t>
      </w:r>
      <w:bookmarkEnd w:id="55"/>
    </w:p>
    <w:p>
      <w:pPr>
        <w:pStyle w:val="4"/>
        <w:rPr>
          <w:rFonts w:hint="eastAsia" w:ascii="仿宋_GB2312" w:hAnsi="仿宋_GB2312" w:eastAsia="仿宋_GB2312" w:cs="仿宋_GB2312"/>
        </w:rPr>
      </w:pPr>
      <w:bookmarkStart w:id="56" w:name="_Toc15396621"/>
      <w:r>
        <w:rPr>
          <w:rStyle w:val="25"/>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5"/>
          <w:rFonts w:hint="eastAsia" w:ascii="仿宋_GB2312" w:hAnsi="仿宋_GB2312" w:eastAsia="仿宋_GB2312" w:cs="仿宋_GB2312"/>
          <w:b w:val="0"/>
          <w:bCs w:val="0"/>
        </w:rPr>
        <w:t>出决算表</w:t>
      </w:r>
      <w:bookmarkEnd w:id="56"/>
    </w:p>
    <w:p>
      <w:pPr>
        <w:pStyle w:val="4"/>
        <w:rPr>
          <w:rFonts w:hint="eastAsia" w:ascii="仿宋_GB2312" w:hAnsi="仿宋_GB2312" w:eastAsia="仿宋_GB2312" w:cs="仿宋_GB2312"/>
          <w:b w:val="0"/>
          <w:sz w:val="30"/>
          <w:szCs w:val="30"/>
        </w:rPr>
      </w:pPr>
      <w:bookmarkStart w:id="57" w:name="_Toc15396622"/>
      <w:r>
        <w:rPr>
          <w:rStyle w:val="25"/>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5"/>
          <w:rFonts w:hint="eastAsia" w:ascii="仿宋_GB2312" w:hAnsi="仿宋_GB2312" w:eastAsia="仿宋_GB2312" w:cs="仿宋_GB2312"/>
          <w:b w:val="0"/>
          <w:bCs w:val="0"/>
        </w:rPr>
        <w:t>政拨款收入支出决算总表</w:t>
      </w:r>
      <w:bookmarkEnd w:id="57"/>
    </w:p>
    <w:p>
      <w:pPr>
        <w:pStyle w:val="4"/>
        <w:rPr>
          <w:rStyle w:val="25"/>
          <w:rFonts w:hint="eastAsia" w:ascii="仿宋_GB2312" w:hAnsi="仿宋_GB2312" w:eastAsia="仿宋_GB2312" w:cs="仿宋_GB2312"/>
          <w:b w:val="0"/>
          <w:bCs w:val="0"/>
        </w:rPr>
      </w:pPr>
      <w:bookmarkStart w:id="58" w:name="_Toc15396623"/>
      <w:r>
        <w:rPr>
          <w:rStyle w:val="25"/>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5"/>
          <w:rFonts w:hint="eastAsia" w:ascii="仿宋_GB2312" w:hAnsi="仿宋_GB2312" w:eastAsia="仿宋_GB2312" w:cs="仿宋_GB2312"/>
          <w:b w:val="0"/>
          <w:bCs w:val="0"/>
        </w:rPr>
        <w:t>政拨款支出决算明细表</w:t>
      </w:r>
      <w:bookmarkEnd w:id="58"/>
      <w:bookmarkStart w:id="59" w:name="_Toc15396624"/>
    </w:p>
    <w:p>
      <w:pPr>
        <w:pStyle w:val="4"/>
        <w:rPr>
          <w:rFonts w:hint="eastAsia" w:ascii="仿宋_GB2312" w:hAnsi="仿宋_GB2312" w:eastAsia="仿宋_GB2312" w:cs="仿宋_GB2312"/>
        </w:rPr>
      </w:pPr>
      <w:r>
        <w:rPr>
          <w:rStyle w:val="25"/>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5"/>
          <w:rFonts w:hint="eastAsia" w:ascii="仿宋_GB2312" w:hAnsi="仿宋_GB2312" w:eastAsia="仿宋_GB2312" w:cs="仿宋_GB2312"/>
          <w:b w:val="0"/>
          <w:bCs w:val="0"/>
        </w:rPr>
        <w:t>般公共预算财政拨款支出决算表</w:t>
      </w:r>
      <w:bookmarkEnd w:id="59"/>
    </w:p>
    <w:p>
      <w:pPr>
        <w:pStyle w:val="4"/>
        <w:rPr>
          <w:rFonts w:hint="eastAsia" w:ascii="仿宋_GB2312" w:hAnsi="仿宋_GB2312" w:eastAsia="仿宋_GB2312" w:cs="仿宋_GB2312"/>
        </w:rPr>
      </w:pPr>
      <w:bookmarkStart w:id="60" w:name="_Toc15396625"/>
      <w:r>
        <w:rPr>
          <w:rStyle w:val="25"/>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5"/>
          <w:rFonts w:hint="eastAsia" w:ascii="仿宋_GB2312" w:hAnsi="仿宋_GB2312" w:eastAsia="仿宋_GB2312" w:cs="仿宋_GB2312"/>
          <w:b w:val="0"/>
          <w:bCs w:val="0"/>
        </w:rPr>
        <w:t>般公共预算财政拨款支出决算明细表</w:t>
      </w:r>
      <w:bookmarkEnd w:id="60"/>
    </w:p>
    <w:p>
      <w:pPr>
        <w:pStyle w:val="4"/>
        <w:rPr>
          <w:rFonts w:hint="eastAsia" w:ascii="仿宋_GB2312" w:hAnsi="仿宋_GB2312" w:eastAsia="仿宋_GB2312" w:cs="仿宋_GB2312"/>
        </w:rPr>
      </w:pPr>
      <w:bookmarkStart w:id="61" w:name="_Toc15396626"/>
      <w:r>
        <w:rPr>
          <w:rStyle w:val="25"/>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5"/>
          <w:rFonts w:hint="eastAsia" w:ascii="仿宋_GB2312" w:hAnsi="仿宋_GB2312" w:eastAsia="仿宋_GB2312" w:cs="仿宋_GB2312"/>
          <w:b w:val="0"/>
          <w:bCs w:val="0"/>
        </w:rPr>
        <w:t>般公共预算财政拨款基本支出决算表</w:t>
      </w:r>
      <w:bookmarkEnd w:id="61"/>
    </w:p>
    <w:p>
      <w:pPr>
        <w:pStyle w:val="4"/>
        <w:rPr>
          <w:rFonts w:hint="eastAsia" w:ascii="仿宋_GB2312" w:hAnsi="仿宋_GB2312" w:eastAsia="仿宋_GB2312" w:cs="仿宋_GB2312"/>
        </w:rPr>
      </w:pPr>
      <w:bookmarkStart w:id="62" w:name="_Toc15396627"/>
      <w:r>
        <w:rPr>
          <w:rStyle w:val="25"/>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5"/>
          <w:rFonts w:hint="eastAsia" w:ascii="仿宋_GB2312" w:hAnsi="仿宋_GB2312" w:eastAsia="仿宋_GB2312" w:cs="仿宋_GB2312"/>
          <w:b w:val="0"/>
          <w:bCs w:val="0"/>
        </w:rPr>
        <w:t>般公共预算财政拨款项目支出决算表</w:t>
      </w:r>
      <w:bookmarkEnd w:id="62"/>
    </w:p>
    <w:p>
      <w:pPr>
        <w:pStyle w:val="4"/>
        <w:rPr>
          <w:rFonts w:hint="eastAsia" w:ascii="仿宋_GB2312" w:hAnsi="仿宋_GB2312" w:eastAsia="仿宋_GB2312" w:cs="仿宋_GB2312"/>
        </w:rPr>
      </w:pPr>
      <w:bookmarkStart w:id="63" w:name="_Toc15396628"/>
      <w:r>
        <w:rPr>
          <w:rStyle w:val="25"/>
          <w:rFonts w:hint="eastAsia" w:ascii="仿宋_GB2312" w:hAnsi="仿宋_GB2312" w:eastAsia="仿宋_GB2312" w:cs="仿宋_GB2312"/>
          <w:b w:val="0"/>
          <w:bCs w:val="0"/>
        </w:rPr>
        <w:t>十、</w:t>
      </w:r>
      <w:bookmarkEnd w:id="63"/>
      <w:r>
        <w:rPr>
          <w:rFonts w:hint="eastAsia" w:ascii="仿宋_GB2312" w:hAnsi="仿宋_GB2312" w:eastAsia="仿宋_GB2312" w:cs="仿宋_GB2312"/>
          <w:b w:val="0"/>
        </w:rPr>
        <w:t>政</w:t>
      </w:r>
      <w:r>
        <w:rPr>
          <w:rStyle w:val="25"/>
          <w:rFonts w:hint="eastAsia" w:ascii="仿宋_GB2312" w:hAnsi="仿宋_GB2312" w:eastAsia="仿宋_GB2312" w:cs="仿宋_GB2312"/>
          <w:b w:val="0"/>
          <w:bCs w:val="0"/>
        </w:rPr>
        <w:t>府性基金预算财政拨款收入支出决算表</w:t>
      </w:r>
    </w:p>
    <w:p>
      <w:pPr>
        <w:pStyle w:val="4"/>
        <w:rPr>
          <w:rFonts w:hint="eastAsia" w:ascii="仿宋_GB2312" w:hAnsi="仿宋_GB2312" w:eastAsia="仿宋_GB2312" w:cs="仿宋_GB2312"/>
        </w:rPr>
      </w:pPr>
      <w:bookmarkStart w:id="64" w:name="_Toc15396629"/>
      <w:r>
        <w:rPr>
          <w:rStyle w:val="25"/>
          <w:rFonts w:hint="eastAsia" w:ascii="仿宋_GB2312" w:hAnsi="仿宋_GB2312" w:eastAsia="仿宋_GB2312" w:cs="仿宋_GB2312"/>
          <w:b w:val="0"/>
          <w:bCs w:val="0"/>
        </w:rPr>
        <w:t>十一、</w:t>
      </w:r>
      <w:bookmarkEnd w:id="64"/>
      <w:r>
        <w:rPr>
          <w:rFonts w:hint="eastAsia" w:ascii="仿宋_GB2312" w:hAnsi="仿宋_GB2312" w:eastAsia="仿宋_GB2312" w:cs="仿宋_GB2312"/>
          <w:b w:val="0"/>
        </w:rPr>
        <w:t>国</w:t>
      </w:r>
      <w:r>
        <w:rPr>
          <w:rStyle w:val="25"/>
          <w:rFonts w:hint="eastAsia" w:ascii="仿宋_GB2312" w:hAnsi="仿宋_GB2312" w:eastAsia="仿宋_GB2312" w:cs="仿宋_GB2312"/>
          <w:b w:val="0"/>
          <w:bCs w:val="0"/>
        </w:rPr>
        <w:t>有资本经营预算财政拨款收入支出决算表</w:t>
      </w:r>
    </w:p>
    <w:p>
      <w:pPr>
        <w:pStyle w:val="4"/>
        <w:rPr>
          <w:rFonts w:hint="eastAsia" w:ascii="仿宋_GB2312" w:hAnsi="仿宋_GB2312" w:eastAsia="仿宋_GB2312" w:cs="仿宋_GB2312"/>
        </w:rPr>
      </w:pPr>
      <w:bookmarkStart w:id="65" w:name="_Toc15396630"/>
      <w:r>
        <w:rPr>
          <w:rStyle w:val="25"/>
          <w:rFonts w:hint="eastAsia" w:ascii="仿宋_GB2312" w:hAnsi="仿宋_GB2312" w:eastAsia="仿宋_GB2312" w:cs="仿宋_GB2312"/>
          <w:b w:val="0"/>
          <w:bCs w:val="0"/>
        </w:rPr>
        <w:t>十二、</w:t>
      </w:r>
      <w:bookmarkEnd w:id="65"/>
      <w:r>
        <w:rPr>
          <w:rStyle w:val="25"/>
          <w:rFonts w:hint="eastAsia" w:ascii="仿宋_GB2312" w:hAnsi="仿宋_GB2312" w:eastAsia="仿宋_GB2312" w:cs="仿宋_GB2312"/>
          <w:b w:val="0"/>
          <w:bCs w:val="0"/>
        </w:rPr>
        <w:t>国有资本经营预算财政拨款支出决算表</w:t>
      </w:r>
    </w:p>
    <w:p>
      <w:pPr>
        <w:pStyle w:val="4"/>
        <w:rPr>
          <w:rFonts w:hint="eastAsia" w:ascii="仿宋_GB2312" w:hAnsi="仿宋_GB2312" w:eastAsia="仿宋_GB2312" w:cs="仿宋_GB2312"/>
        </w:rPr>
      </w:pPr>
      <w:bookmarkStart w:id="66" w:name="_Toc15396631"/>
      <w:r>
        <w:rPr>
          <w:rStyle w:val="25"/>
          <w:rFonts w:hint="eastAsia" w:ascii="仿宋_GB2312" w:hAnsi="仿宋_GB2312" w:eastAsia="仿宋_GB2312" w:cs="仿宋_GB2312"/>
          <w:b w:val="0"/>
          <w:bCs w:val="0"/>
        </w:rPr>
        <w:t>十三、</w:t>
      </w:r>
      <w:bookmarkEnd w:id="66"/>
      <w:r>
        <w:rPr>
          <w:rStyle w:val="25"/>
          <w:rFonts w:hint="eastAsia" w:ascii="仿宋_GB2312" w:hAnsi="仿宋_GB2312" w:eastAsia="仿宋_GB2312" w:cs="仿宋_GB2312"/>
          <w:b w:val="0"/>
          <w:bCs w:val="0"/>
        </w:rPr>
        <w:t>财政拨款“三公”经费支出决算表</w:t>
      </w:r>
    </w:p>
    <w:sectPr>
      <w:footerReference r:id="rId5" w:type="first"/>
      <w:footerReference r:id="rId4" w:type="default"/>
      <w:pgSz w:w="11906" w:h="16838"/>
      <w:pgMar w:top="1984" w:right="1474" w:bottom="2098" w:left="1587" w:header="851" w:footer="1417" w:gutter="0"/>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sacg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4S7Gn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qwBckBAACZ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6rAFyQEAAJkDAAAOAAAAAAAAAAEAIAAAAB4BAABkcnMvZTJvRG9j&#10;LnhtbFBLBQYAAAAABgAGAFkBAABZBQAAAAA=&#10;">
              <v:fill on="f" focussize="0,0"/>
              <v:stroke on="f"/>
              <v:imagedata o:title=""/>
              <o:lock v:ext="edit" aspectratio="f"/>
              <v:textbox inset="0mm,0mm,0mm,0mm" style="mso-fit-shape-to-text:t;">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2C533"/>
    <w:multiLevelType w:val="singleLevel"/>
    <w:tmpl w:val="AE72C533"/>
    <w:lvl w:ilvl="0" w:tentative="0">
      <w:start w:val="2"/>
      <w:numFmt w:val="chineseCounting"/>
      <w:suff w:val="space"/>
      <w:lvlText w:val="第%1部分"/>
      <w:lvlJc w:val="left"/>
      <w:pPr>
        <w:ind w:left="847" w:leftChars="0" w:firstLine="0" w:firstLineChars="0"/>
      </w:pPr>
      <w:rPr>
        <w:rFonts w:hint="eastAsia"/>
      </w:rPr>
    </w:lvl>
  </w:abstractNum>
  <w:abstractNum w:abstractNumId="1">
    <w:nsid w:val="EAD297D8"/>
    <w:multiLevelType w:val="singleLevel"/>
    <w:tmpl w:val="EAD297D8"/>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MDQ1ZDU5MjBkMzE3MWYyZjUwMTQwNWE4ZGQ5ZTkifQ=="/>
  </w:docVars>
  <w:rsids>
    <w:rsidRoot w:val="00F1361C"/>
    <w:rsid w:val="000222C6"/>
    <w:rsid w:val="0002549F"/>
    <w:rsid w:val="000468DB"/>
    <w:rsid w:val="00051BE7"/>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5146"/>
    <w:rsid w:val="00406254"/>
    <w:rsid w:val="004223DE"/>
    <w:rsid w:val="00434489"/>
    <w:rsid w:val="00437085"/>
    <w:rsid w:val="00443880"/>
    <w:rsid w:val="004464F4"/>
    <w:rsid w:val="00464B39"/>
    <w:rsid w:val="00471401"/>
    <w:rsid w:val="00473F31"/>
    <w:rsid w:val="0048263A"/>
    <w:rsid w:val="00485945"/>
    <w:rsid w:val="00487E5D"/>
    <w:rsid w:val="0049584D"/>
    <w:rsid w:val="004A711F"/>
    <w:rsid w:val="004B199D"/>
    <w:rsid w:val="004B4690"/>
    <w:rsid w:val="004E0A2D"/>
    <w:rsid w:val="004E206B"/>
    <w:rsid w:val="004E6DF7"/>
    <w:rsid w:val="004F0FBD"/>
    <w:rsid w:val="005014B5"/>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6F024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BF7C1C"/>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2DB9"/>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52B"/>
    <w:rsid w:val="00DC7CBA"/>
    <w:rsid w:val="00DD73B7"/>
    <w:rsid w:val="00DF28BC"/>
    <w:rsid w:val="00DF34B9"/>
    <w:rsid w:val="00DF57DD"/>
    <w:rsid w:val="00E01053"/>
    <w:rsid w:val="00E07ACF"/>
    <w:rsid w:val="00E331A1"/>
    <w:rsid w:val="00E33202"/>
    <w:rsid w:val="00E336A9"/>
    <w:rsid w:val="00E472B1"/>
    <w:rsid w:val="00E50624"/>
    <w:rsid w:val="00E51567"/>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5D112B4"/>
    <w:rsid w:val="08D4742C"/>
    <w:rsid w:val="0A2032A3"/>
    <w:rsid w:val="0A465D4E"/>
    <w:rsid w:val="0B8A37D8"/>
    <w:rsid w:val="10C055FF"/>
    <w:rsid w:val="118107EC"/>
    <w:rsid w:val="11DD6519"/>
    <w:rsid w:val="16BB723D"/>
    <w:rsid w:val="18015F3F"/>
    <w:rsid w:val="1BE8440E"/>
    <w:rsid w:val="1D155CEE"/>
    <w:rsid w:val="1EF1268E"/>
    <w:rsid w:val="20F57F95"/>
    <w:rsid w:val="22B353B7"/>
    <w:rsid w:val="240371BF"/>
    <w:rsid w:val="25711CC6"/>
    <w:rsid w:val="25B824E1"/>
    <w:rsid w:val="25C741E6"/>
    <w:rsid w:val="27842671"/>
    <w:rsid w:val="29FD04D3"/>
    <w:rsid w:val="2ABE7A3E"/>
    <w:rsid w:val="2CA234A8"/>
    <w:rsid w:val="2E110ACE"/>
    <w:rsid w:val="2EFA178C"/>
    <w:rsid w:val="30B46D73"/>
    <w:rsid w:val="319F7F4E"/>
    <w:rsid w:val="381C72D1"/>
    <w:rsid w:val="383D272C"/>
    <w:rsid w:val="39AE70AB"/>
    <w:rsid w:val="3C0C0783"/>
    <w:rsid w:val="3F9F3A96"/>
    <w:rsid w:val="42905B96"/>
    <w:rsid w:val="43482469"/>
    <w:rsid w:val="4626014D"/>
    <w:rsid w:val="4794536E"/>
    <w:rsid w:val="48BF60AB"/>
    <w:rsid w:val="493C27E9"/>
    <w:rsid w:val="495A5FA0"/>
    <w:rsid w:val="496F39ED"/>
    <w:rsid w:val="49FF41D3"/>
    <w:rsid w:val="4BE068DB"/>
    <w:rsid w:val="4BF6002B"/>
    <w:rsid w:val="4ECE2238"/>
    <w:rsid w:val="51DB4B86"/>
    <w:rsid w:val="55333C3E"/>
    <w:rsid w:val="60BB16C7"/>
    <w:rsid w:val="64CA39A1"/>
    <w:rsid w:val="69630ADE"/>
    <w:rsid w:val="6C4A05C8"/>
    <w:rsid w:val="6D3B1A89"/>
    <w:rsid w:val="71BF4EC2"/>
    <w:rsid w:val="72734D90"/>
    <w:rsid w:val="7412278C"/>
    <w:rsid w:val="7716702C"/>
    <w:rsid w:val="79E7B28D"/>
    <w:rsid w:val="7B19088B"/>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2&#24180;&#20915;&#31639;&#25209;&#22797;1\2022&#24180;&#25856;&#26525;&#33457;&#24066;&#35199;&#21306;&#27700;&#21033;&#24037;&#31243;&#36816;&#34892;&#20013;&#24515;\&#26032;&#24314;%20Microsoft%20Office%20Excel%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2022&#24180;&#20915;&#31639;&#25209;&#22797;\2022&#24180;&#20915;&#31639;&#25209;&#22797;1\2022&#24180;&#25856;&#26525;&#33457;&#24066;&#35199;&#21306;&#27700;&#21033;&#23616;\&#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022&#24180;&#20915;&#31639;&#25209;&#22797;\2022&#24180;&#20915;&#31639;&#25209;&#22797;1\2022&#24180;&#25856;&#26525;&#33457;&#24066;&#35199;&#21306;&#27700;&#21033;&#23616;\&#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022&#24180;&#20915;&#31639;&#25209;&#22797;\2022&#24180;&#20915;&#31639;&#25209;&#22797;1\2022&#24180;&#25856;&#26525;&#33457;&#24066;&#35199;&#21306;&#27700;&#21033;&#23616;\&#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2022&#24180;&#20915;&#31639;&#25209;&#22797;\2022&#24180;&#20915;&#31639;&#25209;&#22797;1\2022&#24180;&#25856;&#26525;&#33457;&#24066;&#35199;&#21306;&#27700;&#21033;&#23616;\&#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2022&#24180;&#20915;&#31639;&#25209;&#22797;\2022&#24180;&#20915;&#31639;&#25209;&#22797;1\2022&#24180;&#25856;&#26525;&#33457;&#24066;&#35199;&#21306;&#27700;&#21033;&#23616;\&#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2022&#24180;&#20915;&#31639;&#25209;&#22797;\2022&#24180;&#20915;&#31639;&#25209;&#22797;1\2022&#24180;&#25856;&#26525;&#33457;&#24066;&#35199;&#21306;&#27700;&#21033;&#23616;\&#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sz="1800" b="1" i="0" u="none" strike="noStrike" baseline="0"/>
              <a:t>2022</a:t>
            </a:r>
            <a:r>
              <a:rPr lang="zh-CN" altLang="en-US" sz="1800" b="1" i="0" u="none" strike="noStrike" baseline="0"/>
              <a:t>年度收、支总计</a:t>
            </a:r>
            <a:endParaRPr lang="en-US" altLang="zh-CN" sz="1800" b="1" i="0" u="none" strike="noStrike" baseline="0"/>
          </a:p>
          <a:p>
            <a:pPr>
              <a:defRPr lang="zh-CN" sz="1800" b="1" i="0" u="none" strike="noStrike" kern="1200" baseline="0">
                <a:solidFill>
                  <a:schemeClr val="tx1"/>
                </a:solidFill>
                <a:latin typeface="+mn-lt"/>
                <a:ea typeface="+mn-ea"/>
                <a:cs typeface="+mn-cs"/>
              </a:defRPr>
            </a:pPr>
            <a:r>
              <a:rPr lang="zh-CN" altLang="en-US" sz="1000" b="1" i="0" u="none" strike="noStrike" baseline="0"/>
              <a:t>单位：万元</a:t>
            </a:r>
            <a:endParaRPr lang="zh-CN" altLang="en-US" sz="1000"/>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水利局!$A$1:$A$2</c:f>
              <c:strCache>
                <c:ptCount val="2"/>
                <c:pt idx="0">
                  <c:v>2021年</c:v>
                </c:pt>
                <c:pt idx="1">
                  <c:v>2022年</c:v>
                </c:pt>
              </c:strCache>
            </c:strRef>
          </c:cat>
          <c:val>
            <c:numRef>
              <c:f>水利局!$B$1:$B$2</c:f>
              <c:numCache>
                <c:formatCode>General</c:formatCode>
                <c:ptCount val="2"/>
                <c:pt idx="0">
                  <c:v>442.06</c:v>
                </c:pt>
                <c:pt idx="1">
                  <c:v>1001.7</c:v>
                </c:pt>
              </c:numCache>
            </c:numRef>
          </c:val>
        </c:ser>
        <c:dLbls>
          <c:showLegendKey val="0"/>
          <c:showVal val="1"/>
          <c:showCatName val="0"/>
          <c:showSerName val="0"/>
          <c:showPercent val="0"/>
          <c:showBubbleSize val="0"/>
        </c:dLbls>
        <c:gapWidth val="150"/>
        <c:overlap val="-25"/>
        <c:axId val="139609984"/>
        <c:axId val="139611520"/>
      </c:barChart>
      <c:catAx>
        <c:axId val="13960998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9611520"/>
        <c:crosses val="autoZero"/>
        <c:auto val="1"/>
        <c:lblAlgn val="ctr"/>
        <c:lblOffset val="100"/>
        <c:noMultiLvlLbl val="0"/>
      </c:catAx>
      <c:valAx>
        <c:axId val="13961152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960998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2022年本年收入</a:t>
            </a:r>
          </a:p>
          <a:p>
            <a:pPr defTabSz="914400">
              <a:defRPr lang="zh-CN" sz="1400" b="1" i="0" u="none" strike="noStrike" kern="1200" baseline="0">
                <a:solidFill>
                  <a:schemeClr val="dk1">
                    <a:lumMod val="75000"/>
                    <a:lumOff val="25000"/>
                  </a:schemeClr>
                </a:solidFill>
                <a:latin typeface="+mn-lt"/>
                <a:ea typeface="+mn-ea"/>
                <a:cs typeface="+mn-cs"/>
              </a:defRPr>
            </a:pPr>
            <a:r>
              <a:rPr sz="900"/>
              <a:t>单位：万元</a:t>
            </a:r>
            <a:endParaRPr sz="9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一般公共预算财政拨款收入</c:v>
                </c:pt>
                <c:pt idx="1">
                  <c:v>政府性基金预算财政拨款收入</c:v>
                </c:pt>
              </c:strCache>
            </c:strRef>
          </c:cat>
          <c:val>
            <c:numRef>
              <c:f>'[新建 XLSX 工作表.xlsx]Sheet1'!$B$1:$B$2</c:f>
              <c:numCache>
                <c:formatCode>General</c:formatCode>
                <c:ptCount val="2"/>
                <c:pt idx="0">
                  <c:v>834.98</c:v>
                </c:pt>
                <c:pt idx="1">
                  <c:v>124.07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2022年本年支出</a:t>
            </a:r>
          </a:p>
          <a:p>
            <a:pPr defTabSz="914400">
              <a:defRPr lang="zh-CN" sz="1400" b="1" i="0" u="none" strike="noStrike" kern="1200" baseline="0">
                <a:solidFill>
                  <a:schemeClr val="dk1">
                    <a:lumMod val="75000"/>
                    <a:lumOff val="25000"/>
                  </a:schemeClr>
                </a:solidFill>
                <a:latin typeface="+mn-lt"/>
                <a:ea typeface="+mn-ea"/>
                <a:cs typeface="+mn-cs"/>
              </a:defRPr>
            </a:pPr>
            <a:r>
              <a:rPr sz="900"/>
              <a:t>单位：万元</a:t>
            </a:r>
            <a:endParaRPr sz="9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工作表.xlsx]Sheet1'!$A$16:$A$17</c:f>
              <c:strCache>
                <c:ptCount val="2"/>
                <c:pt idx="0">
                  <c:v>基本支出</c:v>
                </c:pt>
                <c:pt idx="1">
                  <c:v>项目支出</c:v>
                </c:pt>
              </c:strCache>
            </c:strRef>
          </c:cat>
          <c:val>
            <c:numRef>
              <c:f>'[新建 XLSX 工作表.xlsx]Sheet1'!$B$16:$B$17</c:f>
              <c:numCache>
                <c:formatCode>General</c:formatCode>
                <c:ptCount val="2"/>
                <c:pt idx="0">
                  <c:v>269.02</c:v>
                </c:pt>
                <c:pt idx="1">
                  <c:v>728.68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a:t>
            </a:r>
          </a:p>
          <a:p>
            <a:pPr defTabSz="914400">
              <a:defRPr lang="zh-CN" sz="1400" b="1" i="0" u="none" strike="noStrike" kern="1200" baseline="0">
                <a:solidFill>
                  <a:schemeClr val="dk1">
                    <a:lumMod val="75000"/>
                    <a:lumOff val="25000"/>
                  </a:schemeClr>
                </a:solidFill>
                <a:latin typeface="+mn-lt"/>
                <a:ea typeface="+mn-ea"/>
                <a:cs typeface="+mn-cs"/>
              </a:defRPr>
            </a:pPr>
            <a:r>
              <a:rPr sz="900"/>
              <a:t>单位：万元</a:t>
            </a:r>
            <a:endParaRPr sz="900"/>
          </a:p>
        </c:rich>
      </c:tx>
      <c:layout>
        <c:manualLayout>
          <c:xMode val="edge"/>
          <c:yMode val="edge"/>
          <c:x val="0.263018218333094"/>
          <c:y val="0.0255474452554745"/>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工作表.xlsx]Sheet1'!$A$32:$A$33</c:f>
              <c:strCache>
                <c:ptCount val="2"/>
                <c:pt idx="0">
                  <c:v>2021年</c:v>
                </c:pt>
                <c:pt idx="1">
                  <c:v>2022年</c:v>
                </c:pt>
              </c:strCache>
            </c:strRef>
          </c:cat>
          <c:val>
            <c:numRef>
              <c:f>'[新建 XLSX 工作表.xlsx]Sheet1'!$B$32:$B$33</c:f>
              <c:numCache>
                <c:formatCode>General</c:formatCode>
                <c:ptCount val="2"/>
                <c:pt idx="0">
                  <c:v>438.32</c:v>
                </c:pt>
                <c:pt idx="1">
                  <c:v>998.8</c:v>
                </c:pt>
              </c:numCache>
            </c:numRef>
          </c:val>
        </c:ser>
        <c:dLbls>
          <c:showLegendKey val="0"/>
          <c:showVal val="1"/>
          <c:showCatName val="0"/>
          <c:showSerName val="0"/>
          <c:showPercent val="0"/>
          <c:showBubbleSize val="0"/>
        </c:dLbls>
        <c:gapWidth val="246"/>
        <c:overlap val="-28"/>
        <c:axId val="83335040"/>
        <c:axId val="83336576"/>
      </c:barChart>
      <c:catAx>
        <c:axId val="833350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36576"/>
        <c:crosses val="autoZero"/>
        <c:auto val="1"/>
        <c:lblAlgn val="ctr"/>
        <c:lblOffset val="100"/>
        <c:noMultiLvlLbl val="0"/>
      </c:catAx>
      <c:valAx>
        <c:axId val="8333657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35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a:p>
            <a:pPr defTabSz="914400">
              <a:defRPr lang="zh-CN" sz="1400" b="1" i="0" u="none" strike="noStrike" kern="1200" baseline="0">
                <a:solidFill>
                  <a:schemeClr val="dk1">
                    <a:lumMod val="75000"/>
                    <a:lumOff val="25000"/>
                  </a:schemeClr>
                </a:solidFill>
                <a:latin typeface="+mn-lt"/>
                <a:ea typeface="+mn-ea"/>
                <a:cs typeface="+mn-cs"/>
              </a:defRPr>
            </a:pPr>
            <a:r>
              <a:rPr sz="1000"/>
              <a:t>单位：万元</a:t>
            </a:r>
            <a:endParaRPr sz="10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工作表.xlsx]Sheet1'!$A$41:$A$42</c:f>
              <c:strCache>
                <c:ptCount val="2"/>
                <c:pt idx="0">
                  <c:v>2021年</c:v>
                </c:pt>
                <c:pt idx="1">
                  <c:v>2022年</c:v>
                </c:pt>
              </c:strCache>
            </c:strRef>
          </c:cat>
          <c:val>
            <c:numRef>
              <c:f>'[新建 XLSX 工作表.xlsx]Sheet1'!$B$41:$B$42</c:f>
              <c:numCache>
                <c:formatCode>General</c:formatCode>
                <c:ptCount val="2"/>
                <c:pt idx="0">
                  <c:v>421.12</c:v>
                </c:pt>
                <c:pt idx="1">
                  <c:v>873.63</c:v>
                </c:pt>
              </c:numCache>
            </c:numRef>
          </c:val>
        </c:ser>
        <c:dLbls>
          <c:showLegendKey val="0"/>
          <c:showVal val="1"/>
          <c:showCatName val="0"/>
          <c:showSerName val="0"/>
          <c:showPercent val="0"/>
          <c:showBubbleSize val="0"/>
        </c:dLbls>
        <c:gapWidth val="246"/>
        <c:overlap val="-28"/>
        <c:axId val="141144064"/>
        <c:axId val="141145600"/>
      </c:barChart>
      <c:catAx>
        <c:axId val="1411440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145600"/>
        <c:crosses val="autoZero"/>
        <c:auto val="1"/>
        <c:lblAlgn val="ctr"/>
        <c:lblOffset val="100"/>
        <c:noMultiLvlLbl val="0"/>
      </c:catAx>
      <c:valAx>
        <c:axId val="14114560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144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p>
          <a:p>
            <a:pPr defTabSz="914400">
              <a:defRPr lang="zh-CN" sz="1400" b="1" i="0" u="none" strike="noStrike" kern="1200" baseline="0">
                <a:solidFill>
                  <a:schemeClr val="dk1">
                    <a:lumMod val="75000"/>
                    <a:lumOff val="25000"/>
                  </a:schemeClr>
                </a:solidFill>
                <a:latin typeface="+mn-lt"/>
                <a:ea typeface="+mn-ea"/>
                <a:cs typeface="+mn-cs"/>
              </a:defRPr>
            </a:pPr>
            <a:r>
              <a:rPr sz="900"/>
              <a:t>单位：万元</a:t>
            </a:r>
            <a:endParaRPr sz="9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numFmt formatCode="#,##0.00;[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工作表.xlsx]Sheet1'!$A$54:$A$58</c:f>
              <c:strCache>
                <c:ptCount val="5"/>
                <c:pt idx="0">
                  <c:v>一般公共服务支出</c:v>
                </c:pt>
                <c:pt idx="1">
                  <c:v>社会保障和就业支出</c:v>
                </c:pt>
                <c:pt idx="2">
                  <c:v>卫生健康支出</c:v>
                </c:pt>
                <c:pt idx="3">
                  <c:v>农林水支出</c:v>
                </c:pt>
                <c:pt idx="4">
                  <c:v>住房保障支出</c:v>
                </c:pt>
              </c:strCache>
            </c:strRef>
          </c:cat>
          <c:val>
            <c:numRef>
              <c:f>'[新建 XLSX 工作表.xlsx]Sheet1'!$B$54:$B$58</c:f>
              <c:numCache>
                <c:formatCode>General</c:formatCode>
                <c:ptCount val="5"/>
                <c:pt idx="0">
                  <c:v>54.24</c:v>
                </c:pt>
                <c:pt idx="1">
                  <c:v>19.29</c:v>
                </c:pt>
                <c:pt idx="2">
                  <c:v>13.74</c:v>
                </c:pt>
                <c:pt idx="3">
                  <c:v>765.2</c:v>
                </c:pt>
                <c:pt idx="4">
                  <c:v>21.18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“三公”经费财政拨款支出结构</a:t>
            </a:r>
          </a:p>
          <a:p>
            <a:pPr defTabSz="914400">
              <a:defRPr lang="zh-CN" sz="1400" b="1" i="0" u="none" strike="noStrike" kern="1200" baseline="0">
                <a:solidFill>
                  <a:schemeClr val="dk1">
                    <a:lumMod val="75000"/>
                    <a:lumOff val="25000"/>
                  </a:schemeClr>
                </a:solidFill>
                <a:latin typeface="+mn-lt"/>
                <a:ea typeface="+mn-ea"/>
                <a:cs typeface="+mn-cs"/>
              </a:defRPr>
            </a:pPr>
            <a:r>
              <a:rPr sz="900"/>
              <a:t>单位：万元</a:t>
            </a:r>
            <a:endParaRPr sz="9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工作表.xlsx]Sheet1'!$A$74:$A$75</c:f>
              <c:strCache>
                <c:ptCount val="2"/>
                <c:pt idx="0">
                  <c:v>公务用车购置及运行维护费</c:v>
                </c:pt>
                <c:pt idx="1">
                  <c:v>公务接待费</c:v>
                </c:pt>
              </c:strCache>
            </c:strRef>
          </c:cat>
          <c:val>
            <c:numRef>
              <c:f>'[新建 XLSX 工作表.xlsx]Sheet1'!$B$74:$B$75</c:f>
              <c:numCache>
                <c:formatCode>General</c:formatCode>
                <c:ptCount val="2"/>
                <c:pt idx="0">
                  <c:v>4.97</c:v>
                </c:pt>
                <c:pt idx="1">
                  <c:v>0.32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6981</Words>
  <Characters>744</Characters>
  <Lines>6</Lines>
  <Paragraphs>15</Paragraphs>
  <TotalTime>18</TotalTime>
  <ScaleCrop>false</ScaleCrop>
  <LinksUpToDate>false</LinksUpToDate>
  <CharactersWithSpaces>7710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默点</cp:lastModifiedBy>
  <cp:lastPrinted>2023-10-31T02:42:00Z</cp:lastPrinted>
  <dcterms:modified xsi:type="dcterms:W3CDTF">2024-07-01T09:22:44Z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F395E7C55955408C803E60E4F99148D1</vt:lpwstr>
  </property>
</Properties>
</file>