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bookmarkStart w:id="1" w:name="_Toc15306268"/>
      <w:bookmarkStart w:id="2" w:name="_Toc15396476"/>
      <w:bookmarkStart w:id="3" w:name="_Toc15396598"/>
      <w:bookmarkStart w:id="4" w:name="_Toc15377194"/>
      <w:bookmarkStart w:id="5" w:name="_Toc15377426"/>
      <w:bookmarkStart w:id="6" w:name="_Toc15378442"/>
      <w:r>
        <w:rPr>
          <w:rFonts w:hint="default" w:ascii="Times New Roman" w:hAnsi="Times New Roman" w:eastAsia="黑体" w:cs="Times New Roman"/>
          <w:color w:val="000000"/>
          <w:spacing w:val="0"/>
          <w:sz w:val="52"/>
          <w:szCs w:val="52"/>
        </w:rPr>
        <w:t>202</w:t>
      </w:r>
      <w:r>
        <w:rPr>
          <w:rFonts w:hint="default" w:ascii="Times New Roman" w:hAnsi="Times New Roman" w:eastAsia="黑体" w:cs="Times New Roman"/>
          <w:color w:val="000000"/>
          <w:spacing w:val="0"/>
          <w:sz w:val="52"/>
          <w:szCs w:val="52"/>
          <w:lang w:val="en-US" w:eastAsia="zh-CN"/>
        </w:rPr>
        <w:t>2</w:t>
      </w:r>
      <w:r>
        <w:rPr>
          <w:rFonts w:hint="default" w:ascii="Times New Roman" w:hAnsi="Times New Roman" w:eastAsia="方正小标宋简体" w:cs="Times New Roman"/>
          <w:color w:val="000000"/>
          <w:spacing w:val="0"/>
          <w:sz w:val="52"/>
          <w:szCs w:val="52"/>
        </w:rPr>
        <w:t>年度</w:t>
      </w:r>
    </w:p>
    <w:p>
      <w:pPr>
        <w:adjustRightInd w:val="0"/>
        <w:snapToGrid w:val="0"/>
        <w:spacing w:line="360" w:lineRule="auto"/>
        <w:jc w:val="center"/>
        <w:outlineLvl w:val="0"/>
        <w:rPr>
          <w:rFonts w:hint="default" w:ascii="Times New Roman" w:hAnsi="Times New Roman" w:eastAsia="方正小标宋简体" w:cs="Times New Roman"/>
          <w:color w:val="000000"/>
          <w:sz w:val="72"/>
          <w:szCs w:val="72"/>
        </w:rPr>
      </w:pPr>
      <w:r>
        <w:rPr>
          <w:rFonts w:hint="default" w:ascii="Times New Roman" w:hAnsi="Times New Roman" w:eastAsia="方正小标宋简体" w:cs="Times New Roman"/>
          <w:color w:val="000000"/>
          <w:spacing w:val="0"/>
          <w:sz w:val="52"/>
          <w:szCs w:val="52"/>
        </w:rPr>
        <w:t>攀枝花市西区土地储备中心决算</w:t>
      </w:r>
      <w:bookmarkEnd w:id="1"/>
      <w:bookmarkEnd w:id="2"/>
      <w:bookmarkEnd w:id="3"/>
      <w:bookmarkEnd w:id="4"/>
      <w:bookmarkEnd w:id="5"/>
      <w:bookmarkEnd w:id="6"/>
    </w:p>
    <w:p>
      <w:pPr>
        <w:widowControl/>
        <w:jc w:val="center"/>
        <w:rPr>
          <w:rFonts w:hint="default" w:ascii="Times New Roman" w:hAnsi="Times New Roman" w:eastAsia="黑体" w:cs="Times New Roman"/>
          <w:color w:val="000000"/>
          <w:sz w:val="48"/>
          <w:szCs w:val="48"/>
        </w:rPr>
      </w:pPr>
      <w:r>
        <w:rPr>
          <w:rFonts w:hint="default" w:ascii="Times New Roman" w:hAnsi="Times New Roman" w:eastAsia="方正小标宋简体" w:cs="Times New Roman"/>
          <w:color w:val="000000"/>
          <w:sz w:val="36"/>
          <w:szCs w:val="36"/>
        </w:rPr>
        <w:br w:type="page"/>
      </w:r>
      <w:r>
        <w:rPr>
          <w:rFonts w:hint="default" w:ascii="Times New Roman" w:hAnsi="Times New Roman" w:eastAsia="黑体" w:cs="Times New Roman"/>
          <w:color w:val="000000"/>
          <w:sz w:val="48"/>
          <w:szCs w:val="48"/>
        </w:rPr>
        <w:t>目录</w:t>
      </w:r>
    </w:p>
    <w:p>
      <w:pPr>
        <w:widowControl/>
        <w:jc w:val="center"/>
        <w:rPr>
          <w:rFonts w:hint="default" w:ascii="Times New Roman" w:hAnsi="Times New Roman" w:eastAsia="黑体" w:cs="Times New Roman"/>
          <w:sz w:val="28"/>
          <w:szCs w:val="28"/>
        </w:rPr>
      </w:pPr>
    </w:p>
    <w:p>
      <w:pPr>
        <w:pStyle w:val="11"/>
        <w:rPr>
          <w:rFonts w:hint="default" w:ascii="Times New Roman" w:hAnsi="Times New Roman" w:cs="Times New Roman"/>
        </w:rPr>
      </w:pPr>
      <w:bookmarkStart w:id="7" w:name="_Toc15396599"/>
      <w:bookmarkStart w:id="8" w:name="_Toc15377196"/>
      <w:r>
        <w:rPr>
          <w:rFonts w:hint="default" w:ascii="Times New Roman" w:hAnsi="Times New Roman" w:cs="Times New Roman"/>
        </w:rPr>
        <w:t>公开时间：202</w:t>
      </w:r>
      <w:r>
        <w:rPr>
          <w:rFonts w:hint="default" w:ascii="Times New Roman" w:hAnsi="Times New Roman" w:cs="Times New Roman"/>
          <w:lang w:val="en-US" w:eastAsia="zh-CN"/>
        </w:rPr>
        <w:t>3</w:t>
      </w:r>
      <w:r>
        <w:rPr>
          <w:rFonts w:hint="default" w:ascii="Times New Roman" w:hAnsi="Times New Roman" w:cs="Times New Roman"/>
        </w:rPr>
        <w:t>年10</w:t>
      </w:r>
      <w:r>
        <w:rPr>
          <w:rFonts w:hint="default" w:ascii="Times New Roman" w:hAnsi="Times New Roman" w:cs="Times New Roman"/>
          <w:highlight w:val="none"/>
        </w:rPr>
        <w:t>月</w:t>
      </w:r>
      <w:r>
        <w:rPr>
          <w:rFonts w:hint="default" w:ascii="Times New Roman" w:hAnsi="Times New Roman" w:cs="Times New Roman"/>
          <w:color w:val="auto"/>
          <w:highlight w:val="none"/>
          <w:lang w:val="en-US" w:eastAsia="zh-CN"/>
        </w:rPr>
        <w:t>25</w:t>
      </w:r>
      <w:r>
        <w:rPr>
          <w:rFonts w:hint="default" w:ascii="Times New Roman" w:hAnsi="Times New Roman" w:cs="Times New Roman"/>
          <w:highlight w:val="none"/>
        </w:rPr>
        <w:t>日</w:t>
      </w:r>
    </w:p>
    <w:p>
      <w:pPr>
        <w:rPr>
          <w:rFonts w:hint="default" w:ascii="Times New Roman" w:hAnsi="Times New Roman" w:cs="Times New Roman"/>
        </w:rPr>
      </w:pPr>
    </w:p>
    <w:p>
      <w:pPr>
        <w:pStyle w:val="11"/>
        <w:rPr>
          <w:rFonts w:hint="default" w:ascii="Times New Roman" w:hAnsi="Times New Roman" w:eastAsia="仿宋_GB2312" w:cs="Times New Roman"/>
        </w:rPr>
      </w:pPr>
      <w:r>
        <w:rPr>
          <w:rFonts w:hint="default" w:ascii="Times New Roman" w:hAnsi="Times New Roman" w:eastAsia="仿宋_GB2312" w:cs="Times New Roman"/>
        </w:rPr>
        <w:t>第一部分部门概况</w:t>
      </w:r>
      <w:r>
        <w:rPr>
          <w:rFonts w:hint="default" w:ascii="Times New Roman" w:hAnsi="Times New Roman" w:eastAsia="仿宋_GB2312" w:cs="Times New Roman"/>
        </w:rPr>
        <w:tab/>
      </w:r>
      <w:r>
        <w:rPr>
          <w:rFonts w:hint="default" w:ascii="Times New Roman" w:hAnsi="Times New Roman" w:eastAsia="仿宋_GB2312" w:cs="Times New Roman"/>
        </w:rPr>
        <w:t>4</w:t>
      </w:r>
    </w:p>
    <w:p>
      <w:pPr>
        <w:pStyle w:val="1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eastAsia="zh-CN"/>
        </w:rPr>
        <w:t>部门职责</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t>4</w:t>
      </w:r>
    </w:p>
    <w:p>
      <w:pPr>
        <w:pStyle w:val="1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二、机构设置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t>5</w:t>
      </w:r>
    </w:p>
    <w:p>
      <w:pPr>
        <w:pStyle w:val="11"/>
        <w:rPr>
          <w:rFonts w:hint="default" w:ascii="Times New Roman" w:hAnsi="Times New Roman" w:eastAsia="仿宋_GB2312" w:cs="Times New Roman"/>
          <w:lang w:eastAsia="zh-CN"/>
        </w:rPr>
      </w:pPr>
      <w:r>
        <w:rPr>
          <w:rFonts w:hint="default" w:ascii="Times New Roman" w:hAnsi="Times New Roman" w:eastAsia="仿宋_GB2312" w:cs="Times New Roman"/>
        </w:rPr>
        <w:t>第二部分 202</w:t>
      </w:r>
      <w:r>
        <w:rPr>
          <w:rFonts w:hint="eastAsia" w:ascii="Times New Roman" w:hAnsi="Times New Roman" w:eastAsia="仿宋_GB2312" w:cs="Times New Roman"/>
          <w:lang w:val="en-US" w:eastAsia="zh-CN"/>
        </w:rPr>
        <w:t>2</w:t>
      </w:r>
      <w:r>
        <w:rPr>
          <w:rFonts w:hint="default" w:ascii="Times New Roman" w:hAnsi="Times New Roman" w:eastAsia="仿宋_GB2312" w:cs="Times New Roman"/>
        </w:rPr>
        <w:t>年度部门决算情况说明</w:t>
      </w:r>
      <w:r>
        <w:rPr>
          <w:rFonts w:hint="default" w:ascii="Times New Roman" w:hAnsi="Times New Roman" w:eastAsia="仿宋_GB2312" w:cs="Times New Roman"/>
        </w:rPr>
        <w:tab/>
      </w:r>
      <w:r>
        <w:rPr>
          <w:rFonts w:hint="default" w:ascii="Times New Roman" w:hAnsi="Times New Roman" w:eastAsia="仿宋_GB2312" w:cs="Times New Roman"/>
          <w:lang w:val="en-US" w:eastAsia="zh-CN"/>
        </w:rPr>
        <w:t>5</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Cs/>
          <w:sz w:val="28"/>
          <w:szCs w:val="28"/>
        </w:rPr>
        <w:t>一、</w:t>
      </w:r>
      <w:r>
        <w:rPr>
          <w:rFonts w:hint="default" w:ascii="Times New Roman" w:hAnsi="Times New Roman" w:eastAsia="仿宋_GB2312" w:cs="Times New Roman"/>
          <w:sz w:val="28"/>
          <w:szCs w:val="28"/>
        </w:rPr>
        <w:t>收</w:t>
      </w:r>
      <w:r>
        <w:rPr>
          <w:rFonts w:hint="default" w:ascii="Times New Roman" w:hAnsi="Times New Roman" w:eastAsia="仿宋_GB2312" w:cs="Times New Roman"/>
          <w:bCs/>
          <w:sz w:val="28"/>
          <w:szCs w:val="28"/>
        </w:rPr>
        <w:t>入支出决算总体情况说明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5</w:t>
      </w:r>
    </w:p>
    <w:p>
      <w:pPr>
        <w:pStyle w:val="12"/>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Cs/>
          <w:sz w:val="28"/>
          <w:szCs w:val="28"/>
        </w:rPr>
        <w:t>二、</w:t>
      </w:r>
      <w:r>
        <w:rPr>
          <w:rFonts w:hint="default" w:ascii="Times New Roman" w:hAnsi="Times New Roman" w:eastAsia="仿宋_GB2312" w:cs="Times New Roman"/>
          <w:sz w:val="28"/>
          <w:szCs w:val="28"/>
        </w:rPr>
        <w:t>收</w:t>
      </w:r>
      <w:r>
        <w:rPr>
          <w:rFonts w:hint="default" w:ascii="Times New Roman" w:hAnsi="Times New Roman" w:eastAsia="仿宋_GB2312" w:cs="Times New Roman"/>
          <w:bCs/>
          <w:sz w:val="28"/>
          <w:szCs w:val="28"/>
        </w:rPr>
        <w:t>入决算情况说明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5</w:t>
      </w:r>
    </w:p>
    <w:p>
      <w:pPr>
        <w:pStyle w:val="12"/>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三、</w:t>
      </w:r>
      <w:r>
        <w:rPr>
          <w:rFonts w:hint="default" w:ascii="Times New Roman" w:hAnsi="Times New Roman" w:eastAsia="仿宋_GB2312" w:cs="Times New Roman"/>
          <w:sz w:val="28"/>
          <w:szCs w:val="28"/>
        </w:rPr>
        <w:t>支</w:t>
      </w:r>
      <w:r>
        <w:rPr>
          <w:rFonts w:hint="default" w:ascii="Times New Roman" w:hAnsi="Times New Roman" w:eastAsia="仿宋_GB2312" w:cs="Times New Roman"/>
          <w:bCs/>
          <w:sz w:val="28"/>
          <w:szCs w:val="28"/>
        </w:rPr>
        <w:t>出决算情况说明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t>6</w:t>
      </w:r>
    </w:p>
    <w:p>
      <w:pPr>
        <w:pStyle w:val="12"/>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四、财</w:t>
      </w:r>
      <w:r>
        <w:rPr>
          <w:rFonts w:hint="default" w:ascii="Times New Roman" w:hAnsi="Times New Roman" w:eastAsia="仿宋_GB2312" w:cs="Times New Roman"/>
          <w:bCs/>
          <w:sz w:val="28"/>
          <w:szCs w:val="28"/>
        </w:rPr>
        <w:t>政拨款收入支出决算总体情况说明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6</w:t>
      </w:r>
    </w:p>
    <w:p>
      <w:pPr>
        <w:pStyle w:val="1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五、一</w:t>
      </w:r>
      <w:r>
        <w:rPr>
          <w:rFonts w:hint="default" w:ascii="Times New Roman" w:hAnsi="Times New Roman" w:eastAsia="仿宋_GB2312" w:cs="Times New Roman"/>
          <w:bCs/>
          <w:sz w:val="28"/>
          <w:szCs w:val="28"/>
        </w:rPr>
        <w:t>般公共预算财政拨款支出决算情况说明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t>7</w:t>
      </w:r>
    </w:p>
    <w:p>
      <w:pPr>
        <w:pStyle w:val="1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六、一</w:t>
      </w:r>
      <w:r>
        <w:rPr>
          <w:rFonts w:hint="default" w:ascii="Times New Roman" w:hAnsi="Times New Roman" w:eastAsia="仿宋_GB2312" w:cs="Times New Roman"/>
          <w:bCs/>
          <w:sz w:val="28"/>
          <w:szCs w:val="28"/>
        </w:rPr>
        <w:t>般公共预算财政拨款基本支出决算情况说明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t>8</w:t>
      </w:r>
    </w:p>
    <w:p>
      <w:pPr>
        <w:pStyle w:val="12"/>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七、“</w:t>
      </w:r>
      <w:r>
        <w:rPr>
          <w:rFonts w:hint="default" w:ascii="Times New Roman" w:hAnsi="Times New Roman" w:eastAsia="仿宋_GB2312" w:cs="Times New Roman"/>
          <w:bCs/>
          <w:sz w:val="28"/>
          <w:szCs w:val="28"/>
        </w:rPr>
        <w:t>三公”经费财政拨款支出决算情况说明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8</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八、</w:t>
      </w:r>
      <w:r>
        <w:rPr>
          <w:rFonts w:hint="default" w:ascii="Times New Roman" w:hAnsi="Times New Roman" w:eastAsia="仿宋_GB2312" w:cs="Times New Roman"/>
          <w:bCs/>
          <w:sz w:val="28"/>
          <w:szCs w:val="28"/>
        </w:rPr>
        <w:t>政府性基金预算支出决算情况说明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10</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Cs/>
          <w:sz w:val="28"/>
          <w:szCs w:val="28"/>
        </w:rPr>
        <w:t>九、</w:t>
      </w:r>
      <w:r>
        <w:rPr>
          <w:rFonts w:hint="default" w:ascii="Times New Roman" w:hAnsi="Times New Roman" w:eastAsia="仿宋_GB2312" w:cs="Times New Roman"/>
          <w:sz w:val="28"/>
          <w:szCs w:val="28"/>
        </w:rPr>
        <w:t xml:space="preserve"> 国</w:t>
      </w:r>
      <w:r>
        <w:rPr>
          <w:rFonts w:hint="default" w:ascii="Times New Roman" w:hAnsi="Times New Roman" w:eastAsia="仿宋_GB2312" w:cs="Times New Roman"/>
          <w:bCs/>
          <w:sz w:val="28"/>
          <w:szCs w:val="28"/>
        </w:rPr>
        <w:t>有资本经营预算支出决算情况说明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10</w:t>
      </w:r>
    </w:p>
    <w:p>
      <w:pPr>
        <w:pStyle w:val="12"/>
        <w:rPr>
          <w:rStyle w:val="19"/>
          <w:rFonts w:hint="default" w:ascii="Times New Roman" w:hAnsi="Times New Roman" w:eastAsia="仿宋_GB2312" w:cs="Times New Roman"/>
          <w:bCs/>
          <w:color w:val="auto"/>
          <w:sz w:val="28"/>
          <w:szCs w:val="28"/>
          <w:u w:val="none"/>
          <w:lang w:val="en-US" w:eastAsia="zh-CN"/>
        </w:rPr>
      </w:pPr>
      <w:r>
        <w:rPr>
          <w:rStyle w:val="19"/>
          <w:rFonts w:hint="default" w:ascii="Times New Roman" w:hAnsi="Times New Roman" w:eastAsia="仿宋_GB2312" w:cs="Times New Roman"/>
          <w:bCs/>
          <w:color w:val="auto"/>
          <w:sz w:val="28"/>
          <w:szCs w:val="28"/>
          <w:u w:val="none"/>
        </w:rPr>
        <w:t>十、</w:t>
      </w:r>
      <w:r>
        <w:rPr>
          <w:rStyle w:val="19"/>
          <w:rFonts w:hint="default" w:ascii="Times New Roman" w:hAnsi="Times New Roman" w:eastAsia="仿宋_GB2312" w:cs="Times New Roman"/>
          <w:bCs/>
          <w:color w:val="auto"/>
          <w:sz w:val="28"/>
          <w:szCs w:val="28"/>
          <w:u w:val="none"/>
          <w:lang w:eastAsia="zh-CN"/>
        </w:rPr>
        <w:t>其他重要事项的情况说明</w:t>
      </w:r>
      <w:r>
        <w:rPr>
          <w:rStyle w:val="19"/>
          <w:rFonts w:hint="default" w:ascii="Times New Roman" w:hAnsi="Times New Roman" w:eastAsia="仿宋_GB2312" w:cs="Times New Roman"/>
          <w:bCs/>
          <w:color w:val="auto"/>
          <w:sz w:val="28"/>
          <w:szCs w:val="28"/>
          <w:u w:val="none"/>
        </w:rPr>
        <w:tab/>
      </w:r>
      <w:r>
        <w:rPr>
          <w:rStyle w:val="19"/>
          <w:rFonts w:hint="default" w:ascii="Times New Roman" w:hAnsi="Times New Roman" w:eastAsia="仿宋_GB2312" w:cs="Times New Roman"/>
          <w:bCs/>
          <w:color w:val="auto"/>
          <w:sz w:val="28"/>
          <w:szCs w:val="28"/>
          <w:u w:val="none"/>
          <w:lang w:val="en-US" w:eastAsia="zh-CN"/>
        </w:rPr>
        <w:t>10</w:t>
      </w:r>
    </w:p>
    <w:p>
      <w:pPr>
        <w:pStyle w:val="11"/>
        <w:rPr>
          <w:rFonts w:hint="default" w:ascii="Times New Roman" w:hAnsi="Times New Roman" w:eastAsia="仿宋_GB2312" w:cs="Times New Roman"/>
          <w:lang w:eastAsia="zh-CN"/>
        </w:rPr>
      </w:pPr>
      <w:r>
        <w:rPr>
          <w:rFonts w:hint="default" w:ascii="Times New Roman" w:hAnsi="Times New Roman" w:eastAsia="仿宋_GB2312" w:cs="Times New Roman"/>
          <w:bCs/>
          <w:kern w:val="44"/>
        </w:rPr>
        <w:t>第三部分</w:t>
      </w:r>
      <w:r>
        <w:rPr>
          <w:rFonts w:hint="default" w:ascii="Times New Roman" w:hAnsi="Times New Roman" w:eastAsia="仿宋_GB2312" w:cs="Times New Roman"/>
        </w:rPr>
        <w:t xml:space="preserve"> 名</w:t>
      </w:r>
      <w:r>
        <w:rPr>
          <w:rFonts w:hint="default" w:ascii="Times New Roman" w:hAnsi="Times New Roman" w:eastAsia="仿宋_GB2312" w:cs="Times New Roman"/>
          <w:bCs/>
          <w:kern w:val="44"/>
        </w:rPr>
        <w:t>词解释</w:t>
      </w:r>
      <w:r>
        <w:rPr>
          <w:rFonts w:hint="default" w:ascii="Times New Roman" w:hAnsi="Times New Roman" w:eastAsia="仿宋_GB2312" w:cs="Times New Roman"/>
        </w:rPr>
        <w:tab/>
      </w:r>
      <w:r>
        <w:rPr>
          <w:rFonts w:hint="default" w:ascii="Times New Roman" w:hAnsi="Times New Roman" w:eastAsia="仿宋_GB2312" w:cs="Times New Roman"/>
        </w:rPr>
        <w:t>1</w:t>
      </w:r>
      <w:r>
        <w:rPr>
          <w:rFonts w:hint="default" w:ascii="Times New Roman" w:hAnsi="Times New Roman" w:eastAsia="仿宋_GB2312" w:cs="Times New Roman"/>
          <w:lang w:val="en-US" w:eastAsia="zh-CN"/>
        </w:rPr>
        <w:t>2</w:t>
      </w:r>
    </w:p>
    <w:p>
      <w:pPr>
        <w:pStyle w:val="11"/>
        <w:rPr>
          <w:rFonts w:hint="default" w:ascii="Times New Roman" w:hAnsi="Times New Roman" w:eastAsia="仿宋_GB2312" w:cs="Times New Roman"/>
          <w:lang w:eastAsia="zh-CN"/>
        </w:rPr>
      </w:pPr>
      <w:r>
        <w:rPr>
          <w:rFonts w:hint="default" w:ascii="Times New Roman" w:hAnsi="Times New Roman" w:eastAsia="仿宋_GB2312" w:cs="Times New Roman"/>
        </w:rPr>
        <w:t>第</w:t>
      </w:r>
      <w:r>
        <w:rPr>
          <w:rFonts w:hint="default" w:ascii="Times New Roman" w:hAnsi="Times New Roman" w:eastAsia="仿宋_GB2312" w:cs="Times New Roman"/>
          <w:bCs/>
          <w:kern w:val="44"/>
        </w:rPr>
        <w:t>四部分附件</w:t>
      </w:r>
      <w:r>
        <w:rPr>
          <w:rFonts w:hint="default" w:ascii="Times New Roman" w:hAnsi="Times New Roman" w:eastAsia="仿宋_GB2312" w:cs="Times New Roman"/>
        </w:rPr>
        <w:tab/>
      </w:r>
      <w:r>
        <w:rPr>
          <w:rFonts w:hint="default" w:ascii="Times New Roman" w:hAnsi="Times New Roman" w:eastAsia="仿宋_GB2312" w:cs="Times New Roman"/>
        </w:rPr>
        <w:t>1</w:t>
      </w:r>
      <w:r>
        <w:rPr>
          <w:rFonts w:hint="default" w:ascii="Times New Roman" w:hAnsi="Times New Roman" w:eastAsia="仿宋_GB2312" w:cs="Times New Roman"/>
          <w:lang w:val="en-US" w:eastAsia="zh-CN"/>
        </w:rPr>
        <w:t>5</w:t>
      </w:r>
    </w:p>
    <w:p>
      <w:pPr>
        <w:pStyle w:val="11"/>
        <w:rPr>
          <w:rFonts w:hint="eastAsia" w:ascii="Times New Roman" w:hAnsi="Times New Roman" w:eastAsia="仿宋_GB2312"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"_Toc15396618"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u w:val="none"/>
        </w:rPr>
        <w:t>第</w:t>
      </w:r>
      <w:r>
        <w:rPr>
          <w:rStyle w:val="19"/>
          <w:rFonts w:hint="default" w:ascii="Times New Roman" w:hAnsi="Times New Roman" w:eastAsia="仿宋_GB2312" w:cs="Times New Roman"/>
          <w:bCs/>
          <w:color w:val="auto"/>
          <w:kern w:val="44"/>
          <w:u w:val="none"/>
        </w:rPr>
        <w:t>五部分附表</w:t>
      </w:r>
      <w:r>
        <w:rPr>
          <w:rFonts w:hint="default" w:ascii="Times New Roman" w:hAnsi="Times New Roman" w:eastAsia="仿宋_GB2312" w:cs="Times New Roman"/>
        </w:rPr>
        <w:tab/>
      </w:r>
      <w:r>
        <w:rPr>
          <w:rFonts w:hint="eastAsia" w:ascii="Times New Roman" w:hAnsi="Times New Roman" w:eastAsia="仿宋_GB2312" w:cs="Times New Roman"/>
          <w:lang w:val="en-US" w:eastAsia="zh-CN"/>
        </w:rPr>
        <w:t>5</w:t>
      </w:r>
      <w:r>
        <w:rPr>
          <w:rFonts w:hint="default" w:ascii="Times New Roman" w:hAnsi="Times New Roman" w:eastAsia="仿宋_GB2312" w:cs="Times New Roman"/>
        </w:rPr>
        <w:fldChar w:fldCharType="end"/>
      </w:r>
      <w:r>
        <w:rPr>
          <w:rFonts w:hint="eastAsia" w:ascii="Times New Roman" w:hAnsi="Times New Roman" w:eastAsia="仿宋_GB2312" w:cs="Times New Roman"/>
          <w:lang w:val="en-US" w:eastAsia="zh-CN"/>
        </w:rPr>
        <w:t>0</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"_Toc15396619"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收入支出决算总表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二、</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"_Toc15396620"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收入总表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50</w:t>
      </w:r>
      <w:r>
        <w:rPr>
          <w:rFonts w:hint="default" w:ascii="Times New Roman" w:hAnsi="Times New Roman" w:eastAsia="仿宋_GB2312" w:cs="Times New Roman"/>
          <w:sz w:val="28"/>
          <w:szCs w:val="28"/>
        </w:rPr>
        <w:fldChar w:fldCharType="end"/>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三、</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"_Toc15396621"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支出总表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四、</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"_Toc15396622"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财政拨款收入支出决算总表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五、</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"_Toc15396623" </w:instrText>
      </w:r>
      <w:r>
        <w:rPr>
          <w:rFonts w:hint="default" w:ascii="Times New Roman" w:hAnsi="Times New Roman" w:cs="Times New Roman"/>
        </w:rPr>
        <w:fldChar w:fldCharType="separate"/>
      </w:r>
      <w:r>
        <w:rPr>
          <w:rFonts w:hint="default" w:ascii="Times New Roman" w:hAnsi="Times New Roman" w:eastAsia="仿宋_GB2312" w:cs="Times New Roman"/>
          <w:sz w:val="28"/>
          <w:szCs w:val="28"/>
        </w:rPr>
        <w:t>财政拨款支出决算明细表（政府经济分类科目）</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六、</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"_Toc15396624"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一般公共预算财政拨款支出决算表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七、</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"_Toc15396625"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一般公共预算财政拨款支出决算明细表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八、</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"_Toc15396626"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一般公共预算财政拨款基本支出决算表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九、</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"_Toc15396627"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一般公共预算财政拨款项目支出决算表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"_Toc15396628"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一般公共预算财政拨款“三公”经费支出决算表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十一、</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"_Toc15396629"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政府性基金预算财政拨款收入支出决算表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十二、</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"_Toc15396630"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政府性基金预算财政拨款“三公”经费支出决算表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adjustRightInd w:val="0"/>
        <w:snapToGrid w:val="0"/>
        <w:spacing w:line="440" w:lineRule="exact"/>
        <w:jc w:val="left"/>
        <w:rPr>
          <w:rFonts w:hint="default" w:ascii="Times New Roman" w:hAnsi="Times New Roman" w:eastAsia="仿宋_GB2312" w:cs="Times New Roman"/>
          <w:sz w:val="28"/>
          <w:szCs w:val="28"/>
          <w:lang w:val="en-US" w:eastAsia="zh-CN"/>
        </w:rPr>
      </w:pPr>
      <w:r>
        <w:rPr>
          <w:rStyle w:val="19"/>
          <w:rFonts w:hint="default" w:ascii="Times New Roman" w:hAnsi="Times New Roman" w:eastAsia="仿宋" w:cs="Times New Roman"/>
          <w:color w:val="auto"/>
          <w:sz w:val="28"/>
          <w:szCs w:val="28"/>
          <w:u w:val="none"/>
        </w:rPr>
        <w:t>十三</w:t>
      </w:r>
      <w:r>
        <w:rPr>
          <w:rFonts w:hint="default" w:ascii="Times New Roman" w:hAnsi="Times New Roman" w:eastAsia="仿宋_GB2312" w:cs="Times New Roman"/>
          <w:sz w:val="28"/>
          <w:szCs w:val="28"/>
        </w:rPr>
        <w:t>、</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"_Toc15396630" </w:instrText>
      </w:r>
      <w:r>
        <w:rPr>
          <w:rFonts w:hint="default" w:ascii="Times New Roman" w:hAnsi="Times New Roman" w:cs="Times New Roman"/>
        </w:rPr>
        <w:fldChar w:fldCharType="separate"/>
      </w:r>
      <w:r>
        <w:rPr>
          <w:rFonts w:hint="default" w:ascii="Times New Roman" w:hAnsi="Times New Roman" w:eastAsia="仿宋" w:cs="Times New Roman"/>
          <w:sz w:val="28"/>
          <w:szCs w:val="28"/>
        </w:rPr>
        <w:t>国有资本经营预算财政拨款收入支出决算表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p>
    <w:p>
      <w:pPr>
        <w:pStyle w:val="12"/>
        <w:rPr>
          <w:rFonts w:hint="default" w:ascii="Times New Roman" w:hAnsi="Times New Roman" w:eastAsia="仿宋_GB2312" w:cs="Times New Roman"/>
          <w:sz w:val="28"/>
          <w:szCs w:val="28"/>
          <w:lang w:val="en-US" w:eastAsia="zh-CN"/>
        </w:rPr>
      </w:pPr>
      <w:r>
        <w:rPr>
          <w:rStyle w:val="19"/>
          <w:rFonts w:hint="default" w:ascii="Times New Roman" w:hAnsi="Times New Roman" w:eastAsia="仿宋" w:cs="Times New Roman"/>
          <w:color w:val="auto"/>
          <w:sz w:val="28"/>
          <w:szCs w:val="28"/>
          <w:u w:val="none"/>
        </w:rPr>
        <w:t>十四</w:t>
      </w:r>
      <w:r>
        <w:rPr>
          <w:rFonts w:hint="default" w:ascii="Times New Roman" w:hAnsi="Times New Roman" w:eastAsia="仿宋_GB2312" w:cs="Times New Roman"/>
          <w:sz w:val="28"/>
          <w:szCs w:val="28"/>
        </w:rPr>
        <w:t>、</w:t>
      </w:r>
      <w:r>
        <w:rPr>
          <w:rFonts w:hint="default" w:ascii="Times New Roman" w:hAnsi="Times New Roman" w:cs="Times New Roman"/>
        </w:rPr>
        <w:fldChar w:fldCharType="begin"/>
      </w:r>
      <w:r>
        <w:rPr>
          <w:rFonts w:hint="default" w:ascii="Times New Roman" w:hAnsi="Times New Roman" w:cs="Times New Roman"/>
        </w:rPr>
        <w:instrText xml:space="preserve"> HYPERLINK \l "_Toc15396630" </w:instrText>
      </w:r>
      <w:r>
        <w:rPr>
          <w:rFonts w:hint="default" w:ascii="Times New Roman" w:hAnsi="Times New Roman" w:cs="Times New Roman"/>
        </w:rPr>
        <w:fldChar w:fldCharType="separate"/>
      </w:r>
      <w:r>
        <w:rPr>
          <w:rStyle w:val="19"/>
          <w:rFonts w:hint="default" w:ascii="Times New Roman" w:hAnsi="Times New Roman" w:eastAsia="仿宋_GB2312" w:cs="Times New Roman"/>
          <w:color w:val="auto"/>
          <w:sz w:val="28"/>
          <w:szCs w:val="28"/>
          <w:u w:val="none"/>
        </w:rPr>
        <w:t>国有资本经营预算财政拨款支出决算表</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fldChar w:fldCharType="end"/>
      </w:r>
      <w:r>
        <w:rPr>
          <w:rFonts w:hint="eastAsia" w:eastAsia="仿宋_GB2312" w:cs="Times New Roman"/>
          <w:sz w:val="28"/>
          <w:szCs w:val="28"/>
          <w:lang w:val="en-US" w:eastAsia="zh-CN"/>
        </w:rPr>
        <w:t>0</w:t>
      </w:r>
      <w:bookmarkStart w:id="67" w:name="_GoBack"/>
      <w:bookmarkEnd w:id="67"/>
    </w:p>
    <w:p>
      <w:pPr>
        <w:pStyle w:val="3"/>
        <w:jc w:val="center"/>
        <w:rPr>
          <w:rFonts w:hint="default" w:ascii="Times New Roman" w:hAnsi="Times New Roman" w:eastAsia="黑体" w:cs="Times New Roman"/>
          <w:b w:val="0"/>
        </w:rPr>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pStyle w:val="3"/>
        <w:jc w:val="center"/>
        <w:rPr>
          <w:rStyle w:val="28"/>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8"/>
          <w:rFonts w:hint="default" w:ascii="Times New Roman" w:hAnsi="Times New Roman" w:eastAsia="黑体" w:cs="Times New Roman"/>
          <w:b w:val="0"/>
          <w:bCs w:val="0"/>
        </w:rPr>
        <w:t>部门概况</w:t>
      </w:r>
      <w:bookmarkEnd w:id="7"/>
      <w:bookmarkEnd w:id="8"/>
    </w:p>
    <w:p>
      <w:pPr>
        <w:widowControl/>
        <w:jc w:val="left"/>
        <w:rPr>
          <w:rFonts w:hint="default" w:ascii="Times New Roman" w:hAnsi="Times New Roman" w:eastAsia="黑体" w:cs="Times New Roman"/>
          <w:color w:val="000000"/>
          <w:sz w:val="32"/>
          <w:szCs w:val="32"/>
        </w:rPr>
      </w:pPr>
    </w:p>
    <w:p>
      <w:pPr>
        <w:pStyle w:val="4"/>
        <w:ind w:firstLine="640" w:firstLineChars="200"/>
        <w:rPr>
          <w:rStyle w:val="29"/>
          <w:rFonts w:hint="default" w:ascii="Times New Roman" w:hAnsi="Times New Roman" w:eastAsia="黑体" w:cs="Times New Roman"/>
          <w:b w:val="0"/>
          <w:bCs w:val="0"/>
          <w:lang w:eastAsia="zh-CN"/>
        </w:rPr>
      </w:pPr>
      <w:bookmarkStart w:id="9" w:name="_Toc15377197"/>
      <w:bookmarkStart w:id="10" w:name="_Toc15396600"/>
      <w:r>
        <w:rPr>
          <w:rFonts w:hint="default" w:ascii="Times New Roman" w:hAnsi="Times New Roman" w:eastAsia="黑体" w:cs="Times New Roman"/>
          <w:b w:val="0"/>
          <w:color w:val="000000"/>
        </w:rPr>
        <w:t>一、</w:t>
      </w:r>
      <w:bookmarkEnd w:id="9"/>
      <w:bookmarkEnd w:id="10"/>
      <w:r>
        <w:rPr>
          <w:rFonts w:hint="default" w:ascii="Times New Roman" w:hAnsi="Times New Roman" w:eastAsia="黑体" w:cs="Times New Roman"/>
          <w:b w:val="0"/>
          <w:color w:val="000000"/>
          <w:lang w:eastAsia="zh-CN"/>
        </w:rPr>
        <w:t>部门职责</w:t>
      </w:r>
    </w:p>
    <w:p>
      <w:pPr>
        <w:pStyle w:val="2"/>
        <w:adjustRightInd w:val="0"/>
        <w:snapToGrid w:val="0"/>
        <w:spacing w:before="93" w:line="600" w:lineRule="exact"/>
        <w:ind w:firstLine="672" w:firstLineChars="210"/>
        <w:outlineLvl w:val="2"/>
        <w:rPr>
          <w:rStyle w:val="34"/>
          <w:rFonts w:hint="default" w:ascii="Times New Roman" w:hAnsi="Times New Roman" w:eastAsia="仿宋" w:cs="Times New Roman"/>
          <w:sz w:val="32"/>
          <w:szCs w:val="32"/>
        </w:rPr>
      </w:pPr>
      <w:bookmarkStart w:id="11" w:name="_Toc15377199"/>
      <w:bookmarkStart w:id="12" w:name="_Toc15378446"/>
      <w:r>
        <w:rPr>
          <w:rStyle w:val="34"/>
          <w:rFonts w:hint="default" w:ascii="Times New Roman" w:hAnsi="Times New Roman" w:eastAsia="仿宋" w:cs="Times New Roman"/>
          <w:sz w:val="32"/>
          <w:szCs w:val="32"/>
        </w:rPr>
        <w:t>1.根据城市规划和土地利用总体规划，结合全区土地市场需求情况，草拟土地储备年度计划。</w:t>
      </w:r>
    </w:p>
    <w:p>
      <w:pPr>
        <w:pStyle w:val="2"/>
        <w:adjustRightInd w:val="0"/>
        <w:snapToGrid w:val="0"/>
        <w:spacing w:before="93" w:line="600" w:lineRule="exact"/>
        <w:ind w:firstLine="672" w:firstLineChars="210"/>
        <w:outlineLvl w:val="2"/>
        <w:rPr>
          <w:rStyle w:val="34"/>
          <w:rFonts w:hint="default" w:ascii="Times New Roman" w:hAnsi="Times New Roman" w:eastAsia="仿宋" w:cs="Times New Roman"/>
          <w:sz w:val="32"/>
          <w:szCs w:val="32"/>
        </w:rPr>
      </w:pPr>
      <w:r>
        <w:rPr>
          <w:rStyle w:val="34"/>
          <w:rFonts w:hint="default" w:ascii="Times New Roman" w:hAnsi="Times New Roman" w:eastAsia="仿宋" w:cs="Times New Roman"/>
          <w:sz w:val="32"/>
          <w:szCs w:val="32"/>
        </w:rPr>
        <w:t>2.开展全区土地开发整理资源调查，对拟收购土地进行市场调查分析，草拟土地开发计划、收购和储备方案。</w:t>
      </w:r>
    </w:p>
    <w:p>
      <w:pPr>
        <w:pStyle w:val="2"/>
        <w:adjustRightInd w:val="0"/>
        <w:snapToGrid w:val="0"/>
        <w:spacing w:before="93" w:line="600" w:lineRule="exact"/>
        <w:ind w:firstLine="672" w:firstLineChars="210"/>
        <w:outlineLvl w:val="2"/>
        <w:rPr>
          <w:rStyle w:val="34"/>
          <w:rFonts w:hint="default" w:ascii="Times New Roman" w:hAnsi="Times New Roman" w:eastAsia="仿宋" w:cs="Times New Roman"/>
          <w:sz w:val="32"/>
          <w:szCs w:val="32"/>
        </w:rPr>
      </w:pPr>
      <w:r>
        <w:rPr>
          <w:rStyle w:val="34"/>
          <w:rFonts w:hint="default" w:ascii="Times New Roman" w:hAnsi="Times New Roman" w:eastAsia="仿宋" w:cs="Times New Roman"/>
          <w:sz w:val="32"/>
          <w:szCs w:val="32"/>
        </w:rPr>
        <w:t>3.负责全区农村集体土地的征收拆迁补偿安置、收购及储备等事务性工作。</w:t>
      </w:r>
    </w:p>
    <w:p>
      <w:pPr>
        <w:pStyle w:val="2"/>
        <w:adjustRightInd w:val="0"/>
        <w:snapToGrid w:val="0"/>
        <w:spacing w:before="93" w:line="600" w:lineRule="exact"/>
        <w:ind w:firstLine="672" w:firstLineChars="210"/>
        <w:outlineLvl w:val="2"/>
        <w:rPr>
          <w:rStyle w:val="34"/>
          <w:rFonts w:hint="default" w:ascii="Times New Roman" w:hAnsi="Times New Roman" w:eastAsia="仿宋" w:cs="Times New Roman"/>
          <w:sz w:val="32"/>
          <w:szCs w:val="32"/>
        </w:rPr>
      </w:pPr>
      <w:r>
        <w:rPr>
          <w:rStyle w:val="34"/>
          <w:rFonts w:hint="default" w:ascii="Times New Roman" w:hAnsi="Times New Roman" w:eastAsia="仿宋" w:cs="Times New Roman"/>
          <w:sz w:val="32"/>
          <w:szCs w:val="32"/>
        </w:rPr>
        <w:t>4.对按规定管理依法收回的违法用地、闲置荒芜土地、无主土地和置换土地等纳入储备土地范围，并对储备土地按规定进行管理。</w:t>
      </w:r>
    </w:p>
    <w:p>
      <w:pPr>
        <w:pStyle w:val="2"/>
        <w:adjustRightInd w:val="0"/>
        <w:snapToGrid w:val="0"/>
        <w:spacing w:before="93" w:line="600" w:lineRule="exact"/>
        <w:ind w:firstLine="672" w:firstLineChars="210"/>
        <w:outlineLvl w:val="2"/>
        <w:rPr>
          <w:rStyle w:val="34"/>
          <w:rFonts w:hint="default" w:ascii="Times New Roman" w:hAnsi="Times New Roman" w:eastAsia="仿宋" w:cs="Times New Roman"/>
          <w:sz w:val="32"/>
          <w:szCs w:val="32"/>
        </w:rPr>
      </w:pPr>
      <w:r>
        <w:rPr>
          <w:rStyle w:val="34"/>
          <w:rFonts w:hint="default" w:ascii="Times New Roman" w:hAnsi="Times New Roman" w:eastAsia="仿宋" w:cs="Times New Roman"/>
          <w:sz w:val="32"/>
          <w:szCs w:val="32"/>
        </w:rPr>
        <w:t>5.根据规划部门的土地规划方案，拟订储备土地开发整理方案，负责组织实施全区储备土地的一级开发整理、工程招投标和工程进度及质量监督。</w:t>
      </w:r>
    </w:p>
    <w:p>
      <w:pPr>
        <w:pStyle w:val="2"/>
        <w:adjustRightInd w:val="0"/>
        <w:snapToGrid w:val="0"/>
        <w:spacing w:before="93" w:line="600" w:lineRule="exact"/>
        <w:ind w:firstLine="672" w:firstLineChars="210"/>
        <w:outlineLvl w:val="2"/>
        <w:rPr>
          <w:rStyle w:val="34"/>
          <w:rFonts w:hint="default" w:ascii="Times New Roman" w:hAnsi="Times New Roman" w:eastAsia="仿宋" w:cs="Times New Roman"/>
          <w:sz w:val="32"/>
          <w:szCs w:val="32"/>
        </w:rPr>
      </w:pPr>
      <w:r>
        <w:rPr>
          <w:rStyle w:val="34"/>
          <w:rFonts w:hint="default" w:ascii="Times New Roman" w:hAnsi="Times New Roman" w:eastAsia="仿宋" w:cs="Times New Roman"/>
          <w:sz w:val="32"/>
          <w:szCs w:val="32"/>
        </w:rPr>
        <w:t>6.协助规划部门做好储备土地规划方案的优化，拟制储备土地出让计划。</w:t>
      </w:r>
    </w:p>
    <w:p>
      <w:pPr>
        <w:pStyle w:val="2"/>
        <w:adjustRightInd w:val="0"/>
        <w:snapToGrid w:val="0"/>
        <w:spacing w:before="93" w:line="600" w:lineRule="exact"/>
        <w:ind w:firstLine="672" w:firstLineChars="210"/>
        <w:outlineLvl w:val="2"/>
        <w:rPr>
          <w:rStyle w:val="34"/>
          <w:rFonts w:hint="default" w:ascii="Times New Roman" w:hAnsi="Times New Roman" w:eastAsia="仿宋" w:cs="Times New Roman"/>
          <w:sz w:val="32"/>
          <w:szCs w:val="32"/>
        </w:rPr>
      </w:pPr>
      <w:r>
        <w:rPr>
          <w:rStyle w:val="34"/>
          <w:rFonts w:hint="default" w:ascii="Times New Roman" w:hAnsi="Times New Roman" w:eastAsia="仿宋" w:cs="Times New Roman"/>
          <w:sz w:val="32"/>
          <w:szCs w:val="32"/>
        </w:rPr>
        <w:t>7.严格执行土地收购储备资金管理规定，资金纳入区政府预决算。</w:t>
      </w:r>
    </w:p>
    <w:p>
      <w:pPr>
        <w:pStyle w:val="2"/>
        <w:adjustRightInd w:val="0"/>
        <w:snapToGrid w:val="0"/>
        <w:spacing w:before="93" w:line="600" w:lineRule="exact"/>
        <w:ind w:firstLine="672" w:firstLineChars="210"/>
        <w:outlineLvl w:val="2"/>
        <w:rPr>
          <w:rStyle w:val="34"/>
          <w:rFonts w:hint="default" w:ascii="Times New Roman" w:hAnsi="Times New Roman" w:eastAsia="仿宋" w:cs="Times New Roman"/>
          <w:sz w:val="32"/>
          <w:szCs w:val="32"/>
        </w:rPr>
      </w:pPr>
      <w:r>
        <w:rPr>
          <w:rStyle w:val="34"/>
          <w:rFonts w:hint="default" w:ascii="Times New Roman" w:hAnsi="Times New Roman" w:eastAsia="仿宋" w:cs="Times New Roman"/>
          <w:sz w:val="32"/>
          <w:szCs w:val="32"/>
        </w:rPr>
        <w:t>8.做好储备土地招商引资和投入市场的前期准备工作。</w:t>
      </w:r>
    </w:p>
    <w:p>
      <w:pPr>
        <w:pStyle w:val="2"/>
        <w:adjustRightInd w:val="0"/>
        <w:snapToGrid w:val="0"/>
        <w:spacing w:before="93" w:line="600" w:lineRule="exact"/>
        <w:ind w:firstLine="672" w:firstLineChars="210"/>
        <w:outlineLvl w:val="2"/>
        <w:rPr>
          <w:rStyle w:val="34"/>
          <w:rFonts w:hint="default" w:ascii="Times New Roman" w:hAnsi="Times New Roman" w:eastAsia="仿宋" w:cs="Times New Roman"/>
          <w:sz w:val="32"/>
          <w:szCs w:val="32"/>
        </w:rPr>
      </w:pPr>
      <w:r>
        <w:rPr>
          <w:rStyle w:val="34"/>
          <w:rFonts w:hint="default" w:ascii="Times New Roman" w:hAnsi="Times New Roman" w:eastAsia="仿宋" w:cs="Times New Roman"/>
          <w:sz w:val="32"/>
          <w:szCs w:val="32"/>
        </w:rPr>
        <w:t>9.承办区委、区政府交办的其他工作。</w:t>
      </w:r>
    </w:p>
    <w:bookmarkEnd w:id="11"/>
    <w:bookmarkEnd w:id="12"/>
    <w:p>
      <w:pPr>
        <w:pStyle w:val="4"/>
        <w:ind w:firstLine="640" w:firstLineChars="200"/>
        <w:rPr>
          <w:rStyle w:val="29"/>
          <w:rFonts w:hint="default" w:ascii="Times New Roman" w:hAnsi="Times New Roman" w:cs="Times New Roman"/>
          <w:b w:val="0"/>
          <w:bCs w:val="0"/>
        </w:rPr>
      </w:pPr>
      <w:bookmarkStart w:id="13" w:name="_Toc15377200"/>
      <w:bookmarkStart w:id="14" w:name="_Toc15396601"/>
      <w:r>
        <w:rPr>
          <w:rFonts w:hint="default" w:ascii="Times New Roman" w:hAnsi="Times New Roman" w:eastAsia="黑体" w:cs="Times New Roman"/>
          <w:b w:val="0"/>
          <w:color w:val="000000"/>
        </w:rPr>
        <w:t>二、机</w:t>
      </w:r>
      <w:r>
        <w:rPr>
          <w:rStyle w:val="29"/>
          <w:rFonts w:hint="default" w:ascii="Times New Roman" w:hAnsi="Times New Roman" w:eastAsia="黑体" w:cs="Times New Roman"/>
          <w:b w:val="0"/>
          <w:bCs w:val="0"/>
        </w:rPr>
        <w:t>构设置</w:t>
      </w:r>
      <w:bookmarkEnd w:id="13"/>
      <w:bookmarkEnd w:id="14"/>
    </w:p>
    <w:p>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我单位是一个独立核算单位，纳入202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年度部门决算汇编的独立核算单位共1个，占单位总数的100%；上年比较无增减。</w:t>
      </w:r>
    </w:p>
    <w:p>
      <w:pPr>
        <w:pStyle w:val="3"/>
        <w:ind w:right="440"/>
        <w:jc w:val="right"/>
        <w:rPr>
          <w:rStyle w:val="28"/>
          <w:rFonts w:hint="default" w:ascii="Times New Roman" w:hAnsi="Times New Roman" w:eastAsia="黑体" w:cs="Times New Roman"/>
          <w:b w:val="0"/>
          <w:bCs w:val="0"/>
        </w:rPr>
      </w:pPr>
      <w:bookmarkStart w:id="15" w:name="_Toc15377204"/>
      <w:bookmarkStart w:id="16" w:name="_Toc15396602"/>
      <w:r>
        <w:rPr>
          <w:rFonts w:hint="default" w:ascii="Times New Roman" w:hAnsi="Times New Roman" w:eastAsia="黑体" w:cs="Times New Roman"/>
          <w:b w:val="0"/>
          <w:color w:val="000000"/>
        </w:rPr>
        <w:t>第二部分</w:t>
      </w:r>
      <w:r>
        <w:rPr>
          <w:rFonts w:hint="default" w:ascii="Times New Roman" w:hAnsi="Times New Roman" w:eastAsia="黑体" w:cs="Times New Roman"/>
          <w:color w:val="000000"/>
        </w:rPr>
        <w:t xml:space="preserve"> </w:t>
      </w:r>
      <w:r>
        <w:rPr>
          <w:rStyle w:val="28"/>
          <w:rFonts w:hint="default" w:ascii="Times New Roman" w:hAnsi="Times New Roman" w:eastAsia="黑体" w:cs="Times New Roman"/>
          <w:b w:val="0"/>
          <w:bCs w:val="0"/>
        </w:rPr>
        <w:t>202</w:t>
      </w:r>
      <w:r>
        <w:rPr>
          <w:rStyle w:val="28"/>
          <w:rFonts w:hint="default" w:ascii="Times New Roman" w:hAnsi="Times New Roman" w:eastAsia="黑体" w:cs="Times New Roman"/>
          <w:b w:val="0"/>
          <w:bCs w:val="0"/>
          <w:lang w:val="en-US" w:eastAsia="zh-CN"/>
        </w:rPr>
        <w:t>2</w:t>
      </w:r>
      <w:r>
        <w:rPr>
          <w:rStyle w:val="28"/>
          <w:rFonts w:hint="default" w:ascii="Times New Roman" w:hAnsi="Times New Roman" w:eastAsia="黑体" w:cs="Times New Roman"/>
          <w:b w:val="0"/>
          <w:bCs w:val="0"/>
        </w:rPr>
        <w:t>年度部门决算情况说明</w:t>
      </w:r>
      <w:bookmarkEnd w:id="15"/>
      <w:bookmarkEnd w:id="16"/>
    </w:p>
    <w:p>
      <w:pPr>
        <w:rPr>
          <w:rFonts w:hint="default" w:ascii="Times New Roman" w:hAnsi="Times New Roman" w:cs="Times New Roman"/>
        </w:rPr>
      </w:pPr>
    </w:p>
    <w:p>
      <w:pPr>
        <w:pStyle w:val="27"/>
        <w:spacing w:line="600" w:lineRule="exact"/>
        <w:ind w:firstLine="640"/>
        <w:outlineLvl w:val="1"/>
        <w:rPr>
          <w:rStyle w:val="29"/>
          <w:rFonts w:hint="default" w:ascii="Times New Roman" w:hAnsi="Times New Roman" w:eastAsia="黑体" w:cs="Times New Roman"/>
          <w:b w:val="0"/>
        </w:rPr>
      </w:pPr>
      <w:bookmarkStart w:id="17" w:name="_Toc15396603"/>
      <w:bookmarkStart w:id="18" w:name="_Toc15377205"/>
      <w:r>
        <w:rPr>
          <w:rFonts w:hint="default" w:ascii="Times New Roman" w:hAnsi="Times New Roman" w:eastAsia="黑体" w:cs="Times New Roman"/>
          <w:color w:val="000000"/>
          <w:sz w:val="32"/>
          <w:szCs w:val="32"/>
        </w:rPr>
        <w:t>一、收</w:t>
      </w:r>
      <w:r>
        <w:rPr>
          <w:rStyle w:val="29"/>
          <w:rFonts w:hint="default" w:ascii="Times New Roman" w:hAnsi="Times New Roman" w:eastAsia="黑体" w:cs="Times New Roman"/>
          <w:b w:val="0"/>
        </w:rPr>
        <w:t>入支出决算总体情况说明</w:t>
      </w:r>
      <w:bookmarkEnd w:id="17"/>
      <w:bookmarkEnd w:id="18"/>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2022年度收、支总计</w:t>
      </w:r>
      <w:r>
        <w:rPr>
          <w:rFonts w:hint="default" w:ascii="Times New Roman" w:hAnsi="Times New Roman" w:eastAsia="仿宋" w:cs="Times New Roman"/>
          <w:sz w:val="32"/>
          <w:szCs w:val="32"/>
          <w:lang w:val="en-US" w:eastAsia="zh-CN"/>
        </w:rPr>
        <w:t>2303.5</w:t>
      </w:r>
      <w:r>
        <w:rPr>
          <w:rFonts w:hint="eastAsia" w:eastAsia="仿宋" w:cs="Times New Roman"/>
          <w:sz w:val="32"/>
          <w:szCs w:val="32"/>
          <w:lang w:val="en-US" w:eastAsia="zh-CN"/>
        </w:rPr>
        <w:t>5</w:t>
      </w:r>
      <w:r>
        <w:rPr>
          <w:rFonts w:hint="default" w:ascii="Times New Roman" w:hAnsi="Times New Roman" w:eastAsia="仿宋" w:cs="Times New Roman"/>
          <w:sz w:val="32"/>
          <w:szCs w:val="32"/>
        </w:rPr>
        <w:t>万元。与2021年相比，收、支总计各增加</w:t>
      </w:r>
      <w:r>
        <w:rPr>
          <w:rFonts w:hint="default" w:ascii="Times New Roman" w:hAnsi="Times New Roman" w:eastAsia="仿宋" w:cs="Times New Roman"/>
          <w:sz w:val="32"/>
          <w:szCs w:val="32"/>
          <w:lang w:val="en-US" w:eastAsia="zh-CN"/>
        </w:rPr>
        <w:t>1659.88</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257.90</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lang w:eastAsia="zh-CN"/>
        </w:rPr>
        <w:t>项目工程及人员增加</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drawing>
          <wp:anchor distT="0" distB="0" distL="114300" distR="114300" simplePos="0" relativeHeight="251659264" behindDoc="0" locked="0" layoutInCell="1" allowOverlap="1">
            <wp:simplePos x="0" y="0"/>
            <wp:positionH relativeFrom="column">
              <wp:posOffset>561975</wp:posOffset>
            </wp:positionH>
            <wp:positionV relativeFrom="paragraph">
              <wp:posOffset>249555</wp:posOffset>
            </wp:positionV>
            <wp:extent cx="3976370" cy="1371600"/>
            <wp:effectExtent l="0" t="0" r="0" b="0"/>
            <wp:wrapNone/>
            <wp:docPr id="9" name="对象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0" w:firstLineChars="200"/>
        <w:jc w:val="left"/>
        <w:rPr>
          <w:rFonts w:hint="default" w:ascii="Times New Roman" w:hAnsi="Times New Roman" w:eastAsia="仿宋_GB2312" w:cs="Times New Roman"/>
          <w:color w:val="000000"/>
          <w:sz w:val="32"/>
          <w:szCs w:val="32"/>
        </w:rPr>
      </w:pPr>
    </w:p>
    <w:p>
      <w:pPr>
        <w:spacing w:line="600" w:lineRule="exact"/>
        <w:ind w:firstLine="640" w:firstLineChars="200"/>
        <w:jc w:val="left"/>
        <w:rPr>
          <w:rFonts w:hint="default" w:ascii="Times New Roman" w:hAnsi="Times New Roman" w:eastAsia="仿宋_GB2312" w:cs="Times New Roman"/>
          <w:color w:val="000000"/>
          <w:sz w:val="32"/>
          <w:szCs w:val="32"/>
        </w:rPr>
      </w:pPr>
    </w:p>
    <w:p>
      <w:pPr>
        <w:pStyle w:val="27"/>
        <w:spacing w:line="600" w:lineRule="exact"/>
        <w:ind w:left="640" w:firstLine="0" w:firstLineChars="0"/>
        <w:outlineLvl w:val="1"/>
        <w:rPr>
          <w:rFonts w:hint="default" w:ascii="Times New Roman" w:hAnsi="Times New Roman" w:eastAsia="黑体" w:cs="Times New Roman"/>
          <w:color w:val="000000"/>
          <w:sz w:val="32"/>
          <w:szCs w:val="32"/>
        </w:rPr>
      </w:pPr>
      <w:bookmarkStart w:id="19" w:name="_Toc15396604"/>
      <w:bookmarkStart w:id="20" w:name="_Toc15377206"/>
    </w:p>
    <w:p>
      <w:pPr>
        <w:pStyle w:val="27"/>
        <w:spacing w:line="600" w:lineRule="exact"/>
        <w:ind w:left="640" w:firstLine="0" w:firstLineChars="0"/>
        <w:outlineLvl w:val="1"/>
        <w:rPr>
          <w:rStyle w:val="29"/>
          <w:rFonts w:hint="default" w:ascii="Times New Roman" w:hAnsi="Times New Roman" w:eastAsia="黑体" w:cs="Times New Roman"/>
          <w:b w:val="0"/>
        </w:rPr>
      </w:pPr>
      <w:r>
        <w:rPr>
          <w:rFonts w:hint="default" w:ascii="Times New Roman" w:hAnsi="Times New Roman" w:eastAsia="黑体" w:cs="Times New Roman"/>
          <w:color w:val="000000"/>
          <w:sz w:val="32"/>
          <w:szCs w:val="32"/>
        </w:rPr>
        <w:t>二、收</w:t>
      </w:r>
      <w:r>
        <w:rPr>
          <w:rStyle w:val="29"/>
          <w:rFonts w:hint="default" w:ascii="Times New Roman" w:hAnsi="Times New Roman" w:eastAsia="黑体" w:cs="Times New Roman"/>
          <w:b w:val="0"/>
        </w:rPr>
        <w:t>入决算情况说明</w:t>
      </w:r>
      <w:bookmarkEnd w:id="19"/>
      <w:bookmarkEnd w:id="20"/>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2022年本年收入合计</w:t>
      </w:r>
      <w:r>
        <w:rPr>
          <w:rFonts w:hint="default" w:ascii="Times New Roman" w:hAnsi="Times New Roman" w:eastAsia="仿宋" w:cs="Times New Roman"/>
          <w:sz w:val="32"/>
          <w:szCs w:val="32"/>
          <w:lang w:val="en-US" w:eastAsia="zh-CN"/>
        </w:rPr>
        <w:t>1612.11</w:t>
      </w:r>
      <w:r>
        <w:rPr>
          <w:rFonts w:hint="default" w:ascii="Times New Roman" w:hAnsi="Times New Roman" w:eastAsia="仿宋" w:cs="Times New Roman"/>
          <w:sz w:val="32"/>
          <w:szCs w:val="32"/>
        </w:rPr>
        <w:t>万元，其中：一般公共预算财政拨款收入</w:t>
      </w:r>
      <w:r>
        <w:rPr>
          <w:rFonts w:hint="default" w:ascii="Times New Roman" w:hAnsi="Times New Roman" w:eastAsia="仿宋" w:cs="Times New Roman"/>
          <w:sz w:val="32"/>
          <w:szCs w:val="32"/>
          <w:lang w:val="en-US" w:eastAsia="zh-CN"/>
        </w:rPr>
        <w:t>117.3</w:t>
      </w:r>
      <w:r>
        <w:rPr>
          <w:rFonts w:hint="eastAsia"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7.28</w:t>
      </w:r>
      <w:r>
        <w:rPr>
          <w:rFonts w:hint="default" w:ascii="Times New Roman" w:hAnsi="Times New Roman" w:eastAsia="仿宋" w:cs="Times New Roman"/>
          <w:sz w:val="32"/>
          <w:szCs w:val="32"/>
        </w:rPr>
        <w:t>%；政府性基金预算财政拨款收入</w:t>
      </w:r>
      <w:r>
        <w:rPr>
          <w:rFonts w:hint="default" w:ascii="Times New Roman" w:hAnsi="Times New Roman" w:eastAsia="仿宋" w:cs="Times New Roman"/>
          <w:sz w:val="32"/>
          <w:szCs w:val="32"/>
          <w:lang w:val="en-US" w:eastAsia="zh-CN"/>
        </w:rPr>
        <w:t>1494.81</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92.72</w:t>
      </w:r>
      <w:r>
        <w:rPr>
          <w:rFonts w:hint="default" w:ascii="Times New Roman" w:hAnsi="Times New Roman" w:eastAsia="仿宋" w:cs="Times New Roman"/>
          <w:sz w:val="32"/>
          <w:szCs w:val="32"/>
        </w:rPr>
        <w:t>%；国有资本经营预算财政拨款收入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%；上级补助收入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%；事业收入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%；经营收入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%；附属单位上缴收入</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r>
        <w:rPr>
          <w:rFonts w:hint="default" w:ascii="Times New Roman" w:hAnsi="Times New Roman" w:eastAsia="仿宋" w:cs="Times New Roman"/>
          <w:color w:val="000000"/>
          <w:sz w:val="32"/>
          <w:szCs w:val="32"/>
        </w:rPr>
        <w:t>其他收入0万元，占0%</w:t>
      </w:r>
      <w:r>
        <w:rPr>
          <w:rFonts w:hint="default" w:ascii="Times New Roman" w:hAnsi="Times New Roman" w:eastAsia="仿宋" w:cs="Times New Roman"/>
          <w:sz w:val="32"/>
          <w:szCs w:val="32"/>
        </w:rPr>
        <w:t>。</w:t>
      </w:r>
    </w:p>
    <w:p>
      <w:pPr>
        <w:spacing w:line="60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drawing>
          <wp:anchor distT="0" distB="0" distL="114300" distR="114300" simplePos="0" relativeHeight="251660288" behindDoc="0" locked="0" layoutInCell="1" allowOverlap="1">
            <wp:simplePos x="0" y="0"/>
            <wp:positionH relativeFrom="column">
              <wp:posOffset>57150</wp:posOffset>
            </wp:positionH>
            <wp:positionV relativeFrom="paragraph">
              <wp:posOffset>104775</wp:posOffset>
            </wp:positionV>
            <wp:extent cx="5305425" cy="1209675"/>
            <wp:effectExtent l="0" t="0" r="0" b="0"/>
            <wp:wrapNone/>
            <wp:docPr id="10" name="对象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hint="default" w:ascii="Times New Roman" w:hAnsi="Times New Roman" w:eastAsia="仿宋" w:cs="Times New Roman"/>
          <w:color w:val="000000"/>
          <w:sz w:val="32"/>
          <w:szCs w:val="32"/>
        </w:rPr>
      </w:pPr>
    </w:p>
    <w:p>
      <w:pPr>
        <w:spacing w:line="600" w:lineRule="exact"/>
        <w:ind w:firstLine="640" w:firstLineChars="200"/>
        <w:outlineLvl w:val="1"/>
        <w:rPr>
          <w:rFonts w:hint="default" w:ascii="Times New Roman" w:hAnsi="Times New Roman" w:eastAsia="仿宋" w:cs="Times New Roman"/>
          <w:color w:val="000000"/>
          <w:sz w:val="32"/>
          <w:szCs w:val="32"/>
        </w:rPr>
      </w:pPr>
    </w:p>
    <w:p>
      <w:pPr>
        <w:spacing w:line="600" w:lineRule="exact"/>
        <w:ind w:firstLine="640" w:firstLineChars="200"/>
        <w:outlineLvl w:val="1"/>
        <w:rPr>
          <w:rFonts w:hint="default" w:ascii="Times New Roman" w:hAnsi="Times New Roman" w:eastAsia="仿宋" w:cs="Times New Roman"/>
          <w:color w:val="000000"/>
          <w:sz w:val="32"/>
          <w:szCs w:val="32"/>
        </w:rPr>
      </w:pPr>
    </w:p>
    <w:p>
      <w:pPr>
        <w:pStyle w:val="27"/>
        <w:spacing w:line="600" w:lineRule="exact"/>
        <w:ind w:left="640" w:firstLine="0" w:firstLineChars="0"/>
        <w:outlineLvl w:val="1"/>
        <w:rPr>
          <w:rStyle w:val="29"/>
          <w:rFonts w:hint="default" w:ascii="Times New Roman" w:hAnsi="Times New Roman" w:eastAsia="黑体" w:cs="Times New Roman"/>
          <w:b w:val="0"/>
        </w:rPr>
      </w:pPr>
      <w:bookmarkStart w:id="21" w:name="_Toc15396605"/>
      <w:bookmarkStart w:id="22" w:name="_Toc15377207"/>
      <w:r>
        <w:rPr>
          <w:rFonts w:hint="default" w:ascii="Times New Roman" w:hAnsi="Times New Roman" w:eastAsia="黑体" w:cs="Times New Roman"/>
          <w:color w:val="000000"/>
          <w:sz w:val="32"/>
          <w:szCs w:val="32"/>
        </w:rPr>
        <w:t>三、支</w:t>
      </w:r>
      <w:r>
        <w:rPr>
          <w:rStyle w:val="29"/>
          <w:rFonts w:hint="default" w:ascii="Times New Roman" w:hAnsi="Times New Roman" w:eastAsia="黑体" w:cs="Times New Roman"/>
          <w:b w:val="0"/>
        </w:rPr>
        <w:t>出决算情况说明</w:t>
      </w:r>
      <w:bookmarkEnd w:id="21"/>
      <w:bookmarkEnd w:id="22"/>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2022年本年支出合计</w:t>
      </w:r>
      <w:r>
        <w:rPr>
          <w:rFonts w:hint="default" w:ascii="Times New Roman" w:hAnsi="Times New Roman" w:eastAsia="仿宋" w:cs="Times New Roman"/>
          <w:sz w:val="32"/>
          <w:szCs w:val="32"/>
          <w:lang w:val="en-US" w:eastAsia="zh-CN"/>
        </w:rPr>
        <w:t>2303.55</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sz w:val="32"/>
          <w:szCs w:val="32"/>
          <w:lang w:val="en-US" w:eastAsia="zh-CN"/>
        </w:rPr>
        <w:t>117.3</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5.09</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lang w:val="en-US" w:eastAsia="zh-CN"/>
        </w:rPr>
        <w:t>2186.26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94.91</w:t>
      </w:r>
      <w:r>
        <w:rPr>
          <w:rFonts w:hint="default" w:ascii="Times New Roman" w:hAnsi="Times New Roman" w:eastAsia="仿宋" w:cs="Times New Roman"/>
          <w:sz w:val="32"/>
          <w:szCs w:val="32"/>
        </w:rPr>
        <w:t>%；上缴上级支出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%；经营支出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%；对附属单位补助支出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w:t>
      </w:r>
    </w:p>
    <w:p>
      <w:pPr>
        <w:spacing w:line="600" w:lineRule="exact"/>
        <w:ind w:firstLine="640" w:firstLineChars="200"/>
        <w:outlineLvl w:val="1"/>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drawing>
          <wp:anchor distT="0" distB="0" distL="114300" distR="114300" simplePos="0" relativeHeight="251661312" behindDoc="0" locked="0" layoutInCell="1" allowOverlap="1">
            <wp:simplePos x="0" y="0"/>
            <wp:positionH relativeFrom="column">
              <wp:posOffset>304800</wp:posOffset>
            </wp:positionH>
            <wp:positionV relativeFrom="paragraph">
              <wp:posOffset>114300</wp:posOffset>
            </wp:positionV>
            <wp:extent cx="4724400" cy="1238250"/>
            <wp:effectExtent l="0" t="0" r="0" b="0"/>
            <wp:wrapNone/>
            <wp:docPr id="12" name="对象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default" w:ascii="Times New Roman" w:hAnsi="Times New Roman" w:eastAsia="仿宋" w:cs="Times New Roman"/>
          <w:color w:val="000000" w:themeColor="text1"/>
          <w:sz w:val="32"/>
          <w:szCs w:val="32"/>
          <w:highlight w:val="yellow"/>
          <w14:textFill>
            <w14:solidFill>
              <w14:schemeClr w14:val="tx1"/>
            </w14:solidFill>
          </w14:textFill>
        </w:rPr>
      </w:pPr>
    </w:p>
    <w:p>
      <w:pPr>
        <w:spacing w:line="600" w:lineRule="exact"/>
        <w:ind w:firstLine="640" w:firstLineChars="200"/>
        <w:rPr>
          <w:rFonts w:hint="default" w:ascii="Times New Roman" w:hAnsi="Times New Roman" w:eastAsia="仿宋" w:cs="Times New Roman"/>
          <w:color w:val="000000" w:themeColor="text1"/>
          <w:sz w:val="32"/>
          <w:szCs w:val="32"/>
          <w:highlight w:val="yellow"/>
          <w14:textFill>
            <w14:solidFill>
              <w14:schemeClr w14:val="tx1"/>
            </w14:solidFill>
          </w14:textFill>
        </w:rPr>
      </w:pPr>
    </w:p>
    <w:p>
      <w:pPr>
        <w:spacing w:line="600" w:lineRule="exact"/>
        <w:ind w:firstLine="640" w:firstLineChars="200"/>
        <w:rPr>
          <w:rFonts w:hint="default" w:ascii="Times New Roman" w:hAnsi="Times New Roman" w:eastAsia="仿宋" w:cs="Times New Roman"/>
          <w:color w:val="000000" w:themeColor="text1"/>
          <w:sz w:val="32"/>
          <w:szCs w:val="32"/>
          <w:highlight w:val="yellow"/>
          <w14:textFill>
            <w14:solidFill>
              <w14:schemeClr w14:val="tx1"/>
            </w14:solidFill>
          </w14:textFill>
        </w:rPr>
      </w:pPr>
    </w:p>
    <w:p>
      <w:pPr>
        <w:spacing w:line="600" w:lineRule="exact"/>
        <w:ind w:firstLine="640" w:firstLineChars="200"/>
        <w:outlineLvl w:val="1"/>
        <w:rPr>
          <w:rStyle w:val="29"/>
          <w:rFonts w:hint="default" w:ascii="Times New Roman" w:hAnsi="Times New Roman" w:eastAsia="黑体" w:cs="Times New Roman"/>
          <w:b w:val="0"/>
        </w:rPr>
      </w:pPr>
      <w:bookmarkStart w:id="23" w:name="_Toc15396606"/>
      <w:bookmarkStart w:id="24" w:name="_Toc15377208"/>
      <w:r>
        <w:rPr>
          <w:rFonts w:hint="default" w:ascii="Times New Roman" w:hAnsi="Times New Roman" w:eastAsia="黑体" w:cs="Times New Roman"/>
          <w:color w:val="000000"/>
          <w:sz w:val="32"/>
          <w:szCs w:val="32"/>
        </w:rPr>
        <w:t>四、财</w:t>
      </w:r>
      <w:r>
        <w:rPr>
          <w:rStyle w:val="29"/>
          <w:rFonts w:hint="default" w:ascii="Times New Roman" w:hAnsi="Times New Roman" w:eastAsia="黑体" w:cs="Times New Roman"/>
          <w:b w:val="0"/>
        </w:rPr>
        <w:t>政拨款收入支出决算总体情况说明</w:t>
      </w:r>
      <w:bookmarkEnd w:id="23"/>
      <w:bookmarkEnd w:id="24"/>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1009650</wp:posOffset>
            </wp:positionV>
            <wp:extent cx="5382260" cy="1914525"/>
            <wp:effectExtent l="0" t="0" r="0" b="0"/>
            <wp:wrapNone/>
            <wp:docPr id="14" name="对象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 w:cs="Times New Roman"/>
          <w:sz w:val="32"/>
          <w:szCs w:val="32"/>
        </w:rPr>
        <w:t>2022年财政拨款收、支总计</w:t>
      </w:r>
      <w:r>
        <w:rPr>
          <w:rFonts w:hint="default" w:ascii="Times New Roman" w:hAnsi="Times New Roman" w:eastAsia="仿宋" w:cs="Times New Roman"/>
          <w:sz w:val="32"/>
          <w:szCs w:val="32"/>
          <w:lang w:val="en-US" w:eastAsia="zh-CN"/>
        </w:rPr>
        <w:t>2303.55</w:t>
      </w:r>
      <w:r>
        <w:rPr>
          <w:rFonts w:hint="default" w:ascii="Times New Roman" w:hAnsi="Times New Roman" w:eastAsia="仿宋" w:cs="Times New Roman"/>
          <w:sz w:val="32"/>
          <w:szCs w:val="32"/>
        </w:rPr>
        <w:t>万元。与2021年相比，财政拨款收、支总计各增加</w:t>
      </w:r>
      <w:r>
        <w:rPr>
          <w:rFonts w:hint="default" w:ascii="Times New Roman" w:hAnsi="Times New Roman" w:eastAsia="仿宋" w:cs="Times New Roman"/>
          <w:sz w:val="32"/>
          <w:szCs w:val="32"/>
          <w:lang w:val="en-US" w:eastAsia="zh-CN"/>
        </w:rPr>
        <w:t>1659.93</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257.90</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lang w:eastAsia="zh-CN"/>
        </w:rPr>
        <w:t>项目工程及人员增加。</w:t>
      </w:r>
    </w:p>
    <w:p>
      <w:pPr>
        <w:spacing w:line="600" w:lineRule="exact"/>
        <w:ind w:firstLine="640"/>
        <w:rPr>
          <w:rFonts w:hint="default" w:ascii="Times New Roman" w:hAnsi="Times New Roman" w:eastAsia="仿宋" w:cs="Times New Roman"/>
          <w:color w:val="000000"/>
          <w:sz w:val="32"/>
          <w:szCs w:val="32"/>
        </w:rPr>
      </w:pPr>
    </w:p>
    <w:p>
      <w:pPr>
        <w:spacing w:line="600" w:lineRule="exact"/>
        <w:rPr>
          <w:rFonts w:hint="default" w:ascii="Times New Roman" w:hAnsi="Times New Roman" w:eastAsia="仿宋" w:cs="Times New Roman"/>
          <w:color w:val="000000"/>
          <w:sz w:val="32"/>
          <w:szCs w:val="32"/>
        </w:rPr>
      </w:pPr>
    </w:p>
    <w:p>
      <w:pPr>
        <w:spacing w:line="600" w:lineRule="exact"/>
        <w:rPr>
          <w:rFonts w:hint="default" w:ascii="Times New Roman" w:hAnsi="Times New Roman" w:eastAsia="仿宋" w:cs="Times New Roman"/>
          <w:color w:val="000000"/>
          <w:sz w:val="32"/>
          <w:szCs w:val="32"/>
        </w:rPr>
      </w:pPr>
    </w:p>
    <w:p>
      <w:pPr>
        <w:spacing w:line="600" w:lineRule="exact"/>
        <w:rPr>
          <w:rFonts w:hint="default" w:ascii="Times New Roman" w:hAnsi="Times New Roman" w:eastAsia="仿宋" w:cs="Times New Roman"/>
          <w:b/>
          <w:color w:val="00B050"/>
          <w:sz w:val="32"/>
          <w:szCs w:val="32"/>
        </w:rPr>
      </w:pPr>
    </w:p>
    <w:p>
      <w:pPr>
        <w:spacing w:line="600" w:lineRule="exact"/>
        <w:ind w:firstLine="640" w:firstLineChars="200"/>
        <w:outlineLvl w:val="1"/>
        <w:rPr>
          <w:rStyle w:val="29"/>
          <w:rFonts w:hint="default" w:ascii="Times New Roman" w:hAnsi="Times New Roman" w:eastAsia="黑体" w:cs="Times New Roman"/>
          <w:b w:val="0"/>
        </w:rPr>
      </w:pPr>
      <w:bookmarkStart w:id="25" w:name="_Toc15377209"/>
      <w:bookmarkStart w:id="26" w:name="_Toc15396607"/>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9"/>
          <w:rFonts w:hint="default" w:ascii="Times New Roman" w:hAnsi="Times New Roman" w:eastAsia="黑体" w:cs="Times New Roman"/>
          <w:b w:val="0"/>
        </w:rPr>
        <w:t>般公共预算财政拨款支出决算情况说明</w:t>
      </w:r>
      <w:bookmarkEnd w:id="25"/>
      <w:bookmarkEnd w:id="26"/>
    </w:p>
    <w:p>
      <w:pPr>
        <w:spacing w:line="600" w:lineRule="exact"/>
        <w:ind w:firstLine="643" w:firstLineChars="200"/>
        <w:outlineLvl w:val="2"/>
        <w:rPr>
          <w:rFonts w:hint="default" w:ascii="Times New Roman" w:hAnsi="Times New Roman" w:eastAsia="仿宋" w:cs="Times New Roman"/>
          <w:b/>
          <w:color w:val="000000"/>
          <w:sz w:val="32"/>
          <w:szCs w:val="32"/>
        </w:rPr>
      </w:pPr>
      <w:bookmarkStart w:id="27" w:name="_Toc15377210"/>
      <w:r>
        <w:rPr>
          <w:rFonts w:hint="default" w:ascii="Times New Roman" w:hAnsi="Times New Roman" w:eastAsia="仿宋" w:cs="Times New Roman"/>
          <w:b/>
          <w:color w:val="000000"/>
          <w:sz w:val="32"/>
          <w:szCs w:val="32"/>
        </w:rPr>
        <w:t>（一）一般公共预算财政拨款支出决算总体情况</w:t>
      </w:r>
      <w:bookmarkEnd w:id="27"/>
    </w:p>
    <w:p>
      <w:pPr>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2022年一般公共预算财政拨款支出</w:t>
      </w:r>
      <w:r>
        <w:rPr>
          <w:rFonts w:hint="default" w:ascii="Times New Roman" w:hAnsi="Times New Roman" w:eastAsia="仿宋" w:cs="Times New Roman"/>
          <w:sz w:val="32"/>
          <w:szCs w:val="32"/>
          <w:lang w:val="en-US" w:eastAsia="zh-CN"/>
        </w:rPr>
        <w:t>117.3</w:t>
      </w:r>
      <w:r>
        <w:rPr>
          <w:rFonts w:hint="default" w:ascii="Times New Roman" w:hAnsi="Times New Roman" w:eastAsia="仿宋" w:cs="Times New Roman"/>
          <w:sz w:val="32"/>
          <w:szCs w:val="32"/>
        </w:rPr>
        <w:t>万元，占本年支出合计的</w:t>
      </w:r>
      <w:r>
        <w:rPr>
          <w:rFonts w:hint="default" w:ascii="Times New Roman" w:hAnsi="Times New Roman" w:eastAsia="仿宋" w:cs="Times New Roman"/>
          <w:sz w:val="32"/>
          <w:szCs w:val="32"/>
          <w:lang w:val="en-US" w:eastAsia="zh-CN"/>
        </w:rPr>
        <w:t>5.09</w:t>
      </w:r>
      <w:r>
        <w:rPr>
          <w:rFonts w:hint="default" w:ascii="Times New Roman" w:hAnsi="Times New Roman" w:eastAsia="仿宋" w:cs="Times New Roman"/>
          <w:sz w:val="32"/>
          <w:szCs w:val="32"/>
        </w:rPr>
        <w:t>%。与2021年相比，一般公共预算财政拨款支出增加</w:t>
      </w:r>
      <w:r>
        <w:rPr>
          <w:rFonts w:hint="default" w:ascii="Times New Roman" w:hAnsi="Times New Roman" w:eastAsia="仿宋" w:cs="Times New Roman"/>
          <w:sz w:val="32"/>
          <w:szCs w:val="32"/>
          <w:lang w:val="en-US" w:eastAsia="zh-CN"/>
        </w:rPr>
        <w:t>32.48</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38.29</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color w:val="000000"/>
          <w:sz w:val="32"/>
          <w:szCs w:val="32"/>
        </w:rPr>
        <w:t>工作人员增加。</w:t>
      </w:r>
    </w:p>
    <w:p>
      <w:pPr>
        <w:spacing w:line="600" w:lineRule="exact"/>
        <w:ind w:firstLine="640" w:firstLineChars="200"/>
        <w:outlineLvl w:val="2"/>
        <w:rPr>
          <w:rFonts w:hint="default" w:ascii="Times New Roman" w:hAnsi="Times New Roman" w:eastAsia="仿宋" w:cs="Times New Roman"/>
          <w:b/>
          <w:color w:val="000000"/>
          <w:sz w:val="32"/>
          <w:szCs w:val="32"/>
        </w:rPr>
      </w:pPr>
      <w:bookmarkStart w:id="28" w:name="_Toc15377211"/>
      <w:r>
        <w:rPr>
          <w:rFonts w:hint="default" w:ascii="Times New Roman" w:hAnsi="Times New Roman" w:eastAsia="仿宋" w:cs="Times New Roman"/>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276225</wp:posOffset>
            </wp:positionH>
            <wp:positionV relativeFrom="paragraph">
              <wp:posOffset>19050</wp:posOffset>
            </wp:positionV>
            <wp:extent cx="5103495" cy="1499235"/>
            <wp:effectExtent l="0" t="0" r="0" b="0"/>
            <wp:wrapNone/>
            <wp:docPr id="43" name="对象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hint="default" w:ascii="Times New Roman" w:hAnsi="Times New Roman" w:eastAsia="仿宋" w:cs="Times New Roman"/>
          <w:b/>
          <w:color w:val="000000"/>
          <w:sz w:val="32"/>
          <w:szCs w:val="32"/>
        </w:rPr>
      </w:pPr>
    </w:p>
    <w:p>
      <w:pPr>
        <w:spacing w:line="600" w:lineRule="exact"/>
        <w:ind w:firstLine="643" w:firstLineChars="200"/>
        <w:outlineLvl w:val="2"/>
        <w:rPr>
          <w:rFonts w:hint="default" w:ascii="Times New Roman" w:hAnsi="Times New Roman" w:eastAsia="仿宋" w:cs="Times New Roman"/>
          <w:b/>
          <w:color w:val="000000"/>
          <w:sz w:val="32"/>
          <w:szCs w:val="32"/>
        </w:rPr>
      </w:pPr>
    </w:p>
    <w:p>
      <w:pPr>
        <w:spacing w:line="600" w:lineRule="exact"/>
        <w:ind w:firstLine="643" w:firstLineChars="200"/>
        <w:outlineLvl w:val="2"/>
        <w:rPr>
          <w:rFonts w:hint="default" w:ascii="Times New Roman" w:hAnsi="Times New Roman" w:eastAsia="仿宋" w:cs="Times New Roman"/>
          <w:b/>
          <w:color w:val="000000"/>
          <w:sz w:val="32"/>
          <w:szCs w:val="32"/>
        </w:rPr>
      </w:pPr>
    </w:p>
    <w:p>
      <w:pPr>
        <w:spacing w:line="600" w:lineRule="exact"/>
        <w:ind w:firstLine="643" w:firstLineChars="200"/>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（二）一般公共预算财政拨款支出决算结构情况</w:t>
      </w:r>
      <w:bookmarkEnd w:id="28"/>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drawing>
          <wp:anchor distT="0" distB="0" distL="114300" distR="114300" simplePos="0" relativeHeight="251664384" behindDoc="0" locked="0" layoutInCell="1" allowOverlap="1">
            <wp:simplePos x="0" y="0"/>
            <wp:positionH relativeFrom="column">
              <wp:posOffset>85725</wp:posOffset>
            </wp:positionH>
            <wp:positionV relativeFrom="paragraph">
              <wp:posOffset>1524000</wp:posOffset>
            </wp:positionV>
            <wp:extent cx="5276850" cy="1885950"/>
            <wp:effectExtent l="0" t="0" r="0" b="0"/>
            <wp:wrapNone/>
            <wp:docPr id="46" name="对象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 w:cs="Times New Roman"/>
          <w:sz w:val="32"/>
          <w:szCs w:val="32"/>
        </w:rPr>
        <w:t>2022年一般公共预算财政拨款支出</w:t>
      </w:r>
      <w:r>
        <w:rPr>
          <w:rFonts w:hint="default" w:ascii="Times New Roman" w:hAnsi="Times New Roman" w:eastAsia="仿宋" w:cs="Times New Roman"/>
          <w:sz w:val="32"/>
          <w:szCs w:val="32"/>
          <w:lang w:val="en-US" w:eastAsia="zh-CN"/>
        </w:rPr>
        <w:t>117.3</w:t>
      </w:r>
      <w:r>
        <w:rPr>
          <w:rFonts w:hint="default" w:ascii="Times New Roman" w:hAnsi="Times New Roman" w:eastAsia="仿宋" w:cs="Times New Roman"/>
          <w:sz w:val="32"/>
          <w:szCs w:val="32"/>
        </w:rPr>
        <w:t>万元，主要用于以下方面:</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lang w:val="en-US" w:eastAsia="zh-CN"/>
        </w:rPr>
        <w:t>9.83</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8.38</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lang w:val="en-US" w:eastAsia="zh-CN"/>
        </w:rPr>
        <w:t>5.26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4.48</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自然资源海洋气象等支出</w:t>
      </w:r>
      <w:r>
        <w:rPr>
          <w:rFonts w:hint="default" w:ascii="Times New Roman" w:hAnsi="Times New Roman" w:eastAsia="仿宋" w:cs="Times New Roman"/>
          <w:sz w:val="32"/>
          <w:szCs w:val="32"/>
          <w:lang w:val="en-US" w:eastAsia="zh-CN"/>
        </w:rPr>
        <w:t>92.04</w:t>
      </w:r>
      <w:r>
        <w:rPr>
          <w:rFonts w:hint="default" w:ascii="Times New Roman" w:hAnsi="Times New Roman" w:eastAsia="仿宋" w:cs="Times New Roman"/>
          <w:sz w:val="32"/>
          <w:szCs w:val="32"/>
          <w:lang w:eastAsia="zh-CN"/>
        </w:rPr>
        <w:t>万元，占</w:t>
      </w:r>
      <w:r>
        <w:rPr>
          <w:rFonts w:hint="default" w:ascii="Times New Roman" w:hAnsi="Times New Roman" w:eastAsia="仿宋" w:cs="Times New Roman"/>
          <w:sz w:val="32"/>
          <w:szCs w:val="32"/>
          <w:lang w:val="en-US" w:eastAsia="zh-CN"/>
        </w:rPr>
        <w:t>78.47%；</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lang w:val="en-US" w:eastAsia="zh-CN"/>
        </w:rPr>
        <w:t>10.17</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8.67</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0" w:firstLineChars="200"/>
        <w:rPr>
          <w:rFonts w:hint="default" w:ascii="Times New Roman" w:hAnsi="Times New Roman" w:eastAsia="仿宋" w:cs="Times New Roman"/>
          <w:color w:val="000000"/>
          <w:sz w:val="32"/>
          <w:szCs w:val="32"/>
        </w:rPr>
      </w:pPr>
    </w:p>
    <w:p>
      <w:pPr>
        <w:spacing w:line="600" w:lineRule="exact"/>
        <w:ind w:firstLine="643" w:firstLineChars="200"/>
        <w:outlineLvl w:val="2"/>
        <w:rPr>
          <w:rFonts w:hint="default" w:ascii="Times New Roman" w:hAnsi="Times New Roman" w:eastAsia="仿宋" w:cs="Times New Roman"/>
          <w:b/>
          <w:color w:val="000000"/>
          <w:sz w:val="32"/>
          <w:szCs w:val="32"/>
        </w:rPr>
      </w:pPr>
      <w:bookmarkStart w:id="29" w:name="_Toc15377212"/>
      <w:r>
        <w:rPr>
          <w:rFonts w:hint="default" w:ascii="Times New Roman" w:hAnsi="Times New Roman" w:eastAsia="仿宋" w:cs="Times New Roman"/>
          <w:b/>
          <w:color w:val="000000"/>
          <w:sz w:val="32"/>
          <w:szCs w:val="32"/>
        </w:rPr>
        <w:t>（三）一般公共预算财政拨款支出决算具体情况</w:t>
      </w:r>
      <w:bookmarkEnd w:id="29"/>
    </w:p>
    <w:p>
      <w:pPr>
        <w:spacing w:line="600" w:lineRule="exact"/>
        <w:ind w:firstLine="643" w:firstLineChars="200"/>
        <w:rPr>
          <w:rStyle w:val="17"/>
          <w:rFonts w:hint="default" w:ascii="Times New Roman" w:hAnsi="Times New Roman" w:eastAsia="仿宋" w:cs="Times New Roman"/>
          <w:bCs/>
          <w:sz w:val="32"/>
          <w:szCs w:val="32"/>
        </w:rPr>
      </w:pPr>
      <w:bookmarkStart w:id="30" w:name="_Toc15377444"/>
      <w:bookmarkStart w:id="31" w:name="_Toc15378460"/>
      <w:bookmarkStart w:id="32" w:name="_Toc15377213"/>
      <w:r>
        <w:rPr>
          <w:rFonts w:hint="default" w:ascii="Times New Roman" w:hAnsi="Times New Roman" w:eastAsia="仿宋" w:cs="Times New Roman"/>
          <w:b/>
          <w:sz w:val="32"/>
          <w:szCs w:val="32"/>
        </w:rPr>
        <w:t>2022年一般公共预算支出决算数为</w:t>
      </w:r>
      <w:r>
        <w:rPr>
          <w:rFonts w:hint="default" w:ascii="Times New Roman" w:hAnsi="Times New Roman" w:eastAsia="仿宋" w:cs="Times New Roman"/>
          <w:sz w:val="32"/>
          <w:szCs w:val="32"/>
          <w:lang w:val="en-US" w:eastAsia="zh-CN"/>
        </w:rPr>
        <w:t>117.3</w:t>
      </w:r>
      <w:r>
        <w:rPr>
          <w:rFonts w:hint="default" w:ascii="Times New Roman" w:hAnsi="Times New Roman" w:eastAsia="仿宋" w:cs="Times New Roman"/>
          <w:sz w:val="32"/>
          <w:szCs w:val="32"/>
        </w:rPr>
        <w:t>，</w:t>
      </w:r>
      <w:r>
        <w:rPr>
          <w:rStyle w:val="17"/>
          <w:rFonts w:hint="default" w:ascii="Times New Roman" w:hAnsi="Times New Roman" w:eastAsia="仿宋" w:cs="Times New Roman"/>
          <w:bCs/>
          <w:sz w:val="32"/>
          <w:szCs w:val="32"/>
        </w:rPr>
        <w:t>完成预算</w:t>
      </w:r>
      <w:r>
        <w:rPr>
          <w:rStyle w:val="17"/>
          <w:rFonts w:hint="default" w:ascii="Times New Roman" w:hAnsi="Times New Roman" w:eastAsia="仿宋" w:cs="Times New Roman"/>
          <w:bCs/>
          <w:sz w:val="32"/>
          <w:szCs w:val="32"/>
          <w:lang w:val="en-US" w:eastAsia="zh-CN"/>
        </w:rPr>
        <w:t>100</w:t>
      </w:r>
      <w:r>
        <w:rPr>
          <w:rStyle w:val="17"/>
          <w:rFonts w:hint="default" w:ascii="Times New Roman" w:hAnsi="Times New Roman" w:eastAsia="仿宋" w:cs="Times New Roman"/>
          <w:bCs/>
          <w:sz w:val="32"/>
          <w:szCs w:val="32"/>
        </w:rPr>
        <w:t>%。其中：</w:t>
      </w:r>
      <w:bookmarkEnd w:id="30"/>
      <w:bookmarkEnd w:id="31"/>
      <w:bookmarkEnd w:id="32"/>
    </w:p>
    <w:p>
      <w:pPr>
        <w:spacing w:line="600" w:lineRule="exact"/>
        <w:ind w:firstLine="643" w:firstLineChars="200"/>
        <w:rPr>
          <w:rFonts w:hint="default" w:ascii="Times New Roman" w:hAnsi="Times New Roman" w:eastAsia="仿宋" w:cs="Times New Roman"/>
          <w:b/>
          <w:sz w:val="32"/>
          <w:szCs w:val="32"/>
        </w:rPr>
      </w:pPr>
      <w:bookmarkStart w:id="33" w:name="_Toc15377214"/>
      <w:bookmarkStart w:id="34" w:name="_Toc15396608"/>
      <w:r>
        <w:rPr>
          <w:rStyle w:val="17"/>
          <w:rFonts w:hint="default" w:ascii="Times New Roman" w:hAnsi="Times New Roman" w:eastAsia="仿宋" w:cs="Times New Roman"/>
          <w:bCs/>
          <w:sz w:val="32"/>
          <w:szCs w:val="32"/>
          <w:highlight w:val="none"/>
          <w:lang w:val="en-US" w:eastAsia="zh-CN"/>
        </w:rPr>
        <w:t>1</w:t>
      </w:r>
      <w:r>
        <w:rPr>
          <w:rStyle w:val="17"/>
          <w:rFonts w:hint="default" w:ascii="Times New Roman" w:hAnsi="Times New Roman" w:eastAsia="仿宋" w:cs="Times New Roman"/>
          <w:bCs/>
          <w:sz w:val="32"/>
          <w:szCs w:val="32"/>
          <w:highlight w:val="none"/>
        </w:rPr>
        <w:t>.社会保障和就业（类）</w:t>
      </w:r>
      <w:r>
        <w:rPr>
          <w:rStyle w:val="17"/>
          <w:rFonts w:hint="default" w:ascii="Times New Roman" w:hAnsi="Times New Roman" w:eastAsia="仿宋" w:cs="Times New Roman"/>
          <w:bCs/>
          <w:sz w:val="32"/>
          <w:szCs w:val="32"/>
          <w:highlight w:val="none"/>
          <w:lang w:eastAsia="zh-CN"/>
        </w:rPr>
        <w:t>行政事业单位</w:t>
      </w:r>
      <w:r>
        <w:rPr>
          <w:rStyle w:val="17"/>
          <w:rFonts w:hint="default" w:ascii="Times New Roman" w:hAnsi="Times New Roman" w:eastAsia="仿宋" w:cs="Times New Roman"/>
          <w:bCs/>
          <w:sz w:val="32"/>
          <w:szCs w:val="32"/>
          <w:highlight w:val="none"/>
        </w:rPr>
        <w:t>（款）</w:t>
      </w:r>
      <w:r>
        <w:rPr>
          <w:rStyle w:val="17"/>
          <w:rFonts w:hint="default" w:ascii="Times New Roman" w:hAnsi="Times New Roman" w:eastAsia="仿宋" w:cs="Times New Roman"/>
          <w:bCs/>
          <w:sz w:val="32"/>
          <w:szCs w:val="32"/>
          <w:highlight w:val="none"/>
          <w:lang w:eastAsia="zh-CN"/>
        </w:rPr>
        <w:t>机关事业单位基本养老保险缴费支付</w:t>
      </w:r>
      <w:r>
        <w:rPr>
          <w:rStyle w:val="17"/>
          <w:rFonts w:hint="default" w:ascii="Times New Roman" w:hAnsi="Times New Roman" w:eastAsia="仿宋" w:cs="Times New Roman"/>
          <w:bCs/>
          <w:sz w:val="32"/>
          <w:szCs w:val="32"/>
          <w:highlight w:val="none"/>
        </w:rPr>
        <w:t>（项）:</w:t>
      </w:r>
      <w:r>
        <w:rPr>
          <w:rStyle w:val="17"/>
          <w:rFonts w:hint="default" w:ascii="Times New Roman" w:hAnsi="Times New Roman" w:eastAsia="仿宋" w:cs="Times New Roman"/>
          <w:b w:val="0"/>
          <w:bCs/>
          <w:sz w:val="32"/>
          <w:szCs w:val="32"/>
          <w:highlight w:val="none"/>
        </w:rPr>
        <w:t xml:space="preserve"> </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9.83</w:t>
      </w:r>
      <w:r>
        <w:rPr>
          <w:rStyle w:val="17"/>
          <w:rFonts w:hint="default" w:ascii="Times New Roman" w:hAnsi="Times New Roman" w:eastAsia="仿宋" w:cs="Times New Roman"/>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p>
    <w:p>
      <w:pPr>
        <w:spacing w:line="600" w:lineRule="exact"/>
        <w:ind w:firstLine="643" w:firstLineChars="200"/>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lang w:val="en-US" w:eastAsia="zh-CN"/>
        </w:rPr>
        <w:t>2</w:t>
      </w:r>
      <w:r>
        <w:rPr>
          <w:rStyle w:val="17"/>
          <w:rFonts w:hint="default" w:ascii="Times New Roman" w:hAnsi="Times New Roman" w:eastAsia="仿宋" w:cs="Times New Roman"/>
          <w:bCs/>
          <w:sz w:val="32"/>
          <w:szCs w:val="32"/>
        </w:rPr>
        <w:t>.</w:t>
      </w:r>
      <w:r>
        <w:rPr>
          <w:rFonts w:hint="default" w:ascii="Times New Roman" w:hAnsi="Times New Roman" w:eastAsia="仿宋" w:cs="Times New Roman"/>
          <w:b/>
          <w:bCs/>
          <w:sz w:val="32"/>
          <w:szCs w:val="32"/>
        </w:rPr>
        <w:t>卫生健康</w:t>
      </w:r>
      <w:r>
        <w:rPr>
          <w:rStyle w:val="17"/>
          <w:rFonts w:hint="default" w:ascii="Times New Roman" w:hAnsi="Times New Roman" w:eastAsia="仿宋" w:cs="Times New Roman"/>
          <w:bCs/>
          <w:sz w:val="32"/>
          <w:szCs w:val="32"/>
        </w:rPr>
        <w:t>（类）</w:t>
      </w:r>
      <w:r>
        <w:rPr>
          <w:rStyle w:val="17"/>
          <w:rFonts w:hint="default" w:ascii="Times New Roman" w:hAnsi="Times New Roman" w:eastAsia="仿宋" w:cs="Times New Roman"/>
          <w:bCs/>
          <w:sz w:val="32"/>
          <w:szCs w:val="32"/>
          <w:lang w:eastAsia="zh-CN"/>
        </w:rPr>
        <w:t>卫生健康支出</w:t>
      </w:r>
      <w:r>
        <w:rPr>
          <w:rStyle w:val="17"/>
          <w:rFonts w:hint="default" w:ascii="Times New Roman" w:hAnsi="Times New Roman" w:eastAsia="仿宋" w:cs="Times New Roman"/>
          <w:bCs/>
          <w:sz w:val="32"/>
          <w:szCs w:val="32"/>
        </w:rPr>
        <w:t>（款）</w:t>
      </w:r>
      <w:r>
        <w:rPr>
          <w:rStyle w:val="17"/>
          <w:rFonts w:hint="default" w:ascii="Times New Roman" w:hAnsi="Times New Roman" w:eastAsia="仿宋" w:cs="Times New Roman"/>
          <w:bCs/>
          <w:sz w:val="32"/>
          <w:szCs w:val="32"/>
          <w:lang w:eastAsia="zh-CN"/>
        </w:rPr>
        <w:t>职工基本医疗保险缴费</w:t>
      </w:r>
      <w:r>
        <w:rPr>
          <w:rStyle w:val="17"/>
          <w:rFonts w:hint="default" w:ascii="Times New Roman" w:hAnsi="Times New Roman" w:eastAsia="仿宋" w:cs="Times New Roman"/>
          <w:bCs/>
          <w:sz w:val="32"/>
          <w:szCs w:val="32"/>
        </w:rPr>
        <w:t>（项）: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4.7</w:t>
      </w:r>
      <w:r>
        <w:rPr>
          <w:rStyle w:val="17"/>
          <w:rFonts w:hint="default" w:ascii="Times New Roman" w:hAnsi="Times New Roman" w:eastAsia="仿宋" w:cs="Times New Roman"/>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p>
    <w:p>
      <w:pPr>
        <w:spacing w:line="600" w:lineRule="exact"/>
        <w:ind w:firstLine="643" w:firstLineChars="200"/>
        <w:rPr>
          <w:rFonts w:hint="default" w:ascii="Times New Roman" w:hAnsi="Times New Roman" w:eastAsia="仿宋" w:cs="Times New Roman"/>
          <w:b/>
          <w:sz w:val="32"/>
          <w:szCs w:val="32"/>
        </w:rPr>
      </w:pPr>
      <w:r>
        <w:rPr>
          <w:rStyle w:val="17"/>
          <w:rFonts w:hint="default" w:ascii="Times New Roman" w:hAnsi="Times New Roman" w:eastAsia="仿宋" w:cs="Times New Roman"/>
          <w:bCs/>
          <w:sz w:val="32"/>
          <w:szCs w:val="32"/>
          <w:lang w:val="en-US" w:eastAsia="zh-CN"/>
        </w:rPr>
        <w:t>3</w:t>
      </w:r>
      <w:r>
        <w:rPr>
          <w:rStyle w:val="17"/>
          <w:rFonts w:hint="default" w:ascii="Times New Roman" w:hAnsi="Times New Roman" w:eastAsia="仿宋" w:cs="Times New Roman"/>
          <w:bCs/>
          <w:sz w:val="32"/>
          <w:szCs w:val="32"/>
        </w:rPr>
        <w:t>.</w:t>
      </w:r>
      <w:r>
        <w:rPr>
          <w:rFonts w:hint="default" w:ascii="Times New Roman" w:hAnsi="Times New Roman" w:eastAsia="仿宋" w:cs="Times New Roman"/>
          <w:b/>
          <w:bCs/>
          <w:sz w:val="32"/>
          <w:szCs w:val="32"/>
        </w:rPr>
        <w:t>卫生健康</w:t>
      </w:r>
      <w:r>
        <w:rPr>
          <w:rStyle w:val="17"/>
          <w:rFonts w:hint="default" w:ascii="Times New Roman" w:hAnsi="Times New Roman" w:eastAsia="仿宋" w:cs="Times New Roman"/>
          <w:bCs/>
          <w:sz w:val="32"/>
          <w:szCs w:val="32"/>
        </w:rPr>
        <w:t>（类）</w:t>
      </w:r>
      <w:r>
        <w:rPr>
          <w:rStyle w:val="17"/>
          <w:rFonts w:hint="default" w:ascii="Times New Roman" w:hAnsi="Times New Roman" w:eastAsia="仿宋" w:cs="Times New Roman"/>
          <w:bCs/>
          <w:sz w:val="32"/>
          <w:szCs w:val="32"/>
          <w:lang w:eastAsia="zh-CN"/>
        </w:rPr>
        <w:t>卫生健康支出</w:t>
      </w:r>
      <w:r>
        <w:rPr>
          <w:rStyle w:val="17"/>
          <w:rFonts w:hint="default" w:ascii="Times New Roman" w:hAnsi="Times New Roman" w:eastAsia="仿宋" w:cs="Times New Roman"/>
          <w:bCs/>
          <w:sz w:val="32"/>
          <w:szCs w:val="32"/>
        </w:rPr>
        <w:t>（款）</w:t>
      </w:r>
      <w:r>
        <w:rPr>
          <w:rStyle w:val="17"/>
          <w:rFonts w:hint="default" w:ascii="Times New Roman" w:hAnsi="Times New Roman" w:eastAsia="仿宋" w:cs="Times New Roman"/>
          <w:bCs/>
          <w:sz w:val="32"/>
          <w:szCs w:val="32"/>
          <w:lang w:eastAsia="zh-CN"/>
        </w:rPr>
        <w:t>公用医疗补助缴费</w:t>
      </w:r>
      <w:r>
        <w:rPr>
          <w:rStyle w:val="17"/>
          <w:rFonts w:hint="default" w:ascii="Times New Roman" w:hAnsi="Times New Roman" w:eastAsia="仿宋" w:cs="Times New Roman"/>
          <w:bCs/>
          <w:sz w:val="32"/>
          <w:szCs w:val="32"/>
        </w:rPr>
        <w:t>（项）:</w:t>
      </w:r>
      <w:r>
        <w:rPr>
          <w:rStyle w:val="17"/>
          <w:rFonts w:hint="default" w:ascii="Times New Roman" w:hAnsi="Times New Roman" w:eastAsia="仿宋" w:cs="Times New Roman"/>
          <w:b w:val="0"/>
          <w:bCs/>
          <w:sz w:val="32"/>
          <w:szCs w:val="32"/>
        </w:rPr>
        <w:t>支出决算为</w:t>
      </w:r>
      <w:r>
        <w:rPr>
          <w:rStyle w:val="17"/>
          <w:rFonts w:hint="default" w:ascii="Times New Roman" w:hAnsi="Times New Roman" w:eastAsia="仿宋" w:cs="Times New Roman"/>
          <w:b w:val="0"/>
          <w:bCs/>
          <w:sz w:val="32"/>
          <w:szCs w:val="32"/>
          <w:lang w:val="en-US" w:eastAsia="zh-CN"/>
        </w:rPr>
        <w:t>0.56</w:t>
      </w:r>
      <w:r>
        <w:rPr>
          <w:rStyle w:val="17"/>
          <w:rFonts w:hint="default" w:ascii="Times New Roman" w:hAnsi="Times New Roman" w:eastAsia="仿宋" w:cs="Times New Roman"/>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p>
    <w:p>
      <w:pPr>
        <w:spacing w:line="600" w:lineRule="exact"/>
        <w:ind w:firstLine="643" w:firstLineChars="200"/>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lang w:val="en-US" w:eastAsia="zh-CN"/>
        </w:rPr>
        <w:t>4</w:t>
      </w:r>
      <w:r>
        <w:rPr>
          <w:rStyle w:val="17"/>
          <w:rFonts w:hint="default" w:ascii="Times New Roman" w:hAnsi="Times New Roman" w:eastAsia="仿宋" w:cs="Times New Roman"/>
          <w:bCs/>
          <w:sz w:val="32"/>
          <w:szCs w:val="32"/>
        </w:rPr>
        <w:t>.自然资源海洋气象等支出（类）</w:t>
      </w:r>
      <w:r>
        <w:rPr>
          <w:rStyle w:val="17"/>
          <w:rFonts w:hint="default" w:ascii="Times New Roman" w:hAnsi="Times New Roman" w:eastAsia="仿宋" w:cs="Times New Roman"/>
          <w:bCs/>
          <w:sz w:val="32"/>
          <w:szCs w:val="32"/>
          <w:lang w:eastAsia="zh-CN"/>
        </w:rPr>
        <w:t>自然资源事务</w:t>
      </w:r>
      <w:r>
        <w:rPr>
          <w:rStyle w:val="17"/>
          <w:rFonts w:hint="default" w:ascii="Times New Roman" w:hAnsi="Times New Roman" w:eastAsia="仿宋" w:cs="Times New Roman"/>
          <w:bCs/>
          <w:sz w:val="32"/>
          <w:szCs w:val="32"/>
        </w:rPr>
        <w:t>（款）</w:t>
      </w:r>
      <w:r>
        <w:rPr>
          <w:rStyle w:val="17"/>
          <w:rFonts w:hint="default" w:ascii="Times New Roman" w:hAnsi="Times New Roman" w:eastAsia="仿宋" w:cs="Times New Roman"/>
          <w:bCs/>
          <w:sz w:val="32"/>
          <w:szCs w:val="32"/>
          <w:lang w:eastAsia="zh-CN"/>
        </w:rPr>
        <w:t>事业运行</w:t>
      </w:r>
      <w:r>
        <w:rPr>
          <w:rStyle w:val="17"/>
          <w:rFonts w:hint="default" w:ascii="Times New Roman" w:hAnsi="Times New Roman" w:eastAsia="仿宋" w:cs="Times New Roman"/>
          <w:bCs/>
          <w:sz w:val="32"/>
          <w:szCs w:val="32"/>
        </w:rPr>
        <w:t>（项）:</w:t>
      </w:r>
      <w:r>
        <w:rPr>
          <w:rStyle w:val="17"/>
          <w:rFonts w:hint="default" w:ascii="Times New Roman" w:hAnsi="Times New Roman" w:eastAsia="仿宋" w:cs="Times New Roman"/>
          <w:b w:val="0"/>
          <w:bCs/>
          <w:sz w:val="32"/>
          <w:szCs w:val="32"/>
        </w:rPr>
        <w:t xml:space="preserve"> 支出决算为</w:t>
      </w:r>
      <w:r>
        <w:rPr>
          <w:rStyle w:val="17"/>
          <w:rFonts w:hint="default" w:ascii="Times New Roman" w:hAnsi="Times New Roman" w:eastAsia="仿宋" w:cs="Times New Roman"/>
          <w:b w:val="0"/>
          <w:bCs/>
          <w:sz w:val="32"/>
          <w:szCs w:val="32"/>
          <w:lang w:val="en-US" w:eastAsia="zh-CN"/>
        </w:rPr>
        <w:t>92.04</w:t>
      </w:r>
      <w:r>
        <w:rPr>
          <w:rStyle w:val="17"/>
          <w:rFonts w:hint="default" w:ascii="Times New Roman" w:hAnsi="Times New Roman" w:eastAsia="仿宋" w:cs="Times New Roman"/>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p>
    <w:p>
      <w:pPr>
        <w:tabs>
          <w:tab w:val="right" w:pos="8306"/>
        </w:tabs>
        <w:spacing w:line="600" w:lineRule="exact"/>
        <w:ind w:firstLine="640"/>
        <w:outlineLvl w:val="1"/>
        <w:rPr>
          <w:rStyle w:val="17"/>
          <w:rFonts w:hint="default" w:ascii="Times New Roman" w:hAnsi="Times New Roman" w:eastAsia="仿宋" w:cs="Times New Roman"/>
          <w:b w:val="0"/>
          <w:bCs/>
          <w:sz w:val="32"/>
          <w:szCs w:val="32"/>
        </w:rPr>
      </w:pPr>
      <w:r>
        <w:rPr>
          <w:rStyle w:val="17"/>
          <w:rFonts w:hint="default" w:ascii="Times New Roman" w:hAnsi="Times New Roman" w:eastAsia="仿宋" w:cs="Times New Roman"/>
          <w:bCs/>
          <w:sz w:val="32"/>
          <w:szCs w:val="32"/>
          <w:lang w:val="en-US" w:eastAsia="zh-CN"/>
        </w:rPr>
        <w:t>5</w:t>
      </w:r>
      <w:r>
        <w:rPr>
          <w:rStyle w:val="17"/>
          <w:rFonts w:hint="default" w:ascii="Times New Roman" w:hAnsi="Times New Roman" w:eastAsia="仿宋" w:cs="Times New Roman"/>
          <w:bCs/>
          <w:sz w:val="32"/>
          <w:szCs w:val="32"/>
        </w:rPr>
        <w:t>.住房保障支出（类）</w:t>
      </w:r>
      <w:r>
        <w:rPr>
          <w:rStyle w:val="17"/>
          <w:rFonts w:hint="default" w:ascii="Times New Roman" w:hAnsi="Times New Roman" w:eastAsia="仿宋" w:cs="Times New Roman"/>
          <w:bCs/>
          <w:sz w:val="32"/>
          <w:szCs w:val="32"/>
          <w:lang w:eastAsia="zh-CN"/>
        </w:rPr>
        <w:t>住房改革支出</w:t>
      </w:r>
      <w:r>
        <w:rPr>
          <w:rStyle w:val="17"/>
          <w:rFonts w:hint="default" w:ascii="Times New Roman" w:hAnsi="Times New Roman" w:eastAsia="仿宋" w:cs="Times New Roman"/>
          <w:bCs/>
          <w:sz w:val="32"/>
          <w:szCs w:val="32"/>
        </w:rPr>
        <w:t>（款）</w:t>
      </w:r>
      <w:r>
        <w:rPr>
          <w:rStyle w:val="17"/>
          <w:rFonts w:hint="default" w:ascii="Times New Roman" w:hAnsi="Times New Roman" w:eastAsia="仿宋" w:cs="Times New Roman"/>
          <w:bCs/>
          <w:sz w:val="32"/>
          <w:szCs w:val="32"/>
          <w:lang w:eastAsia="zh-CN"/>
        </w:rPr>
        <w:t>住房公积金</w:t>
      </w:r>
      <w:r>
        <w:rPr>
          <w:rStyle w:val="17"/>
          <w:rFonts w:hint="default" w:ascii="Times New Roman" w:hAnsi="Times New Roman" w:eastAsia="仿宋" w:cs="Times New Roman"/>
          <w:bCs/>
          <w:sz w:val="32"/>
          <w:szCs w:val="32"/>
        </w:rPr>
        <w:t>（项）:</w:t>
      </w:r>
      <w:r>
        <w:rPr>
          <w:rStyle w:val="17"/>
          <w:rFonts w:hint="default" w:ascii="Times New Roman" w:hAnsi="Times New Roman" w:eastAsia="仿宋" w:cs="Times New Roman"/>
          <w:b w:val="0"/>
          <w:bCs/>
          <w:sz w:val="32"/>
          <w:szCs w:val="32"/>
        </w:rPr>
        <w:t xml:space="preserve"> 支出决算为</w:t>
      </w:r>
      <w:r>
        <w:rPr>
          <w:rStyle w:val="17"/>
          <w:rFonts w:hint="default" w:ascii="Times New Roman" w:hAnsi="Times New Roman" w:eastAsia="仿宋" w:cs="Times New Roman"/>
          <w:b w:val="0"/>
          <w:bCs/>
          <w:sz w:val="32"/>
          <w:szCs w:val="32"/>
          <w:lang w:val="en-US" w:eastAsia="zh-CN"/>
        </w:rPr>
        <w:t>10.17</w:t>
      </w:r>
      <w:r>
        <w:rPr>
          <w:rStyle w:val="17"/>
          <w:rFonts w:hint="default" w:ascii="Times New Roman" w:hAnsi="Times New Roman" w:eastAsia="仿宋" w:cs="Times New Roman"/>
          <w:b w:val="0"/>
          <w:bCs/>
          <w:sz w:val="32"/>
          <w:szCs w:val="32"/>
        </w:rPr>
        <w:t>万元，完成预算</w:t>
      </w:r>
      <w:r>
        <w:rPr>
          <w:rStyle w:val="17"/>
          <w:rFonts w:hint="default" w:ascii="Times New Roman" w:hAnsi="Times New Roman"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p>
    <w:p>
      <w:pPr>
        <w:tabs>
          <w:tab w:val="right" w:pos="8306"/>
        </w:tabs>
        <w:spacing w:line="600" w:lineRule="exact"/>
        <w:ind w:firstLine="640"/>
        <w:outlineLvl w:val="1"/>
        <w:rPr>
          <w:rStyle w:val="29"/>
          <w:rFonts w:hint="default" w:ascii="Times New Roman" w:hAnsi="Times New Roman" w:cs="Times New Roman"/>
        </w:rPr>
      </w:pPr>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9"/>
          <w:rFonts w:hint="default" w:ascii="Times New Roman" w:hAnsi="Times New Roman" w:eastAsia="黑体" w:cs="Times New Roman"/>
          <w:b w:val="0"/>
        </w:rPr>
        <w:t>般公共预算财政拨款基本支出决算情况说明</w:t>
      </w:r>
      <w:bookmarkEnd w:id="33"/>
      <w:bookmarkEnd w:id="34"/>
      <w:r>
        <w:rPr>
          <w:rStyle w:val="29"/>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bookmarkStart w:id="35" w:name="_Toc15396609"/>
      <w:bookmarkStart w:id="36" w:name="_Toc15377215"/>
      <w:r>
        <w:rPr>
          <w:rFonts w:hint="default" w:ascii="Times New Roman" w:hAnsi="Times New Roman" w:eastAsia="仿宋" w:cs="Times New Roman"/>
          <w:sz w:val="32"/>
          <w:szCs w:val="32"/>
        </w:rPr>
        <w:t>2022年一般公共预算财政拨款基本支出</w:t>
      </w:r>
      <w:r>
        <w:rPr>
          <w:rFonts w:hint="default" w:ascii="Times New Roman" w:hAnsi="Times New Roman" w:eastAsia="仿宋" w:cs="Times New Roman"/>
          <w:sz w:val="32"/>
          <w:szCs w:val="32"/>
          <w:lang w:val="en-US" w:eastAsia="zh-CN"/>
        </w:rPr>
        <w:t>117.3</w:t>
      </w:r>
      <w:r>
        <w:rPr>
          <w:rFonts w:hint="default" w:ascii="Times New Roman" w:hAnsi="Times New Roman" w:eastAsia="仿宋" w:cs="Times New Roman"/>
          <w:sz w:val="32"/>
          <w:szCs w:val="32"/>
        </w:rPr>
        <w:t>万元，其中：</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sz w:val="32"/>
          <w:szCs w:val="32"/>
          <w:lang w:val="en-US" w:eastAsia="zh-CN"/>
        </w:rPr>
        <w:t>113.8</w:t>
      </w:r>
      <w:r>
        <w:rPr>
          <w:rFonts w:hint="default" w:ascii="Times New Roman" w:hAnsi="Times New Roman" w:eastAsia="仿宋" w:cs="Times New Roman"/>
          <w:sz w:val="32"/>
          <w:szCs w:val="32"/>
        </w:rPr>
        <w:t>万元，主要包括：基本工资、津贴补贴、机关事业单位基本养老保险缴费、职工基本医疗保险缴费、公务员医疗补助缴费、其他社会保障缴费、住房公积金、其他工资福利支出。</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eastAsia="仿宋" w:cs="Times New Roman"/>
          <w:sz w:val="32"/>
          <w:szCs w:val="32"/>
          <w:lang w:val="en-US" w:eastAsia="zh-CN"/>
        </w:rPr>
        <w:t>3.49</w:t>
      </w:r>
      <w:r>
        <w:rPr>
          <w:rFonts w:hint="default" w:ascii="Times New Roman" w:hAnsi="Times New Roman" w:eastAsia="仿宋" w:cs="Times New Roman"/>
          <w:sz w:val="32"/>
          <w:szCs w:val="32"/>
        </w:rPr>
        <w:t>万元，主要包括：办公费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差旅费、工会经费。</w:t>
      </w:r>
    </w:p>
    <w:p>
      <w:pPr>
        <w:spacing w:line="600" w:lineRule="exact"/>
        <w:ind w:firstLine="640"/>
        <w:outlineLvl w:val="1"/>
        <w:rPr>
          <w:rStyle w:val="29"/>
          <w:rFonts w:hint="default" w:ascii="Times New Roman" w:hAnsi="Times New Roman" w:eastAsia="黑体" w:cs="Times New Roman"/>
          <w:b w:val="0"/>
        </w:rPr>
      </w:pPr>
      <w:r>
        <w:rPr>
          <w:rFonts w:hint="default" w:ascii="Times New Roman" w:hAnsi="Times New Roman" w:eastAsia="黑体" w:cs="Times New Roman"/>
          <w:color w:val="000000"/>
          <w:sz w:val="32"/>
          <w:szCs w:val="32"/>
        </w:rPr>
        <w:t>七、</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三公”经费财政拨款支出决算情况说明</w:t>
      </w:r>
      <w:bookmarkEnd w:id="35"/>
      <w:bookmarkEnd w:id="36"/>
    </w:p>
    <w:p>
      <w:pPr>
        <w:spacing w:line="600" w:lineRule="exact"/>
        <w:ind w:firstLine="640"/>
        <w:outlineLvl w:val="2"/>
        <w:rPr>
          <w:rFonts w:hint="default" w:ascii="Times New Roman" w:hAnsi="Times New Roman" w:eastAsia="仿宋" w:cs="Times New Roman"/>
          <w:b/>
          <w:sz w:val="32"/>
          <w:szCs w:val="32"/>
        </w:rPr>
      </w:pPr>
      <w:bookmarkStart w:id="37" w:name="_Toc15377216"/>
      <w:bookmarkStart w:id="38" w:name="_Toc15377217"/>
      <w:r>
        <w:rPr>
          <w:rFonts w:hint="default" w:ascii="Times New Roman" w:hAnsi="Times New Roman" w:eastAsia="仿宋" w:cs="Times New Roman"/>
          <w:b/>
          <w:sz w:val="32"/>
          <w:szCs w:val="32"/>
        </w:rPr>
        <w:t>（一）“三公”经费财政拨款支出决算总体情况说明</w:t>
      </w:r>
      <w:bookmarkEnd w:id="37"/>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万元，完成预算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%，较上年增加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%。决算数小于预算数（或与预算数持平）的主要原因是</w:t>
      </w:r>
      <w:r>
        <w:rPr>
          <w:rFonts w:hint="default" w:ascii="Times New Roman" w:hAnsi="Times New Roman" w:eastAsia="仿宋" w:cs="Times New Roman"/>
          <w:sz w:val="32"/>
          <w:szCs w:val="32"/>
          <w:lang w:eastAsia="zh-CN"/>
        </w:rPr>
        <w:t>无“三公”经费支出</w:t>
      </w:r>
      <w:r>
        <w:rPr>
          <w:rFonts w:hint="default" w:ascii="Times New Roman" w:hAnsi="Times New Roman" w:eastAsia="仿宋" w:cs="Times New Roman"/>
          <w:sz w:val="32"/>
          <w:szCs w:val="32"/>
        </w:rPr>
        <w:t>。</w:t>
      </w:r>
    </w:p>
    <w:bookmarkEnd w:id="38"/>
    <w:p>
      <w:pPr>
        <w:spacing w:line="600" w:lineRule="exact"/>
        <w:ind w:firstLine="64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（二）“三公”经费财政拨款支出决算具体情况说明</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2022年“三公”经费财政拨款支出决算中，因公出国（境）费支出决算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%；公务用车购置及运行维护费支出决算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%；公务接待费支出决算</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%。具体情况如下：</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sz w:val="32"/>
          <w:szCs w:val="32"/>
          <w:lang w:val="en-US" w:eastAsia="zh-CN"/>
        </w:rPr>
        <w:t>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人。因公出国（境）支出决算比2021年增加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%。主要原因是</w:t>
      </w:r>
      <w:r>
        <w:rPr>
          <w:rFonts w:hint="default" w:ascii="Times New Roman" w:hAnsi="Times New Roman" w:eastAsia="仿宋" w:cs="Times New Roman"/>
          <w:sz w:val="32"/>
          <w:szCs w:val="32"/>
          <w:lang w:eastAsia="zh-CN"/>
        </w:rPr>
        <w:t>无“三公”经费支出</w:t>
      </w:r>
      <w:r>
        <w:rPr>
          <w:rFonts w:hint="default" w:ascii="Times New Roman" w:hAnsi="Times New Roman" w:eastAsia="仿宋_GB2312" w:cs="Times New Roman"/>
          <w:sz w:val="32"/>
          <w:szCs w:val="32"/>
        </w:rPr>
        <w:t>。</w:t>
      </w:r>
    </w:p>
    <w:p>
      <w:pPr>
        <w:spacing w:line="600" w:lineRule="exact"/>
        <w:ind w:firstLine="640"/>
        <w:rPr>
          <w:rFonts w:hint="default" w:ascii="Times New Roman" w:hAnsi="Times New Roman" w:eastAsia="仿宋_GB2312" w:cs="Times New Roman"/>
          <w:b/>
          <w:sz w:val="32"/>
          <w:szCs w:val="32"/>
        </w:rPr>
      </w:pPr>
      <w:bookmarkStart w:id="39" w:name="_Toc15377218"/>
      <w:bookmarkStart w:id="40" w:name="_Toc15396610"/>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sz w:val="32"/>
          <w:szCs w:val="32"/>
          <w:lang w:val="en-US" w:eastAsia="zh-CN"/>
        </w:rPr>
        <w:t>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公务用车购置及运行维护费支出决算比2021年增加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%。主要原因是</w:t>
      </w:r>
      <w:r>
        <w:rPr>
          <w:rFonts w:hint="default" w:ascii="Times New Roman" w:hAnsi="Times New Roman" w:eastAsia="仿宋" w:cs="Times New Roman"/>
          <w:sz w:val="32"/>
          <w:szCs w:val="32"/>
          <w:lang w:eastAsia="zh-CN"/>
        </w:rPr>
        <w:t>无“三公”经费支出</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。截至2022年12月底，单位共有公务用车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sz w:val="32"/>
          <w:szCs w:val="32"/>
          <w:lang w:val="en-US" w:eastAsia="zh-CN"/>
        </w:rPr>
        <w:t>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公务接待费支出决算比2021年增加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%。主要原因是</w:t>
      </w:r>
      <w:r>
        <w:rPr>
          <w:rFonts w:hint="default" w:ascii="Times New Roman" w:hAnsi="Times New Roman" w:eastAsia="仿宋" w:cs="Times New Roman"/>
          <w:sz w:val="32"/>
          <w:szCs w:val="32"/>
          <w:lang w:eastAsia="zh-CN"/>
        </w:rPr>
        <w:t>无“三公”经费支出</w:t>
      </w:r>
      <w:r>
        <w:rPr>
          <w:rFonts w:hint="default" w:ascii="Times New Roman" w:hAnsi="Times New Roman" w:eastAsia="仿宋_GB2312" w:cs="Times New Roman"/>
          <w:sz w:val="32"/>
          <w:szCs w:val="32"/>
        </w:rPr>
        <w:t>。其中：</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sz w:val="32"/>
          <w:szCs w:val="32"/>
          <w:lang w:val="en-US" w:eastAsia="zh-CN"/>
        </w:rPr>
        <w:t>0</w:t>
      </w:r>
      <w:r>
        <w:rPr>
          <w:rFonts w:hint="default" w:ascii="Times New Roman" w:hAnsi="Times New Roman" w:eastAsia="仿宋_GB2312" w:cs="Times New Roman"/>
          <w:sz w:val="32"/>
          <w:szCs w:val="32"/>
        </w:rPr>
        <w:t>万元。国内公务接待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lang w:val="en-US" w:eastAsia="zh-CN"/>
        </w:rPr>
        <w:t>0</w:t>
      </w:r>
      <w:r>
        <w:rPr>
          <w:rFonts w:hint="default" w:ascii="Times New Roman" w:hAnsi="Times New Roman" w:eastAsia="仿宋_GB2312" w:cs="Times New Roman"/>
          <w:sz w:val="32"/>
          <w:szCs w:val="32"/>
        </w:rPr>
        <w:t>万元。</w:t>
      </w:r>
    </w:p>
    <w:p>
      <w:pPr>
        <w:spacing w:line="600" w:lineRule="exact"/>
        <w:ind w:firstLine="640"/>
        <w:outlineLvl w:val="1"/>
        <w:rPr>
          <w:rStyle w:val="29"/>
          <w:rFonts w:hint="default" w:ascii="Times New Roman" w:hAnsi="Times New Roman" w:eastAsia="黑体" w:cs="Times New Roman"/>
        </w:rPr>
      </w:pPr>
      <w:r>
        <w:rPr>
          <w:rFonts w:hint="default" w:ascii="Times New Roman" w:hAnsi="Times New Roman" w:eastAsia="黑体" w:cs="Times New Roman"/>
          <w:color w:val="000000"/>
          <w:sz w:val="32"/>
          <w:szCs w:val="32"/>
        </w:rPr>
        <w:t>八、</w:t>
      </w:r>
      <w:r>
        <w:rPr>
          <w:rStyle w:val="29"/>
          <w:rFonts w:hint="default" w:ascii="Times New Roman" w:hAnsi="Times New Roman" w:eastAsia="黑体" w:cs="Times New Roman"/>
          <w:b w:val="0"/>
        </w:rPr>
        <w:t>政府性基金预算支出决算情况说明</w:t>
      </w:r>
      <w:bookmarkEnd w:id="39"/>
      <w:bookmarkEnd w:id="40"/>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2022年政府性基金预算财政拨款支出</w:t>
      </w:r>
      <w:r>
        <w:rPr>
          <w:rFonts w:hint="default" w:ascii="Times New Roman" w:hAnsi="Times New Roman" w:eastAsia="仿宋_GB2312" w:cs="Times New Roman"/>
          <w:sz w:val="32"/>
          <w:szCs w:val="32"/>
          <w:lang w:val="en-US" w:eastAsia="zh-CN"/>
        </w:rPr>
        <w:t>2186.25</w:t>
      </w:r>
      <w:r>
        <w:rPr>
          <w:rFonts w:hint="default" w:ascii="Times New Roman" w:hAnsi="Times New Roman" w:eastAsia="仿宋_GB2312" w:cs="Times New Roman"/>
          <w:sz w:val="32"/>
          <w:szCs w:val="32"/>
        </w:rPr>
        <w:t>万元。</w:t>
      </w:r>
    </w:p>
    <w:p>
      <w:pPr>
        <w:pStyle w:val="2"/>
        <w:rPr>
          <w:rFonts w:hint="default" w:ascii="Times New Roman" w:hAnsi="Times New Roman" w:eastAsia="仿宋_GB2312" w:cs="Times New Roman"/>
          <w:color w:val="000000"/>
          <w:sz w:val="32"/>
          <w:szCs w:val="32"/>
        </w:rPr>
      </w:pPr>
      <w:r>
        <w:rPr>
          <w:rFonts w:hint="default" w:ascii="Times New Roman" w:hAnsi="Times New Roman" w:cs="Times New Roman"/>
          <w:sz w:val="32"/>
          <w:szCs w:val="32"/>
          <w:lang w:eastAsia="zh-CN"/>
        </w:rPr>
        <w:t>其中：城乡社区支出类国有土地使用权出让收入安排的支出款土地开发支出项</w:t>
      </w:r>
      <w:r>
        <w:rPr>
          <w:rFonts w:hint="default" w:ascii="Times New Roman" w:hAnsi="Times New Roman" w:cs="Times New Roman"/>
          <w:sz w:val="32"/>
          <w:szCs w:val="32"/>
          <w:lang w:val="en-US" w:eastAsia="zh-CN"/>
        </w:rPr>
        <w:t>1886.38万元；</w:t>
      </w:r>
      <w:r>
        <w:rPr>
          <w:rFonts w:hint="default" w:ascii="Times New Roman" w:hAnsi="Times New Roman" w:cs="Times New Roman"/>
          <w:sz w:val="32"/>
          <w:szCs w:val="32"/>
          <w:lang w:eastAsia="zh-CN"/>
        </w:rPr>
        <w:t>城乡社区支出类国有土地使用权出让收入安排的支出款农业生产发展支出项</w:t>
      </w:r>
      <w:r>
        <w:rPr>
          <w:rFonts w:hint="default" w:ascii="Times New Roman" w:hAnsi="Times New Roman" w:cs="Times New Roman"/>
          <w:sz w:val="32"/>
          <w:szCs w:val="32"/>
          <w:lang w:val="en-US" w:eastAsia="zh-CN"/>
        </w:rPr>
        <w:t>299.87万元。</w:t>
      </w:r>
    </w:p>
    <w:p>
      <w:pPr>
        <w:spacing w:line="600" w:lineRule="exact"/>
        <w:ind w:firstLine="640" w:firstLineChars="200"/>
        <w:outlineLvl w:val="1"/>
        <w:rPr>
          <w:rStyle w:val="29"/>
          <w:rFonts w:hint="default" w:ascii="Times New Roman" w:hAnsi="Times New Roman" w:eastAsia="黑体" w:cs="Times New Roman"/>
          <w:b w:val="0"/>
        </w:rPr>
      </w:pPr>
      <w:bookmarkStart w:id="41" w:name="_Toc15377219"/>
      <w:bookmarkStart w:id="42" w:name="_Toc15396611"/>
      <w:r>
        <w:rPr>
          <w:rStyle w:val="29"/>
          <w:rFonts w:hint="default" w:ascii="Times New Roman" w:hAnsi="Times New Roman" w:eastAsia="黑体" w:cs="Times New Roman"/>
          <w:b w:val="0"/>
        </w:rPr>
        <w:t>九、国有资本经营预算支出决算情况说明</w:t>
      </w:r>
      <w:bookmarkEnd w:id="41"/>
      <w:bookmarkEnd w:id="42"/>
    </w:p>
    <w:p>
      <w:pPr>
        <w:spacing w:line="600" w:lineRule="exact"/>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年国有资本经营预算拨款支出0万元。</w:t>
      </w:r>
    </w:p>
    <w:p>
      <w:pPr>
        <w:spacing w:line="600" w:lineRule="exact"/>
        <w:ind w:firstLine="640" w:firstLineChars="200"/>
        <w:outlineLvl w:val="1"/>
        <w:rPr>
          <w:rStyle w:val="29"/>
          <w:rFonts w:hint="default" w:ascii="Times New Roman" w:hAnsi="Times New Roman" w:eastAsia="黑体" w:cs="Times New Roman"/>
        </w:rPr>
      </w:pPr>
      <w:bookmarkStart w:id="43" w:name="_Toc15377221"/>
      <w:bookmarkStart w:id="44" w:name="_Toc15396612"/>
      <w:r>
        <w:rPr>
          <w:rFonts w:hint="default" w:ascii="Times New Roman" w:hAnsi="Times New Roman" w:eastAsia="黑体" w:cs="Times New Roman"/>
          <w:color w:val="000000"/>
          <w:sz w:val="32"/>
          <w:szCs w:val="32"/>
        </w:rPr>
        <w:t>十</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其他重要事项的情况说明</w:t>
      </w:r>
      <w:bookmarkEnd w:id="43"/>
      <w:bookmarkEnd w:id="44"/>
    </w:p>
    <w:p>
      <w:pPr>
        <w:spacing w:line="600" w:lineRule="exact"/>
        <w:ind w:firstLine="643" w:firstLineChars="200"/>
        <w:outlineLvl w:val="2"/>
        <w:rPr>
          <w:rFonts w:hint="default" w:ascii="Times New Roman" w:hAnsi="Times New Roman" w:eastAsia="仿宋" w:cs="Times New Roman"/>
          <w:color w:val="000000"/>
          <w:sz w:val="32"/>
          <w:szCs w:val="32"/>
        </w:rPr>
      </w:pPr>
      <w:bookmarkStart w:id="45" w:name="_Toc15377222"/>
      <w:r>
        <w:rPr>
          <w:rFonts w:hint="default" w:ascii="Times New Roman" w:hAnsi="Times New Roman" w:eastAsia="仿宋" w:cs="Times New Roman"/>
          <w:b/>
          <w:color w:val="000000"/>
          <w:sz w:val="32"/>
          <w:szCs w:val="32"/>
        </w:rPr>
        <w:t>（一）机关运行经费支出情况</w:t>
      </w:r>
      <w:bookmarkEnd w:id="45"/>
    </w:p>
    <w:p>
      <w:pPr>
        <w:autoSpaceDE w:val="0"/>
        <w:autoSpaceDN w:val="0"/>
        <w:adjustRightInd w:val="0"/>
        <w:spacing w:line="600" w:lineRule="exact"/>
        <w:ind w:firstLine="640" w:firstLineChars="200"/>
        <w:jc w:val="left"/>
        <w:outlineLvl w:val="2"/>
        <w:rPr>
          <w:rFonts w:hint="default" w:ascii="Times New Roman" w:hAnsi="Times New Roman" w:eastAsia="仿宋_GB2312" w:cs="Times New Roman"/>
          <w:sz w:val="32"/>
          <w:szCs w:val="32"/>
        </w:rPr>
      </w:pPr>
      <w:bookmarkStart w:id="46" w:name="_Toc15377223"/>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攀枝花市西区土地储备中心</w:t>
      </w:r>
      <w:r>
        <w:rPr>
          <w:rFonts w:hint="default" w:ascii="Times New Roman" w:hAnsi="Times New Roman" w:eastAsia="仿宋_GB2312" w:cs="Times New Roman"/>
          <w:sz w:val="32"/>
          <w:szCs w:val="32"/>
        </w:rPr>
        <w:t>机关运行经费支出</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（二）政府采购支出情况</w:t>
      </w:r>
      <w:bookmarkEnd w:id="46"/>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攀枝花市西区土地储备中心</w:t>
      </w:r>
      <w:r>
        <w:rPr>
          <w:rFonts w:hint="default" w:ascii="Times New Roman" w:hAnsi="Times New Roman" w:eastAsia="仿宋_GB2312" w:cs="Times New Roman"/>
          <w:color w:val="000000"/>
          <w:sz w:val="32"/>
          <w:szCs w:val="32"/>
        </w:rPr>
        <w:t>政府采购支出总额0万元。</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bookmarkStart w:id="47" w:name="_Toc15377224"/>
      <w:r>
        <w:rPr>
          <w:rFonts w:hint="default" w:ascii="Times New Roman" w:hAnsi="Times New Roman" w:eastAsia="仿宋" w:cs="Times New Roman"/>
          <w:b/>
          <w:color w:val="000000"/>
          <w:sz w:val="32"/>
          <w:szCs w:val="32"/>
        </w:rPr>
        <w:t>（三）国有资产占有使用情况</w:t>
      </w:r>
      <w:bookmarkEnd w:id="47"/>
    </w:p>
    <w:p>
      <w:pPr>
        <w:autoSpaceDE w:val="0"/>
        <w:autoSpaceDN w:val="0"/>
        <w:adjustRightInd w:val="0"/>
        <w:spacing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年12月31日，</w:t>
      </w:r>
      <w:r>
        <w:rPr>
          <w:rFonts w:hint="default" w:ascii="Times New Roman" w:hAnsi="Times New Roman" w:eastAsia="仿宋_GB2312" w:cs="Times New Roman"/>
          <w:color w:val="000000"/>
          <w:sz w:val="32"/>
          <w:szCs w:val="32"/>
          <w:lang w:eastAsia="zh-CN"/>
        </w:rPr>
        <w:t>攀枝花市西区土地储备中心</w:t>
      </w:r>
      <w:r>
        <w:rPr>
          <w:rFonts w:hint="default" w:ascii="Times New Roman" w:hAnsi="Times New Roman" w:eastAsia="仿宋_GB2312" w:cs="Times New Roman"/>
          <w:color w:val="000000"/>
          <w:sz w:val="32"/>
          <w:szCs w:val="32"/>
        </w:rPr>
        <w:t>共有车辆0辆。</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（四）预算绩效管理情况。</w:t>
      </w:r>
    </w:p>
    <w:p>
      <w:pPr>
        <w:tabs>
          <w:tab w:val="left" w:pos="312"/>
        </w:tabs>
        <w:spacing w:line="580" w:lineRule="exact"/>
        <w:ind w:firstLine="640" w:firstLineChars="200"/>
        <w:rPr>
          <w:rFonts w:hint="default" w:ascii="Times New Roman" w:hAnsi="Times New Roman" w:eastAsia="仿宋_GB2312" w:cs="Times New Roman"/>
          <w:color w:val="auto"/>
          <w:kern w:val="0"/>
          <w:sz w:val="32"/>
          <w:szCs w:val="32"/>
          <w:lang w:val="en-US" w:eastAsia="zh-CN" w:bidi="ar-SA"/>
        </w:rPr>
      </w:pPr>
      <w:bookmarkStart w:id="48" w:name="_Toc15396614"/>
      <w:bookmarkStart w:id="49" w:name="_Toc15377226"/>
      <w:r>
        <w:rPr>
          <w:rFonts w:hint="default" w:ascii="Times New Roman" w:hAnsi="Times New Roman" w:eastAsia="仿宋_GB2312" w:cs="Times New Roman"/>
          <w:color w:val="auto"/>
          <w:kern w:val="0"/>
          <w:sz w:val="32"/>
          <w:szCs w:val="32"/>
          <w:lang w:val="en-US" w:eastAsia="zh-CN" w:bidi="ar-SA"/>
        </w:rPr>
        <w:t>根据预算绩效管理要求，本部门在2022年度预算编制阶段，组织对土地出让前期涉及土地地价评估及勘测定界费用项目、农村土地征收专项经费项目、达海现代物流园项目土地收储经费项目、庄上农村土地征收项目、云南省金沙江木材水运局土地储备项目、金桥村三组2021-X3#宗地农村土地征收专项经费项目、庄上梅子箐彝家水寨新村乡村旅游示范点建设项目遗留村民搬迁补偿安置经费项目、西区大水井新区内部道路B4线建设项目涉及农村集体土地及地上附着物补偿安置经费项目、攀枝花达海现代物流园项目宗地内电力线路及设施迁改还建工程相关费用项目、农村集体土地征收生产生活安置资金项目、西区大水井新区内部道路B4线建设项目涉及供水供电设施迁改经费项目、耕地占用税及滞纳金项目、大水井新区内部道路B4线第一期协议补偿款项目、市公安局西区分局原家属楼拆迁过渡费项目、大水井新区内部道路B4线河门口水厂营业厅第二期协议补偿款项目、攀枝花市2022年第8批城市建设用地林地使用手续费用项目、攀枝花市西区格里坪加气站及青乌线加气站红线内征地还建电力设施工程项目经费项目、云南省金沙江木材水运局土地储备项目剩余协议补偿款二期项目、蜀物智慧现代产业园项目宗地涉及一台315kVA变压器迁改经费项目等19个项目开展了预算事前绩效评估，对19个项目编制了绩效目标，预算执行过程中，选取19个项目开展绩效监控。组织对19个项目开展绩效自评，绩效自评表详见第四部分附件。</w:t>
      </w:r>
    </w:p>
    <w:p>
      <w:pPr>
        <w:widowControl/>
        <w:jc w:val="center"/>
        <w:rPr>
          <w:rStyle w:val="28"/>
          <w:rFonts w:hint="default" w:ascii="Times New Roman" w:hAnsi="Times New Roman" w:eastAsia="黑体" w:cs="Times New Roman"/>
        </w:rPr>
      </w:pPr>
      <w:bookmarkStart w:id="50" w:name="_Toc15396613"/>
      <w:bookmarkStart w:id="51" w:name="_Toc15377225"/>
    </w:p>
    <w:p>
      <w:pPr>
        <w:widowControl/>
        <w:jc w:val="center"/>
        <w:rPr>
          <w:rStyle w:val="28"/>
          <w:rFonts w:hint="default" w:ascii="Times New Roman" w:hAnsi="Times New Roman" w:eastAsia="黑体" w:cs="Times New Roman"/>
          <w:b w:val="0"/>
        </w:rPr>
      </w:pPr>
      <w:r>
        <w:rPr>
          <w:rStyle w:val="28"/>
          <w:rFonts w:hint="default" w:ascii="Times New Roman" w:hAnsi="Times New Roman" w:eastAsia="黑体" w:cs="Times New Roman"/>
        </w:rPr>
        <w:t xml:space="preserve">第三部分 </w:t>
      </w:r>
      <w:r>
        <w:rPr>
          <w:rStyle w:val="28"/>
          <w:rFonts w:hint="default" w:ascii="Times New Roman" w:hAnsi="Times New Roman" w:cs="Times New Roman"/>
        </w:rPr>
        <w:t>名</w:t>
      </w:r>
      <w:r>
        <w:rPr>
          <w:rStyle w:val="28"/>
          <w:rFonts w:hint="default" w:ascii="Times New Roman" w:hAnsi="Times New Roman" w:eastAsia="黑体" w:cs="Times New Roman"/>
          <w:b w:val="0"/>
        </w:rPr>
        <w:t>词解释</w:t>
      </w:r>
      <w:bookmarkEnd w:id="50"/>
      <w:bookmarkEnd w:id="51"/>
    </w:p>
    <w:p>
      <w:pPr>
        <w:spacing w:line="600" w:lineRule="exact"/>
        <w:jc w:val="left"/>
        <w:rPr>
          <w:rFonts w:hint="default" w:ascii="Times New Roman" w:hAnsi="Times New Roman" w:cs="Times New Roman"/>
          <w:b/>
          <w:color w:val="000000"/>
          <w:sz w:val="44"/>
          <w:szCs w:val="44"/>
        </w:rPr>
      </w:pP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2.政府性基金预算财政拨款收入：单位从同级财政部门取得的</w:t>
      </w:r>
      <w:r>
        <w:rPr>
          <w:rFonts w:hint="default" w:ascii="Times New Roman" w:hAnsi="Times New Roman" w:eastAsia="仿宋_GB2312" w:cs="Times New Roman"/>
          <w:color w:val="auto"/>
          <w:sz w:val="32"/>
          <w:szCs w:val="32"/>
          <w:lang w:eastAsia="zh-CN"/>
        </w:rPr>
        <w:t>用于国有土地使用权出让安排的支出收入，如土地开发支出、农业生产发展支出</w:t>
      </w:r>
      <w:r>
        <w:rPr>
          <w:rFonts w:hint="default" w:ascii="Times New Roman" w:hAnsi="Times New Roman" w:eastAsia="仿宋_GB2312" w:cs="Times New Roman"/>
          <w:color w:val="auto"/>
          <w:sz w:val="32"/>
          <w:szCs w:val="32"/>
        </w:rPr>
        <w:t>的收入。</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Style w:val="35"/>
          <w:rFonts w:hint="default" w:ascii="Times New Roman" w:hAnsi="Times New Roman" w:cs="Times New Roman"/>
        </w:rPr>
        <w:t>社会保障和就业支出（类）人力资源和社会保障管理事务（项）</w:t>
      </w:r>
      <w:r>
        <w:rPr>
          <w:rFonts w:hint="default" w:ascii="Times New Roman" w:hAnsi="Times New Roman" w:cs="Times New Roman"/>
          <w:color w:val="000000"/>
          <w:sz w:val="32"/>
          <w:szCs w:val="32"/>
        </w:rPr>
        <w:t>其他</w:t>
      </w:r>
      <w:r>
        <w:rPr>
          <w:rStyle w:val="35"/>
          <w:rFonts w:hint="default" w:ascii="Times New Roman" w:hAnsi="Times New Roman" w:cs="Times New Roman"/>
        </w:rPr>
        <w:t>人力资源和社会保障管理事务支出（项）：指用于社会保险业务管理的项目支出</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.卫生健康（类）</w:t>
      </w:r>
      <w:r>
        <w:rPr>
          <w:rFonts w:hint="default" w:ascii="Times New Roman" w:hAnsi="Times New Roman" w:eastAsia="仿宋_GB2312" w:cs="Times New Roman"/>
          <w:sz w:val="32"/>
          <w:szCs w:val="32"/>
          <w:lang w:eastAsia="zh-CN"/>
        </w:rPr>
        <w:t>卫生健康支出</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职工基本医疗保险缴费</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eastAsia="zh-CN"/>
        </w:rPr>
        <w:t>指用于单位医疗保险管理的项目支出</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.卫生健康（类）</w:t>
      </w:r>
      <w:r>
        <w:rPr>
          <w:rFonts w:hint="default" w:ascii="Times New Roman" w:hAnsi="Times New Roman" w:eastAsia="仿宋_GB2312" w:cs="Times New Roman"/>
          <w:sz w:val="32"/>
          <w:szCs w:val="32"/>
          <w:lang w:eastAsia="zh-CN"/>
        </w:rPr>
        <w:t>卫生健康支出</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公用医疗补助缴费</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eastAsia="zh-CN"/>
        </w:rPr>
        <w:t>指用于单位公用医疗补助缴费管理的项目支出</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8.城乡社区（类）</w:t>
      </w:r>
      <w:r>
        <w:rPr>
          <w:rFonts w:hint="default" w:ascii="Times New Roman" w:hAnsi="Times New Roman" w:eastAsia="仿宋_GB2312" w:cs="Times New Roman"/>
          <w:sz w:val="32"/>
          <w:szCs w:val="32"/>
          <w:highlight w:val="none"/>
          <w:lang w:eastAsia="zh-CN"/>
        </w:rPr>
        <w:t>国有土地使用权出让收入安排的支出</w:t>
      </w:r>
      <w:r>
        <w:rPr>
          <w:rFonts w:hint="default" w:ascii="Times New Roman" w:hAnsi="Times New Roman" w:eastAsia="仿宋_GB2312" w:cs="Times New Roman"/>
          <w:sz w:val="32"/>
          <w:szCs w:val="32"/>
          <w:highlight w:val="none"/>
        </w:rPr>
        <w:t>（款）</w:t>
      </w:r>
      <w:r>
        <w:rPr>
          <w:rFonts w:hint="default" w:ascii="Times New Roman" w:hAnsi="Times New Roman" w:eastAsia="仿宋_GB2312" w:cs="Times New Roman"/>
          <w:sz w:val="32"/>
          <w:szCs w:val="32"/>
          <w:highlight w:val="none"/>
          <w:lang w:eastAsia="zh-CN"/>
        </w:rPr>
        <w:t>土地开发支出</w:t>
      </w:r>
      <w:r>
        <w:rPr>
          <w:rFonts w:hint="default" w:ascii="Times New Roman" w:hAnsi="Times New Roman" w:eastAsia="仿宋_GB2312" w:cs="Times New Roman"/>
          <w:sz w:val="32"/>
          <w:szCs w:val="32"/>
          <w:highlight w:val="none"/>
        </w:rPr>
        <w:t>（项）：指</w:t>
      </w:r>
      <w:r>
        <w:rPr>
          <w:rFonts w:hint="default" w:ascii="Times New Roman" w:hAnsi="Times New Roman" w:eastAsia="仿宋_GB2312" w:cs="Times New Roman"/>
          <w:sz w:val="32"/>
          <w:szCs w:val="32"/>
          <w:highlight w:val="none"/>
          <w:lang w:eastAsia="zh-CN"/>
        </w:rPr>
        <w:t>用于国有土地开发方面的支出</w:t>
      </w:r>
      <w:r>
        <w:rPr>
          <w:rFonts w:hint="default" w:ascii="Times New Roman" w:hAnsi="Times New Roman" w:eastAsia="仿宋_GB2312" w:cs="Times New Roman"/>
          <w:sz w:val="32"/>
          <w:szCs w:val="32"/>
          <w:highlight w:val="none"/>
        </w:rPr>
        <w:t>。</w:t>
      </w:r>
    </w:p>
    <w:p>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.城乡社区（类）</w:t>
      </w:r>
      <w:r>
        <w:rPr>
          <w:rFonts w:hint="default" w:ascii="Times New Roman" w:hAnsi="Times New Roman" w:eastAsia="仿宋_GB2312" w:cs="Times New Roman"/>
          <w:sz w:val="32"/>
          <w:szCs w:val="32"/>
          <w:highlight w:val="none"/>
          <w:lang w:eastAsia="zh-CN"/>
        </w:rPr>
        <w:t>国有土地使用权出让收入安排的支出</w:t>
      </w:r>
      <w:r>
        <w:rPr>
          <w:rFonts w:hint="default" w:ascii="Times New Roman" w:hAnsi="Times New Roman" w:eastAsia="仿宋_GB2312" w:cs="Times New Roman"/>
          <w:sz w:val="32"/>
          <w:szCs w:val="32"/>
          <w:highlight w:val="none"/>
        </w:rPr>
        <w:t>（款）</w:t>
      </w:r>
      <w:r>
        <w:rPr>
          <w:rFonts w:hint="default" w:ascii="Times New Roman" w:hAnsi="Times New Roman" w:eastAsia="仿宋_GB2312" w:cs="Times New Roman"/>
          <w:sz w:val="32"/>
          <w:szCs w:val="32"/>
          <w:highlight w:val="none"/>
          <w:lang w:eastAsia="zh-CN"/>
        </w:rPr>
        <w:t>农业生产发展支出</w:t>
      </w:r>
      <w:r>
        <w:rPr>
          <w:rFonts w:hint="default" w:ascii="Times New Roman" w:hAnsi="Times New Roman" w:eastAsia="仿宋_GB2312" w:cs="Times New Roman"/>
          <w:sz w:val="32"/>
          <w:szCs w:val="32"/>
          <w:highlight w:val="none"/>
        </w:rPr>
        <w:t>（项）：指</w:t>
      </w:r>
      <w:r>
        <w:rPr>
          <w:rFonts w:hint="default" w:ascii="Times New Roman" w:hAnsi="Times New Roman" w:eastAsia="仿宋_GB2312" w:cs="Times New Roman"/>
          <w:sz w:val="32"/>
          <w:szCs w:val="32"/>
          <w:highlight w:val="none"/>
          <w:lang w:eastAsia="zh-CN"/>
        </w:rPr>
        <w:t>用于国有土地开发中涉及农业生产发展方面的支出</w:t>
      </w:r>
      <w:r>
        <w:rPr>
          <w:rFonts w:hint="default" w:ascii="Times New Roman" w:hAnsi="Times New Roman" w:eastAsia="仿宋_GB2312" w:cs="Times New Roman"/>
          <w:sz w:val="32"/>
          <w:szCs w:val="32"/>
          <w:highlight w:val="none"/>
        </w:rPr>
        <w:t>。</w:t>
      </w:r>
    </w:p>
    <w:p>
      <w:pPr>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.自然资源海洋气象等（类）（类）自然资源事务（款）事业运行（项）：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eastAsia="zh-CN"/>
        </w:rPr>
        <w:t>用于事业运行方面的支出，如事业人员基本工资、津贴补贴等</w:t>
      </w:r>
      <w:r>
        <w:rPr>
          <w:rFonts w:hint="default" w:ascii="Times New Roman" w:hAnsi="Times New Roman" w:eastAsia="仿宋_GB2312" w:cs="Times New Roman"/>
          <w:sz w:val="32"/>
          <w:szCs w:val="32"/>
          <w:highlight w:val="none"/>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.住房保障（类）</w:t>
      </w:r>
      <w:r>
        <w:rPr>
          <w:rStyle w:val="35"/>
          <w:rFonts w:hint="default" w:ascii="Times New Roman" w:hAnsi="Times New Roman" w:cs="Times New Roman"/>
        </w:rPr>
        <w:t>住房改革支出（款）住房公积金（项）：指按照《住房公积金管理条例》的规定，由单位及其在职职工缴存的长期住房储金。缴存比例最低不低于 5%，最高不超过 12%，缴存基数为职工本人上年工资</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Fonts w:hint="default" w:ascii="Times New Roman" w:hAnsi="Times New Roman" w:eastAsia="黑体" w:cs="Times New Roman"/>
          <w:color w:val="000000"/>
          <w:sz w:val="44"/>
          <w:szCs w:val="44"/>
        </w:rPr>
      </w:pPr>
    </w:p>
    <w:p>
      <w:pPr>
        <w:spacing w:line="600" w:lineRule="exact"/>
        <w:jc w:val="center"/>
        <w:outlineLvl w:val="0"/>
        <w:rPr>
          <w:rStyle w:val="28"/>
          <w:rFonts w:hint="default" w:ascii="Times New Roman" w:hAnsi="Times New Roman" w:eastAsia="黑体" w:cs="Times New Roman"/>
          <w:b w:val="0"/>
        </w:rPr>
      </w:pPr>
      <w:r>
        <w:rPr>
          <w:rFonts w:hint="default" w:ascii="Times New Roman" w:hAnsi="Times New Roman" w:eastAsia="黑体" w:cs="Times New Roman"/>
          <w:color w:val="000000"/>
          <w:sz w:val="44"/>
          <w:szCs w:val="44"/>
        </w:rPr>
        <w:t>第</w:t>
      </w:r>
      <w:r>
        <w:rPr>
          <w:rStyle w:val="28"/>
          <w:rFonts w:hint="default" w:ascii="Times New Roman" w:hAnsi="Times New Roman" w:eastAsia="黑体" w:cs="Times New Roman"/>
          <w:b w:val="0"/>
        </w:rPr>
        <w:t>四部分 附件</w:t>
      </w:r>
      <w:bookmarkEnd w:id="48"/>
    </w:p>
    <w:p>
      <w:pPr>
        <w:spacing w:line="580" w:lineRule="exact"/>
        <w:jc w:val="center"/>
        <w:rPr>
          <w:rFonts w:hint="default" w:ascii="Times New Roman" w:hAnsi="Times New Roman" w:eastAsia="方正小标宋简体" w:cs="Times New Roman"/>
          <w:sz w:val="44"/>
          <w:szCs w:val="44"/>
        </w:rPr>
      </w:pPr>
    </w:p>
    <w:p>
      <w:pPr>
        <w:spacing w:line="600" w:lineRule="exact"/>
        <w:jc w:val="center"/>
        <w:outlineLvl w:val="0"/>
        <w:rPr>
          <w:rFonts w:hint="default" w:ascii="Times New Roman" w:hAnsi="Times New Roman" w:eastAsia="黑体" w:cs="Times New Roman"/>
          <w:sz w:val="36"/>
          <w:szCs w:val="36"/>
        </w:rPr>
      </w:pPr>
      <w:bookmarkStart w:id="52" w:name="_Toc15396616"/>
      <w:r>
        <w:rPr>
          <w:rFonts w:hint="default" w:ascii="Times New Roman" w:hAnsi="Times New Roman" w:eastAsia="黑体" w:cs="Times New Roman"/>
          <w:sz w:val="36"/>
          <w:szCs w:val="36"/>
        </w:rPr>
        <w:t>攀枝花市西区土地储备中心</w:t>
      </w:r>
    </w:p>
    <w:p>
      <w:pPr>
        <w:spacing w:line="600" w:lineRule="exact"/>
        <w:jc w:val="center"/>
        <w:outlineLvl w:val="0"/>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202</w:t>
      </w:r>
      <w:r>
        <w:rPr>
          <w:rFonts w:hint="eastAsia" w:eastAsia="黑体" w:cs="Times New Roman"/>
          <w:sz w:val="36"/>
          <w:szCs w:val="36"/>
          <w:lang w:val="en-US" w:eastAsia="zh-CN"/>
        </w:rPr>
        <w:t>2</w:t>
      </w:r>
      <w:r>
        <w:rPr>
          <w:rFonts w:hint="default" w:ascii="Times New Roman" w:hAnsi="Times New Roman" w:eastAsia="黑体" w:cs="Times New Roman"/>
          <w:sz w:val="36"/>
          <w:szCs w:val="36"/>
        </w:rPr>
        <w:t>年</w:t>
      </w:r>
      <w:r>
        <w:rPr>
          <w:rFonts w:hint="default" w:ascii="Times New Roman" w:hAnsi="Times New Roman" w:eastAsia="黑体" w:cs="Times New Roman"/>
          <w:sz w:val="36"/>
          <w:szCs w:val="36"/>
          <w:lang w:eastAsia="zh-CN"/>
        </w:rPr>
        <w:t>省级</w:t>
      </w:r>
      <w:r>
        <w:rPr>
          <w:rFonts w:hint="default" w:ascii="Times New Roman" w:hAnsi="Times New Roman" w:eastAsia="黑体" w:cs="Times New Roman"/>
          <w:sz w:val="36"/>
          <w:szCs w:val="36"/>
        </w:rPr>
        <w:t>部门整体支出绩效评价报告</w:t>
      </w:r>
      <w:bookmarkEnd w:id="52"/>
    </w:p>
    <w:p>
      <w:pPr>
        <w:widowControl/>
        <w:adjustRightInd w:val="0"/>
        <w:snapToGrid w:val="0"/>
        <w:spacing w:line="580" w:lineRule="exact"/>
        <w:ind w:firstLine="480" w:firstLineChars="200"/>
        <w:contextualSpacing/>
        <w:jc w:val="left"/>
        <w:rPr>
          <w:rFonts w:hint="default" w:ascii="Times New Roman" w:hAnsi="Times New Roman" w:eastAsia="黑体" w:cs="Times New Roman"/>
          <w:color w:val="000000"/>
          <w:kern w:val="0"/>
          <w:sz w:val="24"/>
          <w:szCs w:val="32"/>
          <w:shd w:val="clear" w:color="auto" w:fill="FFFFFF"/>
        </w:rPr>
      </w:pPr>
    </w:p>
    <w:p>
      <w:pPr>
        <w:widowControl/>
        <w:numPr>
          <w:ilvl w:val="0"/>
          <w:numId w:val="1"/>
        </w:numPr>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lang w:val="zh-CN"/>
        </w:rPr>
        <w:t>部门基本情况</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（一）机构组成。</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default" w:ascii="Times New Roman" w:hAnsi="Times New Roman" w:eastAsia="楷体_GB2312" w:cs="Times New Roman"/>
          <w:b/>
          <w:bCs/>
          <w:kern w:val="0"/>
          <w:sz w:val="32"/>
          <w:szCs w:val="32"/>
          <w:shd w:val="clear" w:color="auto" w:fill="FFFFFF"/>
          <w:lang w:val="zh-CN"/>
        </w:rPr>
      </w:pPr>
      <w:r>
        <w:rPr>
          <w:rFonts w:hint="eastAsia" w:ascii="Times New Roman" w:hAnsi="Times New Roman" w:eastAsia="仿宋_GB2312" w:cs="Times New Roman"/>
          <w:sz w:val="32"/>
          <w:szCs w:val="32"/>
          <w:lang w:val="en-US" w:eastAsia="zh-CN"/>
        </w:rPr>
        <w:t>区土地储备中心内设3股1办，分别是集体土地征收股、国有土地上房屋征收股、储备土地管理股</w:t>
      </w: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val="en-US" w:eastAsia="zh-CN"/>
        </w:rPr>
        <w:t>办公室。</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（二）机构职能和人员概况。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区土地储备中心主要职能</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1.根据城市规划和土地利用总体规划，结合全区土地市场需求情况，草拟土地储备年度计划。 </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2.开展全区土地开发整理资源调查，对拟收购土地进行市场调查分析，草拟土地开发计划、收购和储备方案。 </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3.负责全区农村集体土地的征收拆迁补偿安置、收购及储备等事务性工作。 </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4.对按规定管理依法收回的违法用地、闲置荒芜土地、无主土地和置换土地等纳入储备土地范围，并对储备土地按规定进行管理。 </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5.根据规划部门的土地规划方案，拟订储备土地开发整理方案，负责组织实施全区储备土地的一级开发整理、工程招投标和工程进度及质量监督。 </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6.协助规划部门做好储备土地规划方案的优化，拟制储备土地出让计划。 </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7.严格执行土地收购储备资金管理规定，资金纳入区政府预决算。 </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8.做好储备土地招商引资和投入市场的前期准备工作。 </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9.负责国有土地上房屋征收与补偿相关工作，负责被征居民的过渡搬迁安置和征收房屋拆除，负责组织调查被征收居民基本情况及房屋情况，拟定搬迁安置计划，负责协调、指导和监督检查居民安置点设置。</w:t>
      </w:r>
    </w:p>
    <w:p>
      <w:pPr>
        <w:widowControl/>
        <w:adjustRightInd w:val="0"/>
        <w:snapToGrid w:val="0"/>
        <w:spacing w:line="560" w:lineRule="exact"/>
        <w:ind w:firstLine="640" w:firstLineChars="200"/>
        <w:contextualSpacing/>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10.承办区委、区政府交办的其他工作。</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default"/>
          <w:lang w:val="zh-CN"/>
        </w:rPr>
      </w:pPr>
      <w:r>
        <w:rPr>
          <w:rFonts w:hint="eastAsia" w:ascii="Times New Roman" w:hAnsi="Times New Roman" w:eastAsia="仿宋_GB2312" w:cs="Times New Roman"/>
          <w:sz w:val="32"/>
          <w:szCs w:val="32"/>
          <w:lang w:val="en-US" w:eastAsia="zh-CN"/>
        </w:rPr>
        <w:t>区土地储备中心设主任1名，副主任2名，核定事业编制11名，临聘编制5名；现实有人员11人，其中事业编制人员9人，临聘编制2人。</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（三）年度主要工作任务。</w:t>
      </w:r>
    </w:p>
    <w:p>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default"/>
          <w:lang w:val="zh-CN"/>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年攀枝花市西区土地储备中心主要开展土地</w:t>
      </w:r>
      <w:r>
        <w:rPr>
          <w:rFonts w:hint="default" w:ascii="Times New Roman" w:hAnsi="Times New Roman" w:eastAsia="仿宋_GB2312" w:cs="Times New Roman"/>
          <w:sz w:val="32"/>
          <w:szCs w:val="32"/>
          <w:highlight w:val="none"/>
          <w:lang w:val="en-US" w:eastAsia="zh-CN"/>
        </w:rPr>
        <w:t>前期涉及土地地价评估及勘测定界、</w:t>
      </w:r>
      <w:r>
        <w:rPr>
          <w:rFonts w:hint="default" w:ascii="Times New Roman" w:hAnsi="Times New Roman" w:eastAsia="仿宋_GB2312" w:cs="Times New Roman"/>
          <w:sz w:val="32"/>
          <w:szCs w:val="32"/>
          <w:highlight w:val="none"/>
        </w:rPr>
        <w:t>农村土地征收</w:t>
      </w:r>
      <w:r>
        <w:rPr>
          <w:rFonts w:hint="default"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rPr>
        <w:t>土地推荐。土地</w:t>
      </w:r>
      <w:r>
        <w:rPr>
          <w:rFonts w:hint="default" w:ascii="Times New Roman" w:hAnsi="Times New Roman" w:eastAsia="仿宋_GB2312" w:cs="Times New Roman"/>
          <w:sz w:val="32"/>
          <w:szCs w:val="32"/>
          <w:highlight w:val="none"/>
          <w:lang w:val="en-US" w:eastAsia="zh-CN"/>
        </w:rPr>
        <w:t>前期涉及土地地价评估及勘测定界</w:t>
      </w:r>
      <w:r>
        <w:rPr>
          <w:rFonts w:hint="default" w:ascii="Times New Roman" w:hAnsi="Times New Roman" w:eastAsia="仿宋_GB2312" w:cs="Times New Roman"/>
          <w:sz w:val="32"/>
          <w:szCs w:val="32"/>
          <w:highlight w:val="none"/>
        </w:rPr>
        <w:t>是将储备土地</w:t>
      </w:r>
      <w:r>
        <w:rPr>
          <w:rFonts w:hint="default" w:ascii="Times New Roman" w:hAnsi="Times New Roman" w:eastAsia="仿宋_GB2312" w:cs="Times New Roman"/>
          <w:sz w:val="32"/>
          <w:szCs w:val="32"/>
          <w:highlight w:val="none"/>
          <w:lang w:eastAsia="zh-CN"/>
        </w:rPr>
        <w:t>前期涉及</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eastAsia="zh-CN"/>
        </w:rPr>
        <w:t>土地地价评估及勘测定界</w:t>
      </w:r>
      <w:r>
        <w:rPr>
          <w:rFonts w:hint="default" w:ascii="Times New Roman" w:hAnsi="Times New Roman" w:eastAsia="仿宋_GB2312" w:cs="Times New Roman"/>
          <w:sz w:val="32"/>
          <w:szCs w:val="32"/>
          <w:highlight w:val="none"/>
        </w:rPr>
        <w:t>。农村土地征收</w:t>
      </w:r>
      <w:r>
        <w:rPr>
          <w:rFonts w:hint="default" w:ascii="Times New Roman" w:hAnsi="Times New Roman"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lang w:val="en-US" w:eastAsia="zh-CN"/>
        </w:rPr>
        <w:t>对</w:t>
      </w:r>
      <w:r>
        <w:rPr>
          <w:rFonts w:hint="default" w:ascii="Times New Roman" w:hAnsi="Times New Roman" w:eastAsia="仿宋_GB2312" w:cs="Times New Roman"/>
          <w:sz w:val="32"/>
          <w:szCs w:val="32"/>
          <w:highlight w:val="none"/>
        </w:rPr>
        <w:t>农村集体土地的征收拆迁补偿安置、收购及储备等事务性工作。主要内容包括对征收的农村集体土地进行测量测绘，</w:t>
      </w:r>
      <w:r>
        <w:rPr>
          <w:rFonts w:hint="default" w:ascii="Times New Roman" w:hAnsi="Times New Roman" w:eastAsia="仿宋_GB2312" w:cs="Times New Roman"/>
          <w:bCs/>
          <w:spacing w:val="-4"/>
          <w:sz w:val="32"/>
          <w:szCs w:val="32"/>
          <w:highlight w:val="none"/>
        </w:rPr>
        <w:t>确定征收土地红线范围，对被</w:t>
      </w:r>
      <w:r>
        <w:rPr>
          <w:rFonts w:hint="default" w:ascii="Times New Roman" w:hAnsi="Times New Roman" w:eastAsia="仿宋_GB2312" w:cs="Times New Roman"/>
          <w:sz w:val="32"/>
          <w:szCs w:val="32"/>
          <w:highlight w:val="none"/>
        </w:rPr>
        <w:t>征收的农村集体土地上附着物、建构筑物等开展调查、补偿、拆迁工作，</w:t>
      </w:r>
      <w:r>
        <w:rPr>
          <w:rFonts w:hint="default" w:ascii="Times New Roman" w:hAnsi="Times New Roman" w:eastAsia="仿宋_GB2312" w:cs="Times New Roman"/>
          <w:bCs/>
          <w:spacing w:val="-4"/>
          <w:sz w:val="32"/>
          <w:szCs w:val="32"/>
          <w:highlight w:val="none"/>
        </w:rPr>
        <w:t>以及对拆迁范围人口开展安置工作</w:t>
      </w:r>
      <w:r>
        <w:rPr>
          <w:rFonts w:hint="default" w:ascii="Times New Roman" w:hAnsi="Times New Roman" w:eastAsia="仿宋_GB2312" w:cs="Times New Roman"/>
          <w:sz w:val="32"/>
          <w:szCs w:val="32"/>
          <w:highlight w:val="none"/>
        </w:rPr>
        <w:t>。土地推荐</w:t>
      </w:r>
      <w:r>
        <w:rPr>
          <w:rFonts w:hint="default" w:ascii="Times New Roman" w:hAnsi="Times New Roman"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rPr>
        <w:t>储备土地</w:t>
      </w:r>
      <w:r>
        <w:rPr>
          <w:rFonts w:hint="default" w:ascii="Times New Roman" w:hAnsi="Times New Roman" w:eastAsia="仿宋_GB2312" w:cs="Times New Roman"/>
          <w:sz w:val="32"/>
          <w:szCs w:val="32"/>
          <w:highlight w:val="none"/>
          <w:lang w:eastAsia="zh-CN"/>
        </w:rPr>
        <w:t>推介出让</w:t>
      </w:r>
      <w:r>
        <w:rPr>
          <w:rFonts w:hint="default" w:ascii="Times New Roman" w:hAnsi="Times New Roman" w:eastAsia="仿宋_GB2312" w:cs="Times New Roman"/>
          <w:sz w:val="32"/>
          <w:szCs w:val="32"/>
          <w:highlight w:val="none"/>
        </w:rPr>
        <w:t>的优化事务性工作。主要内容包括</w:t>
      </w:r>
      <w:r>
        <w:rPr>
          <w:rFonts w:hint="default" w:ascii="Times New Roman" w:hAnsi="Times New Roman" w:eastAsia="仿宋_GB2312" w:cs="Times New Roman"/>
          <w:sz w:val="32"/>
          <w:szCs w:val="32"/>
          <w:highlight w:val="none"/>
          <w:lang w:val="en-US" w:eastAsia="zh-CN"/>
        </w:rPr>
        <w:t>对储备土地的宣传推介资料制作、土地推介场地租赁等工作，有利于</w:t>
      </w:r>
      <w:r>
        <w:rPr>
          <w:rFonts w:hint="default" w:ascii="Times New Roman" w:hAnsi="Times New Roman" w:eastAsia="仿宋_GB2312" w:cs="Times New Roman"/>
          <w:sz w:val="32"/>
          <w:szCs w:val="32"/>
          <w:highlight w:val="none"/>
        </w:rPr>
        <w:t>促进西区存量国有建设用地出让，增加西区财政收入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推进西区建设，促进西区高质量发展，在节约集约用地的同时，为经济发展提供用地</w:t>
      </w:r>
      <w:r>
        <w:rPr>
          <w:rFonts w:hint="default" w:ascii="Times New Roman" w:hAnsi="Times New Roman" w:eastAsia="仿宋_GB2312" w:cs="Times New Roman"/>
          <w:sz w:val="32"/>
          <w:szCs w:val="32"/>
          <w:highlight w:val="none"/>
          <w:lang w:val="en-US" w:eastAsia="zh-CN"/>
        </w:rPr>
        <w:t>规划</w:t>
      </w:r>
      <w:r>
        <w:rPr>
          <w:rFonts w:hint="default" w:ascii="Times New Roman" w:hAnsi="Times New Roman" w:eastAsia="仿宋_GB2312" w:cs="Times New Roman"/>
          <w:sz w:val="32"/>
          <w:szCs w:val="32"/>
          <w:highlight w:val="none"/>
        </w:rPr>
        <w:t>保障，促进经济社会可持续发展。</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（四）部门整体支出绩效目标。</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2022年，部门整体支出及预算批复项目均按要求实行绩效目标管理，涉及项目资金共计</w:t>
      </w:r>
      <w:r>
        <w:rPr>
          <w:rFonts w:hint="eastAsia" w:eastAsia="仿宋_GB2312" w:cs="Times New Roman"/>
          <w:sz w:val="32"/>
          <w:szCs w:val="32"/>
          <w:lang w:val="en-US" w:eastAsia="zh-CN"/>
        </w:rPr>
        <w:t>2303.55</w:t>
      </w:r>
      <w:r>
        <w:rPr>
          <w:rFonts w:hint="eastAsia" w:ascii="Times New Roman" w:hAnsi="Times New Roman" w:eastAsia="仿宋_GB2312" w:cs="Times New Roman"/>
          <w:sz w:val="32"/>
          <w:szCs w:val="32"/>
          <w:lang w:val="en-US" w:eastAsia="zh-CN"/>
        </w:rPr>
        <w:t>万元，其中，一般公共预算拨款收入117.30万元</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政府性基金预算财政拨款支出2186.2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万元</w:t>
      </w:r>
      <w:r>
        <w:rPr>
          <w:rFonts w:hint="eastAsia" w:eastAsia="仿宋_GB2312" w:cs="Times New Roman"/>
          <w:sz w:val="32"/>
          <w:szCs w:val="32"/>
          <w:lang w:val="en-US" w:eastAsia="zh-CN"/>
        </w:rPr>
        <w:t>。</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1.部门总体收入情况</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default"/>
        </w:rPr>
      </w:pPr>
      <w:r>
        <w:rPr>
          <w:rFonts w:hint="eastAsia" w:ascii="Times New Roman" w:hAnsi="Times New Roman" w:eastAsia="仿宋_GB2312" w:cs="Times New Roman"/>
          <w:sz w:val="32"/>
          <w:szCs w:val="32"/>
          <w:lang w:val="en-US" w:eastAsia="zh-CN"/>
        </w:rPr>
        <w:t>区土地储备中心2022当年预算收入2303.5</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万元，其中：一般公共预算拨款收入117.30万元，占总收入5.10%；政府性基金预算财政拨款支出2186.2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万元，占总收入94.90%。</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2.部门总体支出情况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sz w:val="32"/>
          <w:szCs w:val="32"/>
          <w:lang w:val="en-US" w:eastAsia="zh-CN"/>
        </w:rPr>
        <w:t>区土地储备中心2022年支出预算2303.5</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万元。其中：基本支出117.30万元，占总支出5.10%；项目支出2186.2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万元，占总支出94.90%。</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3.部门总体结转结余情况</w:t>
      </w:r>
    </w:p>
    <w:p>
      <w:pPr>
        <w:widowControl/>
        <w:adjustRightInd w:val="0"/>
        <w:snapToGrid w:val="0"/>
        <w:spacing w:line="560" w:lineRule="exact"/>
        <w:ind w:firstLine="640" w:firstLineChars="200"/>
        <w:contextualSpacing/>
        <w:jc w:val="left"/>
        <w:rPr>
          <w:rFonts w:hint="default" w:ascii="Times New Roman" w:hAnsi="Times New Roman" w:eastAsia="楷体_GB2312" w:cs="Times New Roman"/>
          <w:b/>
          <w:bCs/>
          <w:kern w:val="0"/>
          <w:sz w:val="32"/>
          <w:szCs w:val="32"/>
          <w:shd w:val="clear" w:color="auto" w:fill="FFFFFF"/>
          <w:lang w:val="en-US"/>
        </w:rPr>
      </w:pPr>
      <w:r>
        <w:rPr>
          <w:rFonts w:hint="eastAsia" w:ascii="Times New Roman" w:hAnsi="Times New Roman" w:eastAsia="仿宋_GB2312" w:cs="Times New Roman"/>
          <w:sz w:val="32"/>
          <w:szCs w:val="32"/>
          <w:lang w:val="en-US" w:eastAsia="zh-CN"/>
        </w:rPr>
        <w:t>区土地储备中心2022年</w:t>
      </w:r>
      <w:r>
        <w:rPr>
          <w:rFonts w:hint="eastAsia" w:eastAsia="仿宋_GB2312" w:cs="Times New Roman"/>
          <w:sz w:val="32"/>
          <w:szCs w:val="32"/>
          <w:lang w:val="en-US" w:eastAsia="zh-CN"/>
        </w:rPr>
        <w:t>部门总体无资金结余。</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1.部门财政拨款收入情况</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区土地储备中心2022当年预算收入2303.5</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万元，其中：一般公共预算拨款收入117.30万元，占总收入5.10%；政府性基金预算财政拨款支出2186.2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万元，占总收入94.90%。</w:t>
      </w:r>
    </w:p>
    <w:p>
      <w:pPr>
        <w:pStyle w:val="2"/>
        <w:rPr>
          <w:rFonts w:hint="default"/>
        </w:rPr>
      </w:pPr>
      <w:r>
        <w:rPr>
          <w:rFonts w:hint="eastAsia" w:ascii="Times New Roman" w:hAnsi="Times New Roman" w:eastAsia="仿宋_GB2312" w:cs="Times New Roman"/>
          <w:sz w:val="32"/>
          <w:szCs w:val="32"/>
          <w:lang w:val="en-US" w:eastAsia="zh-CN"/>
        </w:rPr>
        <w:t>2022年列入项目绩效管理的项目有20个，共计2186.2</w:t>
      </w:r>
      <w:r>
        <w:rPr>
          <w:rFonts w:hint="eastAsia" w:ascii="Times New Roman" w:cs="Times New Roman"/>
          <w:sz w:val="32"/>
          <w:szCs w:val="32"/>
          <w:lang w:val="en-US" w:eastAsia="zh-CN"/>
        </w:rPr>
        <w:t>5</w:t>
      </w:r>
      <w:r>
        <w:rPr>
          <w:rFonts w:hint="eastAsia" w:ascii="Times New Roman" w:hAnsi="Times New Roman" w:eastAsia="仿宋_GB2312" w:cs="Times New Roman"/>
          <w:sz w:val="32"/>
          <w:szCs w:val="32"/>
          <w:lang w:val="en-US" w:eastAsia="zh-CN"/>
        </w:rPr>
        <w:t>万元，分别是：土地出让前期涉及土地地价评估及勘测定界费用4.11万元、农村土地征收专项经费2.6万元、土地推介经费0万元、达海现代物流园项目土地收储经费21.5万元、庄上农村土地征收20.24万元、云南省金沙江木材水运局土地储备20万元、金桥村三组2021-X3#宗地农村土地征收专项经费20万元、庄上梅子箐彝家水寨新村乡村旅游示范点建设项目遗留村民搬迁补偿安置经费0.25万元、西区大水井新区内部道路B4线建设项目涉及农村集体土地及地上附着物补偿安置经费220万元、攀枝花达海现代物流园项目宗地内电力线路及设施迁改还建工程相关费用26万元、农村集体土地征收生产生活安置资金1188.23万元、西区大水井新区内部道路B4线建设项目涉及供水供电设施迁改经费16.85万元、耕地占用税及滞纳金109.18万元、大水井新区内部道路B4线第一期协议补偿款200万元、市公安局西区分局原家属楼拆迁过渡费25.47万元、大水井新区内部道路B4线河门口水厂营业厅第二期协议补偿款200万元、攀枝花市2022年第8批城市建设用地林地使用手续费用15.69万元、攀枝花市西区格里坪加气站及青乌线加气站红线内征地还建电力设施工程项目经费46.13万元、云南省金沙江木材水运局土地储备项目剩余协议补偿款二期20万元、蜀物智慧现代产业园项目宗地涉及一台315kVA变压器迁改经费30万元。</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2.部门财政拨款支出情况</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区土地储备中心2022年支出预算2303.5</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万元。其中：基本支出117.30万元，占总支出5.10%；项目支出2186.2</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万元，占总支出94.90%。</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度基本支出117.30万元，比年初预算增加14.24万元，增幅13.82%，其中：人员经费支出113.81万元，比年初预算增加16.38万元，增幅16.81%，主要为业务量增加人员增加导致；日常公用经费支出3.49万元，比年初预算减少2.14万元，增幅-38.01%，主要原因是</w:t>
      </w:r>
      <w:r>
        <w:rPr>
          <w:rFonts w:hint="eastAsia" w:ascii="Times New Roman" w:hAnsi="Times New Roman" w:eastAsia="仿宋_GB2312" w:cs="Times New Roman"/>
          <w:sz w:val="32"/>
          <w:szCs w:val="32"/>
          <w:lang w:val="zh-CN" w:eastAsia="zh-CN"/>
        </w:rPr>
        <w:t>资金在使用上因财政资金支付困难，因此在资金支付上有进度滞后情况</w:t>
      </w:r>
      <w:r>
        <w:rPr>
          <w:rFonts w:hint="eastAsia" w:ascii="Times New Roman" w:hAnsi="Times New Roman" w:eastAsia="仿宋_GB2312" w:cs="Times New Roman"/>
          <w:sz w:val="32"/>
          <w:szCs w:val="32"/>
          <w:lang w:val="en-US" w:eastAsia="zh-CN"/>
        </w:rPr>
        <w:t>。</w:t>
      </w:r>
    </w:p>
    <w:p>
      <w:pPr>
        <w:pStyle w:val="2"/>
        <w:ind w:firstLine="640" w:firstLineChars="200"/>
        <w:rPr>
          <w:rFonts w:hint="default"/>
        </w:rPr>
      </w:pPr>
      <w:r>
        <w:rPr>
          <w:rFonts w:hint="eastAsia" w:ascii="Times New Roman" w:hAnsi="Times New Roman" w:eastAsia="仿宋_GB2312" w:cs="Times New Roman"/>
          <w:sz w:val="32"/>
          <w:szCs w:val="32"/>
          <w:lang w:val="en-US" w:eastAsia="zh-CN"/>
        </w:rPr>
        <w:t>2022年项目支出决算数为2186.26万元，比年初预算增加2166.26万元。主要原因是业务量增加需支付项目费用增多</w:t>
      </w:r>
      <w:r>
        <w:rPr>
          <w:rFonts w:hint="eastAsia" w:ascii="Times New Roman" w:hAnsi="Times New Roman" w:eastAsia="仿宋_GB2312" w:cs="Times New Roman"/>
          <w:sz w:val="32"/>
          <w:szCs w:val="32"/>
          <w:lang w:val="zh-CN" w:eastAsia="zh-CN"/>
        </w:rPr>
        <w:t>。</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3.部门财政拨款结转结余情况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sz w:val="32"/>
          <w:szCs w:val="32"/>
          <w:lang w:val="en-US" w:eastAsia="zh-CN"/>
        </w:rPr>
        <w:t>区土地储备中心2022年</w:t>
      </w:r>
      <w:r>
        <w:rPr>
          <w:rFonts w:hint="default" w:ascii="Times New Roman" w:hAnsi="Times New Roman" w:eastAsia="仿宋_GB2312" w:cs="Times New Roman"/>
          <w:kern w:val="0"/>
          <w:sz w:val="32"/>
          <w:szCs w:val="32"/>
          <w:shd w:val="clear" w:color="auto" w:fill="FFFFFF"/>
        </w:rPr>
        <w:t>部门财政拨款</w:t>
      </w:r>
      <w:r>
        <w:rPr>
          <w:rFonts w:hint="eastAsia" w:eastAsia="仿宋_GB2312" w:cs="Times New Roman"/>
          <w:kern w:val="0"/>
          <w:sz w:val="32"/>
          <w:szCs w:val="32"/>
          <w:shd w:val="clear" w:color="auto" w:fill="FFFFFF"/>
          <w:lang w:val="en-US" w:eastAsia="zh-CN"/>
        </w:rPr>
        <w:t>无结余。</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1.人员类项目绩效分析</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（1）产出指标完成情况分析。包括数量指标、质量指标、时效指标和成本指标。</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根据工作时间及进度，按照单位实际情况按月及时支付人员工资、社保、公用经费等基本费用共计</w:t>
      </w:r>
      <w:r>
        <w:rPr>
          <w:rFonts w:hint="eastAsia" w:ascii="Times New Roman" w:hAnsi="Times New Roman" w:eastAsia="仿宋_GB2312" w:cs="Times New Roman"/>
          <w:sz w:val="32"/>
          <w:szCs w:val="32"/>
          <w:lang w:val="en-US" w:eastAsia="zh-CN"/>
        </w:rPr>
        <w:t>117.30</w:t>
      </w:r>
      <w:r>
        <w:rPr>
          <w:rFonts w:hint="default" w:ascii="Times New Roman" w:hAnsi="Times New Roman" w:eastAsia="仿宋_GB2312" w:cs="Times New Roman"/>
          <w:sz w:val="32"/>
          <w:szCs w:val="32"/>
          <w:lang w:val="en-US" w:eastAsia="zh-CN"/>
        </w:rPr>
        <w:t>万元，完成进度100%，基本支出的数量、质量、时效、成本指标均达标。提高日常工作效率，保障</w:t>
      </w:r>
      <w:r>
        <w:rPr>
          <w:rFonts w:hint="eastAsia" w:eastAsia="仿宋_GB2312" w:cs="Times New Roman"/>
          <w:sz w:val="32"/>
          <w:szCs w:val="32"/>
          <w:lang w:val="en-US" w:eastAsia="zh-CN"/>
        </w:rPr>
        <w:t>土储</w:t>
      </w:r>
      <w:r>
        <w:rPr>
          <w:rFonts w:hint="default" w:ascii="Times New Roman" w:hAnsi="Times New Roman" w:eastAsia="仿宋_GB2312" w:cs="Times New Roman"/>
          <w:sz w:val="32"/>
          <w:szCs w:val="32"/>
          <w:lang w:val="en-US" w:eastAsia="zh-CN"/>
        </w:rPr>
        <w:t>各项工作平稳运行，并不断加强预算执行管理，提升我单位财务管理的科学化、精细化水平。</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）效益指标完成情况分析。包括经济效益、社会效益、生态效益和可持续影响。</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（3）满意度指标完成情况分析。</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根据单位实际情况按时支付了人员工资、社保等基本支出，顺利完成满意度指标。</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2.专项（项目）资金绩效目标完成情况</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（1）产出指标完成情况分析。包括数量指标、质量指标、时效指标和成本指标。</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按照工作计划的顺利推进，</w:t>
      </w:r>
      <w:r>
        <w:rPr>
          <w:rFonts w:hint="eastAsia" w:ascii="Times New Roman" w:hAnsi="Times New Roman" w:eastAsia="仿宋_GB2312" w:cs="Times New Roman"/>
          <w:sz w:val="32"/>
          <w:szCs w:val="32"/>
          <w:lang w:val="en-US" w:eastAsia="zh-CN"/>
        </w:rPr>
        <w:t>2022年列入项目绩效管理的项目有20个，共计2186.2</w:t>
      </w:r>
      <w:r>
        <w:rPr>
          <w:rFonts w:hint="eastAsia" w:ascii="Times New Roman" w:cs="Times New Roman"/>
          <w:sz w:val="32"/>
          <w:szCs w:val="32"/>
          <w:lang w:val="en-US" w:eastAsia="zh-CN"/>
        </w:rPr>
        <w:t>5</w:t>
      </w:r>
      <w:r>
        <w:rPr>
          <w:rFonts w:hint="eastAsia"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val="en-US" w:eastAsia="zh-CN"/>
        </w:rPr>
        <w:t>，完成进度100%。</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（2）效益指标完成情况分析。包括经济效益、社会效益、生态效益和可持续影响。</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通过项目实施，保障净地出让，增加财政收入，保障村民补偿及时搬迁安置，维护村民合法权益；构建“事前绩效目标审核、事中绩效评价督察、事后绩效评估结果运用”的全过程绩效预算管理机制。</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）满意度指标完成情况分析。</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项目的实施，保障了</w:t>
      </w:r>
      <w:r>
        <w:rPr>
          <w:rFonts w:hint="eastAsia" w:eastAsia="仿宋_GB2312" w:cs="Times New Roman"/>
          <w:sz w:val="32"/>
          <w:szCs w:val="32"/>
          <w:lang w:val="en-US" w:eastAsia="zh-CN"/>
        </w:rPr>
        <w:t>土储</w:t>
      </w:r>
      <w:r>
        <w:rPr>
          <w:rFonts w:hint="eastAsia" w:ascii="Times New Roman" w:hAnsi="Times New Roman" w:eastAsia="仿宋_GB2312" w:cs="Times New Roman"/>
          <w:sz w:val="32"/>
          <w:szCs w:val="32"/>
          <w:lang w:val="en-US" w:eastAsia="zh-CN"/>
        </w:rPr>
        <w:t>工作正常运行，保证服务对象满意度指标达标。</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（二）结果应用情况。</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本单位严格按照相关文件，在西区人民政府网站上公开了部门绩效评价等信息。</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（三）自评质量</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按照预算绩效管理要求，本单位对整体支出进行了自查自评，并对照绩效指标评价标准进行了评分，各项指标均达标完成。</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四、评价结论及建议</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（一）评价结论。</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1.本单位整体支出绩效目标实现情况。</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全年通过加强预算收支管理，健全内部管理制度，严格内部管理流程，部门整体支出控制在预算范围内，财务收支平衡，有效保障了单位各项工作有序开展。</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2.项目绩效目标完成情况。</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en-US" w:eastAsia="zh-CN"/>
        </w:rPr>
        <w:t>全年各项目按照工作计划顺利推进，数量、质量、时效、社会效益和服务对象满意度指标均达标。随着功能科目细化，直接支付业务增加，继续加强完善支付流程，保障全区预算单位财政资金正常、规范、有序支付。</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（二）存在问题。</w:t>
      </w:r>
    </w:p>
    <w:p>
      <w:pPr>
        <w:pStyle w:val="2"/>
        <w:ind w:firstLine="600" w:firstLineChars="200"/>
        <w:rPr>
          <w:rFonts w:hint="eastAsia" w:eastAsia="仿宋_GB2312"/>
          <w:lang w:val="en-US" w:eastAsia="zh-CN"/>
        </w:rPr>
      </w:pPr>
      <w:r>
        <w:rPr>
          <w:rFonts w:hint="eastAsia"/>
          <w:lang w:val="en-US" w:eastAsia="zh-CN"/>
        </w:rPr>
        <w:t>无</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（三）改进建议。</w:t>
      </w:r>
    </w:p>
    <w:p>
      <w:pPr>
        <w:pStyle w:val="1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93" w:beforeAutospacing="0" w:after="0" w:afterAutospacing="0"/>
        <w:ind w:left="0" w:right="0" w:firstLine="640"/>
        <w:jc w:val="both"/>
      </w:pPr>
      <w:r>
        <w:rPr>
          <w:rFonts w:ascii="仿宋_GB2312" w:eastAsia="仿宋_GB2312" w:cs="仿宋_GB2312"/>
          <w:color w:val="000000"/>
          <w:sz w:val="32"/>
          <w:szCs w:val="32"/>
        </w:rPr>
        <w:t>本单位无偏离绩效目标的情况，不存在改进建议。</w:t>
      </w: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spacing w:line="600" w:lineRule="exact"/>
        <w:jc w:val="both"/>
        <w:rPr>
          <w:rFonts w:hint="default" w:ascii="Times New Roman" w:hAnsi="Times New Roman" w:eastAsia="方正小标宋简体" w:cs="Times New Roman"/>
          <w:sz w:val="40"/>
          <w:szCs w:val="40"/>
          <w:lang w:val="zh-CN"/>
        </w:rPr>
      </w:pPr>
    </w:p>
    <w:p>
      <w:pPr>
        <w:spacing w:line="60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西区大水井新区内部道路B4线建设项目涉及农村集体土地及地上附着物补偿安置经费</w:t>
      </w:r>
    </w:p>
    <w:p>
      <w:pPr>
        <w:spacing w:line="600" w:lineRule="exact"/>
        <w:jc w:val="center"/>
        <w:rPr>
          <w:rFonts w:hint="default" w:ascii="Times New Roman" w:hAnsi="Times New Roman" w:cs="Times New Roman"/>
          <w:sz w:val="32"/>
          <w:szCs w:val="32"/>
          <w:lang w:val="zh-CN"/>
        </w:rPr>
      </w:pPr>
      <w:r>
        <w:rPr>
          <w:rFonts w:hint="default" w:ascii="Times New Roman" w:hAnsi="Times New Roman" w:eastAsia="方正小标宋简体" w:cs="Times New Roman"/>
          <w:sz w:val="40"/>
          <w:szCs w:val="40"/>
          <w:lang w:val="zh-CN"/>
        </w:rPr>
        <w:t>专项预算项目支出绩效自评报告</w:t>
      </w: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keepNext w:val="0"/>
        <w:keepLines w:val="0"/>
        <w:pageBreakBefore w:val="0"/>
        <w:widowControl w:val="0"/>
        <w:kinsoku/>
        <w:wordWrap/>
        <w:overflowPunct/>
        <w:topLinePunct w:val="0"/>
        <w:autoSpaceDE/>
        <w:autoSpaceDN/>
        <w:bidi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大水井新区内部道路B4线建设</w:t>
      </w:r>
      <w:r>
        <w:rPr>
          <w:rFonts w:hint="default" w:ascii="Times New Roman" w:hAnsi="Times New Roman" w:eastAsia="仿宋" w:cs="Times New Roman"/>
          <w:spacing w:val="-4"/>
          <w:kern w:val="0"/>
          <w:sz w:val="32"/>
          <w:szCs w:val="32"/>
        </w:rPr>
        <w:t>项目</w:t>
      </w:r>
      <w:r>
        <w:rPr>
          <w:rFonts w:hint="default" w:ascii="Times New Roman" w:hAnsi="Times New Roman" w:eastAsia="仿宋_GB2312" w:cs="Times New Roman"/>
          <w:spacing w:val="-4"/>
          <w:kern w:val="0"/>
          <w:sz w:val="32"/>
          <w:szCs w:val="32"/>
        </w:rPr>
        <w:t>用地范围内</w:t>
      </w:r>
      <w:r>
        <w:rPr>
          <w:rFonts w:hint="default" w:ascii="Times New Roman" w:hAnsi="Times New Roman" w:eastAsia="仿宋_GB2312" w:cs="Times New Roman"/>
          <w:spacing w:val="-4"/>
          <w:kern w:val="0"/>
          <w:sz w:val="32"/>
          <w:szCs w:val="32"/>
          <w:lang w:eastAsia="zh-CN"/>
        </w:rPr>
        <w:t>涉及</w:t>
      </w:r>
      <w:r>
        <w:rPr>
          <w:rFonts w:hint="default" w:ascii="Times New Roman" w:hAnsi="Times New Roman" w:eastAsia="仿宋_GB2312" w:cs="Times New Roman"/>
          <w:spacing w:val="-4"/>
          <w:kern w:val="0"/>
          <w:sz w:val="32"/>
          <w:szCs w:val="32"/>
          <w:lang w:val="en-US" w:eastAsia="zh-CN"/>
        </w:rPr>
        <w:t>的</w:t>
      </w:r>
      <w:r>
        <w:rPr>
          <w:rFonts w:hint="default" w:ascii="Times New Roman" w:hAnsi="Times New Roman" w:eastAsia="仿宋_GB2312" w:cs="Times New Roman"/>
          <w:spacing w:val="-4"/>
          <w:kern w:val="0"/>
          <w:sz w:val="32"/>
          <w:szCs w:val="32"/>
        </w:rPr>
        <w:t>农村集体土地</w:t>
      </w:r>
      <w:r>
        <w:rPr>
          <w:rFonts w:hint="default" w:ascii="Times New Roman" w:hAnsi="Times New Roman" w:eastAsia="仿宋_GB2312" w:cs="Times New Roman"/>
          <w:spacing w:val="-4"/>
          <w:kern w:val="0"/>
          <w:sz w:val="32"/>
          <w:szCs w:val="32"/>
          <w:lang w:val="en-US" w:eastAsia="zh-CN"/>
        </w:rPr>
        <w:t>、房屋及地上附着物等进行征拆补偿安置工作</w:t>
      </w:r>
      <w:r>
        <w:rPr>
          <w:rFonts w:hint="default" w:ascii="Times New Roman" w:hAnsi="Times New Roman" w:eastAsia="仿宋_GB2312" w:cs="Times New Roman"/>
          <w:spacing w:val="-4"/>
          <w:kern w:val="0"/>
          <w:sz w:val="32"/>
          <w:szCs w:val="32"/>
        </w:rPr>
        <w:t>。</w:t>
      </w:r>
      <w:r>
        <w:rPr>
          <w:rFonts w:hint="default" w:ascii="Times New Roman" w:hAnsi="Times New Roman" w:eastAsia="仿宋_GB2312" w:cs="Times New Roman"/>
          <w:sz w:val="32"/>
          <w:szCs w:val="32"/>
          <w:lang w:val="en-US" w:eastAsia="zh-CN"/>
        </w:rPr>
        <w:t>根据区土地储备中心职能职责，负责统筹</w:t>
      </w:r>
      <w:r>
        <w:rPr>
          <w:rFonts w:hint="default" w:ascii="Times New Roman" w:hAnsi="Times New Roman" w:eastAsia="仿宋_GB2312" w:cs="Times New Roman"/>
          <w:sz w:val="32"/>
          <w:szCs w:val="32"/>
        </w:rPr>
        <w:t>农村集体土地的征收拆迁补偿安置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格里坪镇政府负责补偿安置具体事务性工作</w:t>
      </w:r>
      <w:r>
        <w:rPr>
          <w:rFonts w:hint="default" w:ascii="Times New Roman" w:hAnsi="Times New Roman" w:eastAsia="仿宋_GB2312" w:cs="Times New Roman"/>
          <w:sz w:val="32"/>
          <w:szCs w:val="32"/>
        </w:rPr>
        <w:t>。主要内容包括对征收的农村集体土地进行测量测绘，</w:t>
      </w:r>
      <w:r>
        <w:rPr>
          <w:rFonts w:hint="default" w:ascii="Times New Roman" w:hAnsi="Times New Roman" w:eastAsia="仿宋_GB2312" w:cs="Times New Roman"/>
          <w:bCs/>
          <w:spacing w:val="-4"/>
          <w:sz w:val="32"/>
          <w:szCs w:val="32"/>
        </w:rPr>
        <w:t>确定征收土地红线范围，对被</w:t>
      </w:r>
      <w:r>
        <w:rPr>
          <w:rFonts w:hint="default" w:ascii="Times New Roman" w:hAnsi="Times New Roman" w:eastAsia="仿宋_GB2312" w:cs="Times New Roman"/>
          <w:sz w:val="32"/>
          <w:szCs w:val="32"/>
        </w:rPr>
        <w:t>征收的农村集体土地上附着物、建构筑物等开展调查、补偿、拆迁工作，</w:t>
      </w:r>
      <w:r>
        <w:rPr>
          <w:rFonts w:hint="default" w:ascii="Times New Roman" w:hAnsi="Times New Roman" w:eastAsia="仿宋_GB2312" w:cs="Times New Roman"/>
          <w:bCs/>
          <w:spacing w:val="-4"/>
          <w:sz w:val="32"/>
          <w:szCs w:val="32"/>
        </w:rPr>
        <w:t>以及对拆迁范围人口开展安置工作</w:t>
      </w:r>
      <w:r>
        <w:rPr>
          <w:rFonts w:hint="default" w:ascii="Times New Roman" w:hAnsi="Times New Roman" w:eastAsia="仿宋_GB2312" w:cs="Times New Roman"/>
          <w:sz w:val="32"/>
          <w:szCs w:val="32"/>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1．项目主要内容。</w:t>
      </w:r>
    </w:p>
    <w:p>
      <w:pPr>
        <w:keepNext w:val="0"/>
        <w:keepLines w:val="0"/>
        <w:pageBreakBefore w:val="0"/>
        <w:widowControl w:val="0"/>
        <w:kinsoku/>
        <w:wordWrap/>
        <w:overflowPunct/>
        <w:topLinePunct w:val="0"/>
        <w:autoSpaceDE/>
        <w:autoSpaceDN/>
        <w:bidi w:val="0"/>
        <w:adjustRightInd w:val="0"/>
        <w:snapToGrid w:val="0"/>
        <w:spacing w:line="353" w:lineRule="auto"/>
        <w:ind w:firstLine="624" w:firstLineChars="200"/>
        <w:textAlignment w:val="auto"/>
        <w:rPr>
          <w:rFonts w:hint="default" w:ascii="Times New Roman" w:hAnsi="Times New Roman" w:eastAsia="仿宋" w:cs="Times New Roman"/>
          <w:spacing w:val="-4"/>
          <w:kern w:val="0"/>
          <w:sz w:val="32"/>
          <w:szCs w:val="32"/>
          <w:lang w:val="en-US" w:eastAsia="zh-CN"/>
        </w:rPr>
      </w:pPr>
      <w:r>
        <w:rPr>
          <w:rFonts w:hint="default" w:ascii="Times New Roman" w:hAnsi="Times New Roman" w:eastAsia="仿宋" w:cs="Times New Roman"/>
          <w:spacing w:val="-4"/>
          <w:kern w:val="0"/>
          <w:sz w:val="32"/>
          <w:szCs w:val="32"/>
        </w:rPr>
        <w:t>为</w:t>
      </w:r>
      <w:r>
        <w:rPr>
          <w:rFonts w:hint="default" w:ascii="Times New Roman" w:hAnsi="Times New Roman" w:eastAsia="仿宋" w:cs="Times New Roman"/>
          <w:spacing w:val="-4"/>
          <w:kern w:val="0"/>
          <w:sz w:val="32"/>
          <w:szCs w:val="32"/>
          <w:lang w:val="en-US" w:eastAsia="zh-CN"/>
        </w:rPr>
        <w:t>确保</w:t>
      </w:r>
      <w:r>
        <w:rPr>
          <w:rFonts w:hint="default" w:ascii="Times New Roman" w:hAnsi="Times New Roman" w:eastAsia="仿宋_GB2312" w:cs="Times New Roman"/>
          <w:sz w:val="32"/>
          <w:szCs w:val="32"/>
          <w:lang w:val="en-US" w:eastAsia="zh-CN"/>
        </w:rPr>
        <w:t>大水井新区内部道路B4线建设</w:t>
      </w:r>
      <w:r>
        <w:rPr>
          <w:rFonts w:hint="default" w:ascii="Times New Roman" w:hAnsi="Times New Roman" w:eastAsia="仿宋" w:cs="Times New Roman"/>
          <w:spacing w:val="-4"/>
          <w:kern w:val="0"/>
          <w:sz w:val="32"/>
          <w:szCs w:val="32"/>
        </w:rPr>
        <w:t>项目用地，</w:t>
      </w:r>
      <w:r>
        <w:rPr>
          <w:rFonts w:hint="default" w:ascii="Times New Roman" w:hAnsi="Times New Roman" w:eastAsia="仿宋_GB2312" w:cs="Times New Roman"/>
          <w:sz w:val="32"/>
          <w:szCs w:val="32"/>
          <w:lang w:val="en-US" w:eastAsia="zh-CN"/>
        </w:rPr>
        <w:t>加快推进大水井新区内部路网</w:t>
      </w:r>
      <w:r>
        <w:rPr>
          <w:rFonts w:hint="default" w:ascii="Times New Roman" w:hAnsi="Times New Roman" w:eastAsia="仿宋" w:cs="Times New Roman"/>
          <w:spacing w:val="-4"/>
          <w:kern w:val="0"/>
          <w:sz w:val="32"/>
          <w:szCs w:val="32"/>
        </w:rPr>
        <w:t>建设，</w:t>
      </w:r>
      <w:r>
        <w:rPr>
          <w:rFonts w:hint="default" w:ascii="Times New Roman" w:hAnsi="Times New Roman" w:eastAsia="仿宋" w:cs="Times New Roman"/>
          <w:spacing w:val="-4"/>
          <w:kern w:val="0"/>
          <w:sz w:val="32"/>
          <w:szCs w:val="32"/>
          <w:lang w:val="en-US" w:eastAsia="zh-CN"/>
        </w:rPr>
        <w:t>争取国家补助资金。</w:t>
      </w:r>
    </w:p>
    <w:p>
      <w:pPr>
        <w:widowControl/>
        <w:numPr>
          <w:ilvl w:val="0"/>
          <w:numId w:val="2"/>
        </w:numPr>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rPr>
        <w:t>本项目总体目标为</w:t>
      </w:r>
      <w:r>
        <w:rPr>
          <w:rFonts w:hint="default" w:ascii="Times New Roman" w:hAnsi="Times New Roman" w:eastAsia="仿宋_GB2312" w:cs="Times New Roman"/>
          <w:sz w:val="32"/>
          <w:szCs w:val="32"/>
          <w:highlight w:val="none"/>
        </w:rPr>
        <w:t>为营造良好投资环境，</w:t>
      </w:r>
      <w:r>
        <w:rPr>
          <w:rFonts w:hint="default" w:ascii="Times New Roman" w:hAnsi="Times New Roman" w:eastAsia="仿宋_GB2312" w:cs="Times New Roman"/>
          <w:sz w:val="32"/>
          <w:szCs w:val="32"/>
          <w:highlight w:val="none"/>
          <w:lang w:val="en-US" w:eastAsia="zh-CN"/>
        </w:rPr>
        <w:t>积极推动西区山水灵秀新城建设</w:t>
      </w:r>
      <w:r>
        <w:rPr>
          <w:rFonts w:hint="default" w:ascii="Times New Roman" w:hAnsi="Times New Roman" w:eastAsia="仿宋_GB2312" w:cs="Times New Roman"/>
          <w:sz w:val="32"/>
          <w:szCs w:val="32"/>
          <w:highlight w:val="none"/>
        </w:rPr>
        <w:t>，促进西区高质量发展，根据规划及</w:t>
      </w:r>
      <w:r>
        <w:rPr>
          <w:rFonts w:hint="default" w:ascii="Times New Roman" w:hAnsi="Times New Roman" w:eastAsia="仿宋_GB2312" w:cs="Times New Roman"/>
          <w:sz w:val="32"/>
          <w:szCs w:val="32"/>
          <w:highlight w:val="none"/>
          <w:lang w:val="en-US" w:eastAsia="zh-CN"/>
        </w:rPr>
        <w:t>区政府工作安排</w:t>
      </w:r>
      <w:r>
        <w:rPr>
          <w:rFonts w:hint="default" w:ascii="Times New Roman" w:hAnsi="Times New Roman" w:eastAsia="仿宋_GB2312" w:cs="Times New Roman"/>
          <w:sz w:val="32"/>
          <w:szCs w:val="32"/>
          <w:highlight w:val="none"/>
        </w:rPr>
        <w:t>开展</w:t>
      </w:r>
      <w:r>
        <w:rPr>
          <w:rFonts w:hint="default" w:ascii="Times New Roman" w:hAnsi="Times New Roman" w:eastAsia="仿宋_GB2312" w:cs="Times New Roman"/>
          <w:sz w:val="32"/>
          <w:szCs w:val="32"/>
          <w:highlight w:val="none"/>
          <w:lang w:val="en-US" w:eastAsia="zh-CN"/>
        </w:rPr>
        <w:t>集体土地征收</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lang w:val="en-US" w:eastAsia="zh-CN"/>
        </w:rPr>
        <w:t>土地</w:t>
      </w:r>
      <w:r>
        <w:rPr>
          <w:rFonts w:hint="default" w:ascii="Times New Roman" w:hAnsi="Times New Roman" w:eastAsia="仿宋_GB2312" w:cs="Times New Roman"/>
          <w:sz w:val="32"/>
          <w:szCs w:val="32"/>
          <w:highlight w:val="none"/>
          <w:lang w:val="en-US" w:eastAsia="zh-CN"/>
        </w:rPr>
        <w:t>、房屋等地上</w:t>
      </w:r>
      <w:r>
        <w:rPr>
          <w:rFonts w:hint="default" w:ascii="Times New Roman" w:hAnsi="Times New Roman" w:eastAsia="仿宋_GB2312" w:cs="Times New Roman"/>
          <w:sz w:val="32"/>
          <w:szCs w:val="32"/>
        </w:rPr>
        <w:t>附着物</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建构筑物</w:t>
      </w:r>
      <w:r>
        <w:rPr>
          <w:rFonts w:hint="default" w:ascii="Times New Roman" w:hAnsi="Times New Roman" w:eastAsia="仿宋_GB2312" w:cs="Times New Roman"/>
          <w:sz w:val="32"/>
          <w:szCs w:val="32"/>
          <w:lang w:val="en-US" w:eastAsia="zh-CN"/>
        </w:rPr>
        <w:t>补偿</w:t>
      </w:r>
      <w:r>
        <w:rPr>
          <w:rFonts w:hint="default" w:ascii="Times New Roman" w:hAnsi="Times New Roman" w:eastAsia="仿宋_GB2312" w:cs="Times New Roman"/>
          <w:sz w:val="32"/>
          <w:szCs w:val="32"/>
          <w:highlight w:val="none"/>
          <w:lang w:val="en-US" w:eastAsia="zh-CN"/>
        </w:rPr>
        <w:t>、人员安置为项目施工的前期必要性</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完</w:t>
      </w:r>
      <w:r>
        <w:rPr>
          <w:rFonts w:hint="default" w:ascii="Times New Roman" w:hAnsi="Times New Roman" w:eastAsia="仿宋_GB2312" w:cs="Times New Roman"/>
          <w:sz w:val="32"/>
          <w:szCs w:val="32"/>
          <w:lang w:val="en-US" w:eastAsia="zh-CN"/>
        </w:rPr>
        <w:t>成，数量目标为：大水井新区内部道路B4线建设</w:t>
      </w:r>
      <w:r>
        <w:rPr>
          <w:rFonts w:hint="default" w:ascii="Times New Roman" w:hAnsi="Times New Roman" w:eastAsia="仿宋" w:cs="Times New Roman"/>
          <w:spacing w:val="-4"/>
          <w:kern w:val="0"/>
          <w:sz w:val="32"/>
          <w:szCs w:val="32"/>
        </w:rPr>
        <w:t>项目</w:t>
      </w:r>
      <w:r>
        <w:rPr>
          <w:rFonts w:hint="default" w:ascii="Times New Roman" w:hAnsi="Times New Roman" w:eastAsia="仿宋_GB2312" w:cs="Times New Roman"/>
          <w:spacing w:val="-4"/>
          <w:kern w:val="0"/>
          <w:sz w:val="32"/>
          <w:szCs w:val="32"/>
        </w:rPr>
        <w:t>用地范围内</w:t>
      </w:r>
      <w:r>
        <w:rPr>
          <w:rFonts w:hint="default" w:ascii="Times New Roman" w:hAnsi="Times New Roman" w:eastAsia="仿宋_GB2312" w:cs="Times New Roman"/>
          <w:spacing w:val="-4"/>
          <w:kern w:val="0"/>
          <w:sz w:val="32"/>
          <w:szCs w:val="32"/>
          <w:lang w:eastAsia="zh-CN"/>
        </w:rPr>
        <w:t>涉及</w:t>
      </w:r>
      <w:r>
        <w:rPr>
          <w:rFonts w:hint="default" w:ascii="Times New Roman" w:hAnsi="Times New Roman" w:eastAsia="仿宋_GB2312" w:cs="Times New Roman"/>
          <w:spacing w:val="-4"/>
          <w:kern w:val="0"/>
          <w:sz w:val="32"/>
          <w:szCs w:val="32"/>
          <w:lang w:val="en-US" w:eastAsia="zh-CN"/>
        </w:rPr>
        <w:t>的</w:t>
      </w:r>
      <w:r>
        <w:rPr>
          <w:rFonts w:hint="default" w:ascii="Times New Roman" w:hAnsi="Times New Roman" w:eastAsia="仿宋_GB2312" w:cs="Times New Roman"/>
          <w:spacing w:val="-4"/>
          <w:kern w:val="0"/>
          <w:sz w:val="32"/>
          <w:szCs w:val="32"/>
        </w:rPr>
        <w:t>农村集体土地</w:t>
      </w:r>
      <w:r>
        <w:rPr>
          <w:rFonts w:hint="default" w:ascii="Times New Roman" w:hAnsi="Times New Roman" w:eastAsia="仿宋_GB2312" w:cs="Times New Roman"/>
          <w:spacing w:val="-4"/>
          <w:kern w:val="0"/>
          <w:sz w:val="32"/>
          <w:szCs w:val="32"/>
          <w:lang w:val="en-US" w:eastAsia="zh-CN"/>
        </w:rPr>
        <w:t>、房屋及地上附着物等进行征拆补偿安置</w:t>
      </w:r>
      <w:r>
        <w:rPr>
          <w:rFonts w:hint="default" w:ascii="Times New Roman" w:hAnsi="Times New Roman" w:eastAsia="仿宋_GB2312" w:cs="Times New Roman"/>
          <w:sz w:val="32"/>
          <w:szCs w:val="32"/>
          <w:lang w:val="en-US" w:eastAsia="zh-CN"/>
        </w:rPr>
        <w:t>费用42</w:t>
      </w:r>
      <w:r>
        <w:rPr>
          <w:rFonts w:hint="default" w:ascii="Times New Roman" w:hAnsi="Times New Roman" w:eastAsia="仿宋_GB2312" w:cs="Times New Roman"/>
          <w:snapToGrid/>
          <w:color w:val="000000"/>
          <w:spacing w:val="0"/>
          <w:sz w:val="32"/>
          <w:szCs w:val="32"/>
          <w:lang w:val="en-US" w:eastAsia="zh-CN" w:bidi="ar"/>
        </w:rPr>
        <w:t>0万元</w:t>
      </w:r>
      <w:r>
        <w:rPr>
          <w:rFonts w:hint="default" w:ascii="Times New Roman" w:hAnsi="Times New Roman" w:eastAsia="仿宋_GB2312" w:cs="Times New Roman"/>
          <w:kern w:val="0"/>
          <w:sz w:val="32"/>
          <w:szCs w:val="32"/>
          <w:shd w:val="clear" w:color="auto" w:fill="FFFFFF"/>
          <w:lang w:val="zh-CN"/>
        </w:rPr>
        <w:t>。此</w:t>
      </w:r>
      <w:r>
        <w:rPr>
          <w:rFonts w:hint="default" w:ascii="Times New Roman" w:hAnsi="Times New Roman" w:eastAsia="仿宋_GB2312" w:cs="Times New Roman"/>
          <w:spacing w:val="-4"/>
          <w:kern w:val="0"/>
          <w:sz w:val="32"/>
          <w:szCs w:val="32"/>
          <w:lang w:val="en-US" w:eastAsia="zh-CN"/>
        </w:rPr>
        <w:t>征拆补偿安置</w:t>
      </w:r>
      <w:r>
        <w:rPr>
          <w:rFonts w:hint="default" w:ascii="Times New Roman" w:hAnsi="Times New Roman" w:eastAsia="仿宋_GB2312" w:cs="Times New Roman"/>
          <w:sz w:val="32"/>
          <w:szCs w:val="32"/>
          <w:lang w:val="en-US" w:eastAsia="zh-CN"/>
        </w:rPr>
        <w:t>费用</w:t>
      </w:r>
      <w:r>
        <w:rPr>
          <w:rFonts w:hint="default" w:ascii="Times New Roman" w:hAnsi="Times New Roman" w:eastAsia="仿宋_GB2312" w:cs="Times New Roman"/>
          <w:kern w:val="0"/>
          <w:sz w:val="32"/>
          <w:szCs w:val="32"/>
          <w:shd w:val="clear" w:color="auto" w:fill="FFFFFF"/>
          <w:lang w:val="zh-CN"/>
        </w:rPr>
        <w:t>按照安置方案支付。</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w:t>
      </w:r>
      <w:r>
        <w:rPr>
          <w:rFonts w:hint="default" w:ascii="Times New Roman" w:hAnsi="Times New Roman" w:eastAsia="仿宋_GB2312" w:cs="Times New Roman"/>
          <w:b/>
          <w:sz w:val="32"/>
          <w:szCs w:val="32"/>
          <w:lang w:val="zh-CN"/>
        </w:rPr>
        <w:t>项目资金申报相符性。</w:t>
      </w:r>
      <w:r>
        <w:rPr>
          <w:rFonts w:hint="default" w:ascii="Times New Roman" w:hAnsi="Times New Roman" w:eastAsia="仿宋_GB2312" w:cs="Times New Roman"/>
          <w:sz w:val="32"/>
          <w:szCs w:val="32"/>
          <w:lang w:val="zh-CN"/>
        </w:rPr>
        <w:t>该项目申报内容与具体实施内容相符、申报目标合理可行。</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kern w:val="0"/>
          <w:sz w:val="32"/>
          <w:szCs w:val="32"/>
          <w:shd w:val="clear" w:color="auto" w:fill="FFFFFF"/>
          <w:lang w:val="zh-CN"/>
        </w:rPr>
        <w:t>确定评价指标</w:t>
      </w:r>
    </w:p>
    <w:p>
      <w:pPr>
        <w:adjustRightInd w:val="0"/>
        <w:snapToGrid w:val="0"/>
        <w:spacing w:line="578" w:lineRule="exact"/>
        <w:ind w:firstLine="720"/>
        <w:rPr>
          <w:rFonts w:hint="default" w:ascii="Times New Roman" w:hAnsi="Times New Roman" w:eastAsia="仿宋_GB2312" w:cs="Times New Roman"/>
          <w:snapToGrid/>
          <w:spacing w:val="0"/>
          <w:sz w:val="32"/>
          <w:szCs w:val="32"/>
          <w:lang w:eastAsia="zh-CN"/>
        </w:rPr>
      </w:pPr>
      <w:r>
        <w:rPr>
          <w:rFonts w:hint="default" w:ascii="Times New Roman" w:hAnsi="Times New Roman" w:eastAsia="仿宋_GB2312" w:cs="Times New Roman"/>
          <w:sz w:val="32"/>
          <w:szCs w:val="32"/>
          <w:highlight w:val="none"/>
        </w:rPr>
        <w:t>为营造良好投资环境，</w:t>
      </w:r>
      <w:r>
        <w:rPr>
          <w:rFonts w:hint="default" w:ascii="Times New Roman" w:hAnsi="Times New Roman" w:eastAsia="仿宋_GB2312" w:cs="Times New Roman"/>
          <w:sz w:val="32"/>
          <w:szCs w:val="32"/>
          <w:highlight w:val="none"/>
          <w:lang w:val="en-US" w:eastAsia="zh-CN"/>
        </w:rPr>
        <w:t>积极推动西区山水灵秀新城建设</w:t>
      </w:r>
      <w:r>
        <w:rPr>
          <w:rFonts w:hint="default" w:ascii="Times New Roman" w:hAnsi="Times New Roman" w:eastAsia="仿宋_GB2312" w:cs="Times New Roman"/>
          <w:sz w:val="32"/>
          <w:szCs w:val="32"/>
          <w:highlight w:val="none"/>
        </w:rPr>
        <w:t>，促进西区高质量发展，根据规划及</w:t>
      </w:r>
      <w:r>
        <w:rPr>
          <w:rFonts w:hint="default" w:ascii="Times New Roman" w:hAnsi="Times New Roman" w:eastAsia="仿宋_GB2312" w:cs="Times New Roman"/>
          <w:sz w:val="32"/>
          <w:szCs w:val="32"/>
          <w:highlight w:val="none"/>
          <w:lang w:val="en-US" w:eastAsia="zh-CN"/>
        </w:rPr>
        <w:t>区政府工作安排</w:t>
      </w:r>
      <w:r>
        <w:rPr>
          <w:rFonts w:hint="default" w:ascii="Times New Roman" w:hAnsi="Times New Roman" w:eastAsia="仿宋_GB2312" w:cs="Times New Roman"/>
          <w:sz w:val="32"/>
          <w:szCs w:val="32"/>
          <w:highlight w:val="none"/>
        </w:rPr>
        <w:t>开展</w:t>
      </w:r>
      <w:r>
        <w:rPr>
          <w:rFonts w:hint="default" w:ascii="Times New Roman" w:hAnsi="Times New Roman" w:eastAsia="仿宋_GB2312" w:cs="Times New Roman"/>
          <w:sz w:val="32"/>
          <w:szCs w:val="32"/>
          <w:highlight w:val="none"/>
          <w:lang w:val="en-US" w:eastAsia="zh-CN"/>
        </w:rPr>
        <w:t>集体土地征收</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napToGrid/>
          <w:spacing w:val="0"/>
          <w:sz w:val="32"/>
          <w:szCs w:val="32"/>
          <w:lang w:eastAsia="zh-CN"/>
        </w:rPr>
        <w:t>，监管补偿费用到位情况，拆迁工作完成进度。</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2.</w:t>
      </w:r>
      <w:r>
        <w:rPr>
          <w:rFonts w:hint="default" w:ascii="Times New Roman" w:hAnsi="Times New Roman" w:eastAsia="仿宋_GB2312" w:cs="Times New Roman"/>
          <w:kern w:val="0"/>
          <w:sz w:val="32"/>
          <w:szCs w:val="32"/>
          <w:shd w:val="clear" w:color="auto" w:fill="FFFFFF"/>
          <w:lang w:val="zh-CN"/>
        </w:rPr>
        <w:t>收集数据</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开展周边地价数据分析，邀请第三方机构对项目进行评估，与需补偿方进行协商。</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3.</w:t>
      </w:r>
      <w:r>
        <w:rPr>
          <w:rFonts w:hint="default" w:ascii="Times New Roman" w:hAnsi="Times New Roman" w:eastAsia="仿宋_GB2312" w:cs="Times New Roman"/>
          <w:kern w:val="0"/>
          <w:sz w:val="32"/>
          <w:szCs w:val="32"/>
          <w:shd w:val="clear" w:color="auto" w:fill="FFFFFF"/>
          <w:lang w:val="zh-CN"/>
        </w:rPr>
        <w:t>评估结果</w:t>
      </w:r>
    </w:p>
    <w:p>
      <w:pPr>
        <w:pStyle w:val="2"/>
        <w:spacing w:before="93"/>
        <w:ind w:firstLine="640" w:firstLineChars="200"/>
        <w:rPr>
          <w:rFonts w:hint="default" w:ascii="Times New Roman" w:hAnsi="Times New Roman" w:cs="Times New Roman"/>
          <w:sz w:val="32"/>
          <w:szCs w:val="32"/>
          <w:lang w:val="zh-CN"/>
        </w:rPr>
      </w:pPr>
      <w:r>
        <w:rPr>
          <w:rFonts w:hint="default" w:ascii="Times New Roman" w:hAnsi="Times New Roman" w:cs="Times New Roman"/>
          <w:sz w:val="32"/>
          <w:szCs w:val="32"/>
          <w:lang w:val="zh-CN"/>
        </w:rPr>
        <w:t>定期与项目负责人沟通，了解项目进展情况，及时发现问题并解决。对项目的支出和预期效益进行评估分析，比较实际支出与预算的差异，找出节约成本的方法。通过对项目的各个环节进行分析，识别潜在的风险和问题，并制定相应的应对措施。</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4.</w:t>
      </w:r>
      <w:r>
        <w:rPr>
          <w:rFonts w:hint="default" w:ascii="Times New Roman" w:hAnsi="Times New Roman" w:eastAsia="仿宋_GB2312" w:cs="Times New Roman"/>
          <w:kern w:val="0"/>
          <w:sz w:val="32"/>
          <w:szCs w:val="32"/>
          <w:shd w:val="clear" w:color="auto" w:fill="FFFFFF"/>
          <w:lang w:val="zh-CN"/>
        </w:rPr>
        <w:t>实施改进措施</w:t>
      </w:r>
    </w:p>
    <w:p>
      <w:pPr>
        <w:adjustRightInd w:val="0"/>
        <w:snapToGrid w:val="0"/>
        <w:spacing w:line="578"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根据评估结果，制定改进计划，并明确责任人和时间节点。提升业务人员的培训和管理，和谐处理拆迁对象与项目间的矛盾，加强对项目的监督和检查</w:t>
      </w: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仿宋_GB2312" w:cs="Times New Roman"/>
          <w:kern w:val="0"/>
          <w:sz w:val="32"/>
          <w:szCs w:val="32"/>
          <w:shd w:val="clear" w:color="auto" w:fill="FFFFFF"/>
          <w:lang w:val="zh-CN"/>
        </w:rPr>
        <w:t>改进支付节点把控。</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本项目资金共计</w:t>
      </w:r>
      <w:r>
        <w:rPr>
          <w:rFonts w:hint="default" w:ascii="Times New Roman" w:hAnsi="Times New Roman" w:eastAsia="仿宋_GB2312" w:cs="Times New Roman"/>
          <w:kern w:val="0"/>
          <w:sz w:val="32"/>
          <w:szCs w:val="32"/>
          <w:lang w:val="en-US" w:eastAsia="zh-CN"/>
        </w:rPr>
        <w:t>420万</w:t>
      </w:r>
      <w:r>
        <w:rPr>
          <w:rFonts w:hint="default" w:ascii="Times New Roman" w:hAnsi="Times New Roman" w:eastAsia="仿宋_GB2312" w:cs="Times New Roman"/>
          <w:kern w:val="0"/>
          <w:sz w:val="32"/>
          <w:szCs w:val="32"/>
        </w:rPr>
        <w:t>元，其中</w:t>
      </w:r>
      <w:r>
        <w:rPr>
          <w:rFonts w:hint="default" w:ascii="Times New Roman" w:hAnsi="Times New Roman" w:eastAsia="仿宋_GB2312" w:cs="Times New Roman"/>
          <w:kern w:val="0"/>
          <w:sz w:val="32"/>
          <w:szCs w:val="32"/>
          <w:lang w:val="en-US" w:eastAsia="zh-CN"/>
        </w:rPr>
        <w:t>420万</w:t>
      </w:r>
      <w:r>
        <w:rPr>
          <w:rFonts w:hint="default" w:ascii="Times New Roman" w:hAnsi="Times New Roman" w:eastAsia="仿宋_GB2312" w:cs="Times New Roman"/>
          <w:kern w:val="0"/>
          <w:sz w:val="32"/>
          <w:szCs w:val="32"/>
        </w:rPr>
        <w:t>元为</w:t>
      </w:r>
      <w:r>
        <w:rPr>
          <w:rFonts w:hint="default" w:ascii="Times New Roman" w:hAnsi="Times New Roman" w:eastAsia="仿宋_GB2312" w:cs="Times New Roman"/>
          <w:sz w:val="32"/>
          <w:szCs w:val="32"/>
          <w:lang w:val="en-US" w:eastAsia="zh-CN"/>
        </w:rPr>
        <w:t>B4线建设</w:t>
      </w:r>
      <w:r>
        <w:rPr>
          <w:rFonts w:hint="default" w:ascii="Times New Roman" w:hAnsi="Times New Roman" w:eastAsia="仿宋" w:cs="Times New Roman"/>
          <w:spacing w:val="-4"/>
          <w:kern w:val="0"/>
          <w:sz w:val="32"/>
          <w:szCs w:val="32"/>
        </w:rPr>
        <w:t>项目</w:t>
      </w:r>
      <w:r>
        <w:rPr>
          <w:rFonts w:hint="default" w:ascii="Times New Roman" w:hAnsi="Times New Roman" w:eastAsia="仿宋_GB2312" w:cs="Times New Roman"/>
          <w:spacing w:val="-4"/>
          <w:kern w:val="0"/>
          <w:sz w:val="32"/>
          <w:szCs w:val="32"/>
        </w:rPr>
        <w:t>用地范围内</w:t>
      </w:r>
      <w:r>
        <w:rPr>
          <w:rFonts w:hint="default" w:ascii="Times New Roman" w:hAnsi="Times New Roman" w:eastAsia="仿宋_GB2312" w:cs="Times New Roman"/>
          <w:spacing w:val="-4"/>
          <w:kern w:val="0"/>
          <w:sz w:val="32"/>
          <w:szCs w:val="32"/>
          <w:lang w:eastAsia="zh-CN"/>
        </w:rPr>
        <w:t>涉及</w:t>
      </w:r>
      <w:r>
        <w:rPr>
          <w:rFonts w:hint="default" w:ascii="Times New Roman" w:hAnsi="Times New Roman" w:eastAsia="仿宋_GB2312" w:cs="Times New Roman"/>
          <w:spacing w:val="-4"/>
          <w:kern w:val="0"/>
          <w:sz w:val="32"/>
          <w:szCs w:val="32"/>
          <w:lang w:val="en-US" w:eastAsia="zh-CN"/>
        </w:rPr>
        <w:t>的</w:t>
      </w:r>
      <w:r>
        <w:rPr>
          <w:rFonts w:hint="default" w:ascii="Times New Roman" w:hAnsi="Times New Roman" w:eastAsia="仿宋_GB2312" w:cs="Times New Roman"/>
          <w:spacing w:val="-4"/>
          <w:kern w:val="0"/>
          <w:sz w:val="32"/>
          <w:szCs w:val="32"/>
        </w:rPr>
        <w:t>农村集体土地</w:t>
      </w:r>
      <w:r>
        <w:rPr>
          <w:rFonts w:hint="default" w:ascii="Times New Roman" w:hAnsi="Times New Roman" w:eastAsia="仿宋_GB2312" w:cs="Times New Roman"/>
          <w:spacing w:val="-4"/>
          <w:kern w:val="0"/>
          <w:sz w:val="32"/>
          <w:szCs w:val="32"/>
          <w:lang w:val="en-US" w:eastAsia="zh-CN"/>
        </w:rPr>
        <w:t>、房屋及地上附着物等进行征拆补偿安置</w:t>
      </w:r>
      <w:r>
        <w:rPr>
          <w:rFonts w:hint="default" w:ascii="Times New Roman" w:hAnsi="Times New Roman" w:eastAsia="仿宋_GB2312" w:cs="Times New Roman"/>
          <w:sz w:val="32"/>
          <w:szCs w:val="32"/>
          <w:lang w:val="en-US" w:eastAsia="zh-CN"/>
        </w:rPr>
        <w:t>费用</w:t>
      </w:r>
      <w:r>
        <w:rPr>
          <w:rFonts w:hint="default" w:ascii="Times New Roman" w:hAnsi="Times New Roman" w:eastAsia="仿宋_GB2312" w:cs="Times New Roman"/>
          <w:kern w:val="0"/>
          <w:sz w:val="32"/>
          <w:szCs w:val="32"/>
        </w:rPr>
        <w:t>，符合资金管理办法等相关规定。</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w:t>
      </w:r>
      <w:r>
        <w:rPr>
          <w:rFonts w:hint="default" w:ascii="Times New Roman" w:hAnsi="Times New Roman" w:eastAsia="仿宋_GB2312" w:cs="Times New Roman"/>
          <w:sz w:val="32"/>
          <w:szCs w:val="32"/>
          <w:lang w:val="zh-CN"/>
        </w:rPr>
        <w:t>资金计划及到位。本项目资金计划为</w:t>
      </w:r>
      <w:r>
        <w:rPr>
          <w:rFonts w:hint="default" w:ascii="Times New Roman" w:hAnsi="Times New Roman" w:eastAsia="仿宋_GB2312" w:cs="Times New Roman"/>
          <w:sz w:val="32"/>
          <w:szCs w:val="32"/>
          <w:lang w:val="en-US" w:eastAsia="zh-CN"/>
        </w:rPr>
        <w:t>420万</w:t>
      </w:r>
      <w:r>
        <w:rPr>
          <w:rFonts w:hint="default" w:ascii="Times New Roman" w:hAnsi="Times New Roman" w:eastAsia="仿宋_GB2312" w:cs="Times New Roman"/>
          <w:sz w:val="32"/>
          <w:szCs w:val="32"/>
          <w:lang w:val="zh-CN"/>
        </w:rPr>
        <w:t>元，截至评价时点，实际到位</w:t>
      </w:r>
      <w:r>
        <w:rPr>
          <w:rFonts w:hint="default" w:ascii="Times New Roman" w:hAnsi="Times New Roman" w:eastAsia="仿宋_GB2312" w:cs="Times New Roman"/>
          <w:sz w:val="32"/>
          <w:szCs w:val="32"/>
          <w:lang w:val="en-US" w:eastAsia="zh-CN"/>
        </w:rPr>
        <w:t>220万</w:t>
      </w:r>
      <w:r>
        <w:rPr>
          <w:rFonts w:hint="default" w:ascii="Times New Roman" w:hAnsi="Times New Roman" w:eastAsia="仿宋_GB2312" w:cs="Times New Roman"/>
          <w:sz w:val="32"/>
          <w:szCs w:val="32"/>
          <w:lang w:val="zh-CN"/>
        </w:rPr>
        <w:t>元，资金到位率为</w:t>
      </w:r>
      <w:r>
        <w:rPr>
          <w:rFonts w:hint="default" w:ascii="Times New Roman" w:hAnsi="Times New Roman" w:eastAsia="仿宋_GB2312" w:cs="Times New Roman"/>
          <w:sz w:val="32"/>
          <w:szCs w:val="32"/>
          <w:lang w:val="en-US" w:eastAsia="zh-CN"/>
        </w:rPr>
        <w:t>52.38</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lang w:val="zh-CN"/>
        </w:rPr>
        <w:t>．资金使用。</w:t>
      </w:r>
      <w:r>
        <w:rPr>
          <w:rFonts w:hint="default" w:ascii="Times New Roman" w:hAnsi="Times New Roman" w:eastAsia="仿宋_GB2312" w:cs="Times New Roman"/>
          <w:sz w:val="32"/>
          <w:szCs w:val="32"/>
          <w:lang w:val="zh-CN"/>
        </w:rPr>
        <w:t>截至评价时点，本项目资金的实际支出</w:t>
      </w:r>
      <w:r>
        <w:rPr>
          <w:rFonts w:hint="default" w:ascii="Times New Roman" w:hAnsi="Times New Roman" w:eastAsia="仿宋_GB2312" w:cs="Times New Roman"/>
          <w:sz w:val="32"/>
          <w:szCs w:val="32"/>
          <w:lang w:val="en-US" w:eastAsia="zh-CN"/>
        </w:rPr>
        <w:t>220万</w:t>
      </w:r>
      <w:r>
        <w:rPr>
          <w:rFonts w:hint="default" w:ascii="Times New Roman" w:hAnsi="Times New Roman" w:eastAsia="仿宋_GB2312" w:cs="Times New Roman"/>
          <w:sz w:val="32"/>
          <w:szCs w:val="32"/>
          <w:lang w:val="zh-CN"/>
        </w:rPr>
        <w:t>元，资金开支范围为补偿款，支付进度</w:t>
      </w:r>
      <w:r>
        <w:rPr>
          <w:rFonts w:hint="default" w:ascii="Times New Roman" w:hAnsi="Times New Roman" w:eastAsia="仿宋_GB2312" w:cs="Times New Roman"/>
          <w:sz w:val="32"/>
          <w:szCs w:val="32"/>
          <w:lang w:val="en-US" w:eastAsia="zh-CN"/>
        </w:rPr>
        <w:t>52.38</w:t>
      </w:r>
      <w:r>
        <w:rPr>
          <w:rFonts w:hint="default" w:ascii="Times New Roman" w:hAnsi="Times New Roman" w:eastAsia="仿宋_GB2312" w:cs="Times New Roman"/>
          <w:sz w:val="32"/>
          <w:szCs w:val="32"/>
          <w:lang w:val="zh-CN"/>
        </w:rPr>
        <w:t>%。支付依据合规合法，资金支付与预算相符。</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该项目严格执行《安置补偿方案》及《会计准则》</w:t>
      </w:r>
      <w:r>
        <w:rPr>
          <w:rFonts w:hint="default" w:ascii="Times New Roman" w:hAnsi="Times New Roman" w:eastAsia="仿宋_GB2312" w:cs="Times New Roman"/>
          <w:sz w:val="32"/>
          <w:szCs w:val="32"/>
          <w:lang w:val="zh-CN"/>
        </w:rPr>
        <w:t>等财务管理制度、财务处理及时、会计核算规范。</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adjustRightInd w:val="0"/>
        <w:snapToGrid w:val="0"/>
        <w:spacing w:line="600" w:lineRule="exact"/>
        <w:ind w:firstLine="720"/>
        <w:rPr>
          <w:rFonts w:hint="default" w:ascii="Times New Roman" w:hAnsi="Times New Roman" w:eastAsia="仿宋_GB2312" w:cs="Times New Roman"/>
          <w:kern w:val="0"/>
          <w:sz w:val="32"/>
          <w:szCs w:val="32"/>
          <w:highlight w:val="yellow"/>
          <w:shd w:val="clear" w:color="auto" w:fill="FFFFFF"/>
          <w:lang w:val="zh-CN"/>
        </w:rPr>
      </w:pPr>
      <w:r>
        <w:rPr>
          <w:rFonts w:hint="default" w:ascii="Times New Roman" w:hAnsi="Times New Roman" w:eastAsia="仿宋_GB2312" w:cs="Times New Roman"/>
          <w:sz w:val="32"/>
          <w:szCs w:val="32"/>
          <w:lang w:val="zh-CN"/>
        </w:rPr>
        <w:t>该项目</w:t>
      </w:r>
      <w:r>
        <w:rPr>
          <w:rFonts w:hint="default" w:ascii="Times New Roman" w:hAnsi="Times New Roman" w:eastAsia="仿宋_GB2312" w:cs="Times New Roman"/>
          <w:kern w:val="2"/>
          <w:sz w:val="32"/>
          <w:szCs w:val="32"/>
          <w:lang w:val="en-US" w:eastAsia="zh-CN" w:bidi="ar-SA"/>
        </w:rPr>
        <w:t>据攀枝花市西区土地储备中心职能职责，由</w:t>
      </w:r>
      <w:r>
        <w:rPr>
          <w:rFonts w:hint="default" w:ascii="Times New Roman" w:hAnsi="Times New Roman" w:eastAsia="仿宋_GB2312" w:cs="Times New Roman"/>
          <w:sz w:val="32"/>
          <w:szCs w:val="32"/>
          <w:lang w:val="zh-CN"/>
        </w:rPr>
        <w:t>攀枝花市西区土地储备中心组织实施，按照《补偿协议》要求，在</w:t>
      </w:r>
      <w:r>
        <w:rPr>
          <w:rFonts w:hint="default" w:ascii="Times New Roman" w:hAnsi="Times New Roman" w:eastAsia="仿宋_GB2312" w:cs="Times New Roman"/>
          <w:sz w:val="32"/>
          <w:szCs w:val="32"/>
          <w:highlight w:val="none"/>
          <w:lang w:val="zh-CN"/>
        </w:rPr>
        <w:t>区财政</w:t>
      </w:r>
      <w:r>
        <w:rPr>
          <w:rFonts w:hint="default" w:ascii="Times New Roman" w:hAnsi="Times New Roman" w:eastAsia="仿宋_GB2312" w:cs="Times New Roman"/>
          <w:sz w:val="32"/>
          <w:szCs w:val="32"/>
          <w:lang w:val="zh-CN"/>
        </w:rPr>
        <w:t>监督管理下实施。</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截至目前，</w:t>
      </w:r>
      <w:r>
        <w:rPr>
          <w:rFonts w:hint="default" w:ascii="Times New Roman" w:hAnsi="Times New Roman" w:eastAsia="仿宋_GB2312" w:cs="Times New Roman"/>
          <w:sz w:val="32"/>
          <w:szCs w:val="32"/>
          <w:lang w:val="en-US" w:eastAsia="zh-CN"/>
        </w:rPr>
        <w:t>完成大水井新区内部道路B4线建设</w:t>
      </w:r>
      <w:r>
        <w:rPr>
          <w:rFonts w:hint="default" w:ascii="Times New Roman" w:hAnsi="Times New Roman" w:eastAsia="仿宋" w:cs="Times New Roman"/>
          <w:spacing w:val="-4"/>
          <w:kern w:val="0"/>
          <w:sz w:val="32"/>
          <w:szCs w:val="32"/>
        </w:rPr>
        <w:t>项目用地</w:t>
      </w:r>
      <w:r>
        <w:rPr>
          <w:rFonts w:hint="default" w:ascii="Times New Roman" w:hAnsi="Times New Roman" w:eastAsia="仿宋" w:cs="Times New Roman"/>
          <w:spacing w:val="-4"/>
          <w:kern w:val="0"/>
          <w:sz w:val="32"/>
          <w:szCs w:val="32"/>
          <w:lang w:eastAsia="zh-CN"/>
        </w:rPr>
        <w:t>拆迁补偿款</w:t>
      </w:r>
      <w:r>
        <w:rPr>
          <w:rFonts w:hint="default" w:ascii="Times New Roman" w:hAnsi="Times New Roman" w:eastAsia="仿宋_GB2312" w:cs="Times New Roman"/>
          <w:sz w:val="32"/>
          <w:szCs w:val="32"/>
          <w:lang w:val="en-US" w:eastAsia="zh-CN"/>
        </w:rPr>
        <w:t>支付工作，拆迁有序进行</w:t>
      </w:r>
      <w:r>
        <w:rPr>
          <w:rFonts w:hint="default" w:ascii="Times New Roman" w:hAnsi="Times New Roman" w:eastAsia="仿宋_GB2312" w:cs="Times New Roman"/>
          <w:sz w:val="32"/>
          <w:szCs w:val="32"/>
          <w:lang w:val="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578" w:lineRule="exact"/>
        <w:ind w:firstLine="720"/>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sz w:val="32"/>
          <w:szCs w:val="32"/>
          <w:lang w:val="en-US" w:eastAsia="zh-CN"/>
        </w:rPr>
        <w:t>完成大水井新区内部道路B4线建设</w:t>
      </w:r>
      <w:r>
        <w:rPr>
          <w:rFonts w:hint="default" w:ascii="Times New Roman" w:hAnsi="Times New Roman" w:eastAsia="仿宋" w:cs="Times New Roman"/>
          <w:spacing w:val="-4"/>
          <w:kern w:val="0"/>
          <w:sz w:val="32"/>
          <w:szCs w:val="32"/>
        </w:rPr>
        <w:t>项目用地</w:t>
      </w:r>
      <w:r>
        <w:rPr>
          <w:rFonts w:hint="default" w:ascii="Times New Roman" w:hAnsi="Times New Roman" w:eastAsia="仿宋" w:cs="Times New Roman"/>
          <w:spacing w:val="-4"/>
          <w:kern w:val="0"/>
          <w:sz w:val="32"/>
          <w:szCs w:val="32"/>
          <w:lang w:eastAsia="zh-CN"/>
        </w:rPr>
        <w:t>拆迁补偿款支付工作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可以</w:t>
      </w:r>
      <w:r>
        <w:rPr>
          <w:rFonts w:hint="default" w:ascii="Times New Roman" w:hAnsi="Times New Roman" w:eastAsia="仿宋_GB2312" w:cs="Times New Roman"/>
          <w:snapToGrid w:val="0"/>
          <w:sz w:val="32"/>
          <w:szCs w:val="32"/>
          <w:lang w:val="en-US" w:eastAsia="zh-CN"/>
        </w:rPr>
        <w:t>尽快拆除地上建（构）筑物，</w:t>
      </w:r>
      <w:r>
        <w:rPr>
          <w:rFonts w:hint="default" w:ascii="Times New Roman" w:hAnsi="Times New Roman" w:eastAsia="仿宋_GB2312" w:cs="Times New Roman"/>
          <w:snapToGrid w:val="0"/>
          <w:sz w:val="32"/>
          <w:szCs w:val="32"/>
        </w:rPr>
        <w:t>加快推进</w:t>
      </w:r>
      <w:r>
        <w:rPr>
          <w:rFonts w:hint="default" w:ascii="Times New Roman" w:hAnsi="Times New Roman" w:eastAsia="仿宋_GB2312" w:cs="Times New Roman"/>
          <w:snapToGrid/>
          <w:spacing w:val="0"/>
          <w:sz w:val="32"/>
          <w:szCs w:val="32"/>
        </w:rPr>
        <w:t>大水井新区内部道路B4线</w:t>
      </w:r>
      <w:r>
        <w:rPr>
          <w:rFonts w:hint="default" w:ascii="Times New Roman" w:hAnsi="Times New Roman" w:eastAsia="仿宋_GB2312" w:cs="Times New Roman"/>
          <w:snapToGrid w:val="0"/>
          <w:sz w:val="32"/>
          <w:szCs w:val="32"/>
        </w:rPr>
        <w:t>建设</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z w:val="32"/>
          <w:szCs w:val="32"/>
        </w:rPr>
        <w:t>保障</w:t>
      </w:r>
      <w:r>
        <w:rPr>
          <w:rFonts w:hint="default" w:ascii="Times New Roman" w:hAnsi="Times New Roman" w:eastAsia="仿宋_GB2312" w:cs="Times New Roman"/>
          <w:snapToGrid/>
          <w:spacing w:val="0"/>
          <w:sz w:val="32"/>
          <w:szCs w:val="32"/>
        </w:rPr>
        <w:t>大水井新区内部道路B4线</w:t>
      </w:r>
      <w:r>
        <w:rPr>
          <w:rFonts w:hint="default" w:ascii="Times New Roman" w:hAnsi="Times New Roman" w:eastAsia="仿宋_GB2312" w:cs="Times New Roman"/>
          <w:snapToGrid w:val="0"/>
          <w:sz w:val="32"/>
          <w:szCs w:val="32"/>
        </w:rPr>
        <w:t>建设</w:t>
      </w:r>
      <w:r>
        <w:rPr>
          <w:rFonts w:hint="default" w:ascii="Times New Roman" w:hAnsi="Times New Roman" w:eastAsia="仿宋_GB2312" w:cs="Times New Roman"/>
          <w:sz w:val="32"/>
          <w:szCs w:val="32"/>
        </w:rPr>
        <w:t>，促进西区发展</w:t>
      </w:r>
      <w:r>
        <w:rPr>
          <w:rFonts w:hint="default" w:ascii="Times New Roman" w:hAnsi="Times New Roman" w:eastAsia="仿宋_GB2312" w:cs="Times New Roman"/>
          <w:sz w:val="32"/>
          <w:szCs w:val="32"/>
          <w:lang w:eastAsia="zh-CN"/>
        </w:rPr>
        <w:t>。</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根据绩效评价结果，本项目得出了以下结论：(1)土地储备满意度较高；(2)各项组织保障工作完成较好；(3)保障土地出让有序完成。</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zh-CN"/>
        </w:rPr>
        <w:t>无</w:t>
      </w:r>
      <w:r>
        <w:rPr>
          <w:rFonts w:hint="default" w:ascii="Times New Roman" w:hAnsi="Times New Roman" w:eastAsia="仿宋_GB2312" w:cs="Times New Roman"/>
          <w:kern w:val="0"/>
          <w:sz w:val="32"/>
          <w:szCs w:val="32"/>
          <w:shd w:val="clear" w:color="auto" w:fill="FFFFFF"/>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widowControl/>
        <w:adjustRightInd w:val="0"/>
        <w:snapToGrid w:val="0"/>
        <w:spacing w:line="578" w:lineRule="exact"/>
        <w:ind w:firstLine="640" w:firstLineChars="200"/>
        <w:contextualSpacing/>
        <w:jc w:val="left"/>
        <w:rPr>
          <w:rStyle w:val="36"/>
          <w:rFonts w:hint="default" w:ascii="Times New Roman" w:hAnsi="Times New Roman" w:eastAsia="黑体" w:cs="Times New Roman"/>
          <w:b w:val="0"/>
          <w:sz w:val="32"/>
          <w:szCs w:val="32"/>
        </w:rPr>
      </w:pPr>
      <w:r>
        <w:rPr>
          <w:rFonts w:hint="default" w:ascii="Times New Roman" w:hAnsi="Times New Roman" w:eastAsia="仿宋_GB2312" w:cs="Times New Roman"/>
          <w:kern w:val="0"/>
          <w:sz w:val="32"/>
          <w:szCs w:val="32"/>
          <w:shd w:val="clear" w:color="auto" w:fill="FFFFFF"/>
          <w:lang w:val="zh-CN"/>
        </w:rPr>
        <w:t>无。</w:t>
      </w:r>
    </w:p>
    <w:p>
      <w:pPr>
        <w:spacing w:line="580" w:lineRule="exact"/>
        <w:ind w:firstLine="640"/>
        <w:rPr>
          <w:rFonts w:hint="default" w:ascii="Times New Roman" w:hAnsi="Times New Roman" w:eastAsia="仿宋_GB2312" w:cs="Times New Roman"/>
          <w:sz w:val="32"/>
          <w:szCs w:val="32"/>
        </w:rPr>
      </w:pPr>
    </w:p>
    <w:p>
      <w:pPr>
        <w:spacing w:line="580" w:lineRule="exact"/>
        <w:ind w:firstLine="640"/>
        <w:rPr>
          <w:rFonts w:hint="default" w:ascii="Times New Roman" w:hAnsi="Times New Roman" w:eastAsia="仿宋_GB2312" w:cs="Times New Roman"/>
          <w:sz w:val="32"/>
          <w:szCs w:val="32"/>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jc w:val="center"/>
        <w:outlineLvl w:val="0"/>
        <w:rPr>
          <w:rStyle w:val="28"/>
          <w:rFonts w:hint="default" w:ascii="Times New Roman" w:hAnsi="Times New Roman" w:eastAsia="黑体" w:cs="Times New Roman"/>
          <w:b w:val="0"/>
        </w:rPr>
      </w:pPr>
      <w:r>
        <w:rPr>
          <w:rStyle w:val="28"/>
          <w:rFonts w:hint="default" w:ascii="Times New Roman" w:hAnsi="Times New Roman" w:eastAsia="黑体" w:cs="Times New Roman"/>
          <w:b w:val="0"/>
        </w:rPr>
        <w:t>大水井新区内部道路B4线第一期</w:t>
      </w:r>
    </w:p>
    <w:p>
      <w:pPr>
        <w:spacing w:line="600" w:lineRule="exact"/>
        <w:jc w:val="center"/>
        <w:outlineLvl w:val="0"/>
        <w:rPr>
          <w:rFonts w:hint="default" w:ascii="Times New Roman" w:hAnsi="Times New Roman" w:cs="Times New Roman"/>
          <w:sz w:val="32"/>
          <w:szCs w:val="32"/>
          <w:lang w:val="zh-CN"/>
        </w:rPr>
      </w:pPr>
      <w:r>
        <w:rPr>
          <w:rStyle w:val="28"/>
          <w:rFonts w:hint="default" w:ascii="Times New Roman" w:hAnsi="Times New Roman" w:eastAsia="黑体" w:cs="Times New Roman"/>
          <w:b w:val="0"/>
        </w:rPr>
        <w:t>协议补偿款</w:t>
      </w:r>
      <w:r>
        <w:rPr>
          <w:rFonts w:hint="default" w:ascii="Times New Roman" w:hAnsi="Times New Roman" w:eastAsia="方正小标宋简体" w:cs="Times New Roman"/>
          <w:sz w:val="40"/>
          <w:szCs w:val="40"/>
          <w:lang w:val="zh-CN"/>
        </w:rPr>
        <w:t>专项预算项目支出绩效自评报告</w:t>
      </w: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keepNext w:val="0"/>
        <w:keepLines w:val="0"/>
        <w:widowControl/>
        <w:suppressLineNumbers w:val="0"/>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napToGrid/>
          <w:spacing w:val="0"/>
          <w:sz w:val="32"/>
          <w:szCs w:val="32"/>
        </w:rPr>
        <w:t>为加快“山水灵秀新城”建设和城市改造</w:t>
      </w:r>
      <w:r>
        <w:rPr>
          <w:rFonts w:hint="default" w:ascii="Times New Roman" w:hAnsi="Times New Roman" w:eastAsia="仿宋_GB2312" w:cs="Times New Roman"/>
          <w:snapToGrid/>
          <w:spacing w:val="0"/>
          <w:sz w:val="32"/>
          <w:szCs w:val="32"/>
          <w:lang w:eastAsia="zh-CN"/>
        </w:rPr>
        <w:t>，</w:t>
      </w:r>
      <w:r>
        <w:rPr>
          <w:rFonts w:hint="default" w:ascii="Times New Roman" w:hAnsi="Times New Roman" w:eastAsia="仿宋_GB2312" w:cs="Times New Roman"/>
          <w:snapToGrid/>
          <w:spacing w:val="0"/>
          <w:sz w:val="32"/>
          <w:szCs w:val="32"/>
        </w:rPr>
        <w:t>满足西区大水井新区内部道路B4线建设用地需要</w:t>
      </w:r>
      <w:r>
        <w:rPr>
          <w:rFonts w:hint="default" w:ascii="Times New Roman" w:hAnsi="Times New Roman" w:eastAsia="仿宋_GB2312" w:cs="Times New Roman"/>
          <w:sz w:val="32"/>
          <w:szCs w:val="32"/>
        </w:rPr>
        <w:t>，根据中心职能职责，负责</w:t>
      </w:r>
      <w:r>
        <w:rPr>
          <w:rFonts w:hint="default" w:ascii="Times New Roman" w:hAnsi="Times New Roman" w:eastAsia="仿宋_GB2312" w:cs="Times New Roman"/>
          <w:sz w:val="32"/>
          <w:szCs w:val="32"/>
          <w:lang w:val="en-US" w:eastAsia="zh-CN"/>
        </w:rPr>
        <w:t>土地收储工作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本项目包括</w:t>
      </w:r>
      <w:r>
        <w:rPr>
          <w:rFonts w:hint="default" w:ascii="Times New Roman" w:hAnsi="Times New Roman" w:eastAsia="仿宋_GB2312" w:cs="Times New Roman"/>
          <w:snapToGrid/>
          <w:color w:val="000000"/>
          <w:spacing w:val="0"/>
          <w:sz w:val="32"/>
          <w:szCs w:val="32"/>
          <w:lang w:val="en-US" w:eastAsia="zh-CN" w:bidi="ar"/>
        </w:rPr>
        <w:t>支付攀枝花市水务（集团）有限公司、四川攀枝花大水井省粮食储备库第一期协议补偿款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SA"/>
        </w:rPr>
        <w:t>根据攀枝花市西区土地储备中心职能职责，负责全区农村集体土地的征收拆迁补偿安置、收购及储备等事务性工作，为政府供应土地提供必要保障。</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1．项目主要内容。</w:t>
      </w:r>
    </w:p>
    <w:p>
      <w:pPr>
        <w:keepNext w:val="0"/>
        <w:keepLines w:val="0"/>
        <w:pageBreakBefore w:val="0"/>
        <w:kinsoku/>
        <w:wordWrap/>
        <w:overflowPunct/>
        <w:topLinePunct w:val="0"/>
        <w:autoSpaceDE/>
        <w:autoSpaceDN/>
        <w:bidi w:val="0"/>
        <w:adjustRightInd/>
        <w:snapToGrid/>
        <w:spacing w:beforeAutospacing="0" w:afterAutospacing="0" w:line="353" w:lineRule="auto"/>
        <w:ind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val="en-US" w:eastAsia="zh-CN"/>
        </w:rPr>
        <w:t>大水井新区内部道路B4线河门口水厂营业厅第一期协议补偿款</w:t>
      </w:r>
      <w:r>
        <w:rPr>
          <w:rFonts w:hint="default" w:ascii="Times New Roman" w:hAnsi="Times New Roman" w:eastAsia="仿宋_GB2312" w:cs="Times New Roman"/>
          <w:sz w:val="32"/>
          <w:szCs w:val="32"/>
        </w:rPr>
        <w:t>的总体绩效目标为</w:t>
      </w:r>
      <w:r>
        <w:rPr>
          <w:rFonts w:hint="default" w:ascii="Times New Roman" w:hAnsi="Times New Roman" w:eastAsia="仿宋_GB2312" w:cs="Times New Roman"/>
          <w:sz w:val="32"/>
          <w:szCs w:val="32"/>
          <w:lang w:val="en-US" w:eastAsia="zh-CN"/>
        </w:rPr>
        <w:t>支付</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第一期协议补偿款</w:t>
      </w:r>
      <w:r>
        <w:rPr>
          <w:rFonts w:hint="default" w:ascii="Times New Roman" w:hAnsi="Times New Roman" w:eastAsia="仿宋_GB2312" w:cs="Times New Roman"/>
          <w:sz w:val="32"/>
          <w:szCs w:val="32"/>
        </w:rPr>
        <w:t>。</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本项目总体目标为</w:t>
      </w:r>
      <w:r>
        <w:rPr>
          <w:rFonts w:hint="default" w:ascii="Times New Roman" w:hAnsi="Times New Roman" w:eastAsia="仿宋_GB2312" w:cs="Times New Roman"/>
          <w:snapToGrid/>
          <w:spacing w:val="0"/>
          <w:sz w:val="32"/>
          <w:szCs w:val="32"/>
        </w:rPr>
        <w:t>加快“山水灵秀新城”建设和城市改造</w:t>
      </w:r>
      <w:r>
        <w:rPr>
          <w:rFonts w:hint="default" w:ascii="Times New Roman" w:hAnsi="Times New Roman" w:eastAsia="仿宋_GB2312" w:cs="Times New Roman"/>
          <w:snapToGrid/>
          <w:spacing w:val="0"/>
          <w:sz w:val="32"/>
          <w:szCs w:val="32"/>
          <w:lang w:eastAsia="zh-CN"/>
        </w:rPr>
        <w:t>，</w:t>
      </w:r>
      <w:r>
        <w:rPr>
          <w:rFonts w:hint="default" w:ascii="Times New Roman" w:hAnsi="Times New Roman" w:eastAsia="仿宋_GB2312" w:cs="Times New Roman"/>
          <w:snapToGrid/>
          <w:spacing w:val="0"/>
          <w:sz w:val="32"/>
          <w:szCs w:val="32"/>
        </w:rPr>
        <w:t>满足西区大水井新区内部道路B4线建设用地需要</w:t>
      </w:r>
      <w:r>
        <w:rPr>
          <w:rFonts w:hint="default" w:ascii="Times New Roman" w:hAnsi="Times New Roman" w:eastAsia="仿宋_GB2312" w:cs="Times New Roman"/>
          <w:snapToGrid/>
          <w:spacing w:val="0"/>
          <w:sz w:val="32"/>
          <w:szCs w:val="32"/>
          <w:lang w:val="en-US" w:eastAsia="zh-CN"/>
        </w:rPr>
        <w:t>,完成</w:t>
      </w:r>
      <w:r>
        <w:rPr>
          <w:rFonts w:hint="default" w:ascii="Times New Roman" w:hAnsi="Times New Roman" w:eastAsia="仿宋_GB2312" w:cs="Times New Roman"/>
          <w:sz w:val="32"/>
          <w:szCs w:val="32"/>
          <w:lang w:val="en-US" w:eastAsia="zh-CN"/>
        </w:rPr>
        <w:t>大水井新区内部道路B4线拆迁补偿按期完成，数量目标为：协议补偿款[</w:t>
      </w:r>
      <w:r>
        <w:rPr>
          <w:rFonts w:hint="default" w:ascii="Times New Roman" w:hAnsi="Times New Roman" w:eastAsia="仿宋_GB2312" w:cs="Times New Roman"/>
          <w:snapToGrid/>
          <w:color w:val="000000"/>
          <w:spacing w:val="0"/>
          <w:sz w:val="32"/>
          <w:szCs w:val="32"/>
          <w:lang w:val="en-US" w:eastAsia="zh-CN" w:bidi="ar"/>
        </w:rPr>
        <w:t>攀枝花市水务（集团）有限公司</w:t>
      </w:r>
      <w:r>
        <w:rPr>
          <w:rFonts w:hint="default" w:ascii="Times New Roman" w:hAnsi="Times New Roman" w:eastAsia="仿宋_GB2312" w:cs="Times New Roman"/>
          <w:sz w:val="32"/>
          <w:szCs w:val="32"/>
          <w:lang w:val="en-US" w:eastAsia="zh-CN"/>
        </w:rPr>
        <w:t>]补偿款220万元</w:t>
      </w:r>
      <w:r>
        <w:rPr>
          <w:rFonts w:hint="default" w:ascii="Times New Roman" w:hAnsi="Times New Roman" w:eastAsia="仿宋_GB2312" w:cs="Times New Roman"/>
          <w:kern w:val="0"/>
          <w:sz w:val="32"/>
          <w:szCs w:val="32"/>
          <w:shd w:val="clear" w:color="auto" w:fill="FFFFFF"/>
          <w:lang w:val="zh-CN"/>
        </w:rPr>
        <w:t>此补偿款按照补偿协议支付。</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w:t>
      </w:r>
      <w:r>
        <w:rPr>
          <w:rFonts w:hint="default" w:ascii="Times New Roman" w:hAnsi="Times New Roman" w:eastAsia="仿宋_GB2312" w:cs="Times New Roman"/>
          <w:b/>
          <w:sz w:val="32"/>
          <w:szCs w:val="32"/>
          <w:lang w:val="zh-CN"/>
        </w:rPr>
        <w:t>项目资金申报相符性。</w:t>
      </w:r>
      <w:r>
        <w:rPr>
          <w:rFonts w:hint="default" w:ascii="Times New Roman" w:hAnsi="Times New Roman" w:eastAsia="仿宋_GB2312" w:cs="Times New Roman"/>
          <w:sz w:val="32"/>
          <w:szCs w:val="32"/>
          <w:lang w:val="zh-CN"/>
        </w:rPr>
        <w:t>该项目申报内容与具体实施内容相符、申报目标合理可行。</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kern w:val="0"/>
          <w:sz w:val="32"/>
          <w:szCs w:val="32"/>
          <w:shd w:val="clear" w:color="auto" w:fill="FFFFFF"/>
          <w:lang w:val="zh-CN"/>
        </w:rPr>
        <w:t>确定评价指标</w:t>
      </w:r>
    </w:p>
    <w:p>
      <w:pPr>
        <w:adjustRightInd w:val="0"/>
        <w:snapToGrid w:val="0"/>
        <w:spacing w:line="578" w:lineRule="exact"/>
        <w:ind w:firstLine="720"/>
        <w:rPr>
          <w:rFonts w:hint="default" w:ascii="Times New Roman" w:hAnsi="Times New Roman" w:eastAsia="仿宋_GB2312" w:cs="Times New Roman"/>
          <w:snapToGrid/>
          <w:spacing w:val="0"/>
          <w:sz w:val="32"/>
          <w:szCs w:val="32"/>
          <w:lang w:eastAsia="zh-CN"/>
        </w:rPr>
      </w:pPr>
      <w:r>
        <w:rPr>
          <w:rFonts w:hint="default" w:ascii="Times New Roman" w:hAnsi="Times New Roman" w:eastAsia="仿宋_GB2312" w:cs="Times New Roman"/>
          <w:snapToGrid/>
          <w:spacing w:val="0"/>
          <w:sz w:val="32"/>
          <w:szCs w:val="32"/>
        </w:rPr>
        <w:t>为加快“山水灵秀新城”建设和城市改造</w:t>
      </w:r>
      <w:r>
        <w:rPr>
          <w:rFonts w:hint="default" w:ascii="Times New Roman" w:hAnsi="Times New Roman" w:eastAsia="仿宋_GB2312" w:cs="Times New Roman"/>
          <w:snapToGrid/>
          <w:spacing w:val="0"/>
          <w:sz w:val="32"/>
          <w:szCs w:val="32"/>
          <w:lang w:eastAsia="zh-CN"/>
        </w:rPr>
        <w:t>，</w:t>
      </w:r>
      <w:r>
        <w:rPr>
          <w:rFonts w:hint="default" w:ascii="Times New Roman" w:hAnsi="Times New Roman" w:eastAsia="仿宋_GB2312" w:cs="Times New Roman"/>
          <w:snapToGrid/>
          <w:spacing w:val="0"/>
          <w:sz w:val="32"/>
          <w:szCs w:val="32"/>
        </w:rPr>
        <w:t>满足西区大水井新区内部道路B4线建设用地需要</w:t>
      </w:r>
      <w:r>
        <w:rPr>
          <w:rFonts w:hint="default" w:ascii="Times New Roman" w:hAnsi="Times New Roman" w:eastAsia="仿宋_GB2312" w:cs="Times New Roman"/>
          <w:snapToGrid/>
          <w:spacing w:val="0"/>
          <w:sz w:val="32"/>
          <w:szCs w:val="32"/>
          <w:lang w:eastAsia="zh-CN"/>
        </w:rPr>
        <w:t>进行拆迁补偿，监管补偿费用到位情况，拆迁工作完成进度。</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2.</w:t>
      </w:r>
      <w:r>
        <w:rPr>
          <w:rFonts w:hint="default" w:ascii="Times New Roman" w:hAnsi="Times New Roman" w:eastAsia="仿宋_GB2312" w:cs="Times New Roman"/>
          <w:kern w:val="0"/>
          <w:sz w:val="32"/>
          <w:szCs w:val="32"/>
          <w:shd w:val="clear" w:color="auto" w:fill="FFFFFF"/>
          <w:lang w:val="zh-CN"/>
        </w:rPr>
        <w:t>收集数据</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开展周边地价数据分析，邀请第三方机构对项目进行评估，与拆迁方进行协商。</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3.</w:t>
      </w:r>
      <w:r>
        <w:rPr>
          <w:rFonts w:hint="default" w:ascii="Times New Roman" w:hAnsi="Times New Roman" w:eastAsia="仿宋_GB2312" w:cs="Times New Roman"/>
          <w:kern w:val="0"/>
          <w:sz w:val="32"/>
          <w:szCs w:val="32"/>
          <w:shd w:val="clear" w:color="auto" w:fill="FFFFFF"/>
          <w:lang w:val="zh-CN"/>
        </w:rPr>
        <w:t>评估结果</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针对存在的问题和改进的空间，提出具体的建议措施，以改进支付节点把控及控制成本。</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4.</w:t>
      </w:r>
      <w:r>
        <w:rPr>
          <w:rFonts w:hint="default" w:ascii="Times New Roman" w:hAnsi="Times New Roman" w:eastAsia="仿宋_GB2312" w:cs="Times New Roman"/>
          <w:kern w:val="0"/>
          <w:sz w:val="32"/>
          <w:szCs w:val="32"/>
          <w:shd w:val="clear" w:color="auto" w:fill="FFFFFF"/>
          <w:lang w:val="zh-CN"/>
        </w:rPr>
        <w:t>实施改进措施</w:t>
      </w:r>
    </w:p>
    <w:p>
      <w:pPr>
        <w:adjustRightInd w:val="0"/>
        <w:snapToGrid w:val="0"/>
        <w:spacing w:line="578"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根据评估结果，制定改进计划，并明确责任人和时间节点。提升业务人员的培训和管理，加强对项目的监督和检查</w:t>
      </w: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仿宋_GB2312" w:cs="Times New Roman"/>
          <w:kern w:val="0"/>
          <w:sz w:val="32"/>
          <w:szCs w:val="32"/>
          <w:shd w:val="clear" w:color="auto" w:fill="FFFFFF"/>
          <w:lang w:val="zh-CN"/>
        </w:rPr>
        <w:t>改进支付节点把控。</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本项目资金共计</w:t>
      </w:r>
      <w:r>
        <w:rPr>
          <w:rFonts w:hint="default" w:ascii="Times New Roman" w:hAnsi="Times New Roman" w:eastAsia="仿宋_GB2312" w:cs="Times New Roman"/>
          <w:kern w:val="0"/>
          <w:sz w:val="32"/>
          <w:szCs w:val="32"/>
          <w:lang w:val="en-US" w:eastAsia="zh-CN"/>
        </w:rPr>
        <w:t>200万</w:t>
      </w:r>
      <w:r>
        <w:rPr>
          <w:rFonts w:hint="default" w:ascii="Times New Roman" w:hAnsi="Times New Roman" w:eastAsia="仿宋_GB2312" w:cs="Times New Roman"/>
          <w:kern w:val="0"/>
          <w:sz w:val="32"/>
          <w:szCs w:val="32"/>
        </w:rPr>
        <w:t>元，为</w:t>
      </w:r>
      <w:r>
        <w:rPr>
          <w:rFonts w:hint="default" w:ascii="Times New Roman" w:hAnsi="Times New Roman" w:eastAsia="仿宋_GB2312" w:cs="Times New Roman"/>
          <w:snapToGrid/>
          <w:color w:val="000000"/>
          <w:spacing w:val="0"/>
          <w:sz w:val="32"/>
          <w:szCs w:val="32"/>
          <w:lang w:val="en-US" w:eastAsia="zh-CN" w:bidi="ar"/>
        </w:rPr>
        <w:t>攀枝花市水务（集团）有限公司补偿款</w:t>
      </w:r>
      <w:r>
        <w:rPr>
          <w:rFonts w:hint="default" w:ascii="Times New Roman" w:hAnsi="Times New Roman" w:eastAsia="仿宋_GB2312" w:cs="Times New Roman"/>
          <w:kern w:val="0"/>
          <w:sz w:val="32"/>
          <w:szCs w:val="32"/>
        </w:rPr>
        <w:t>，符合资金管理办法等相关规定。</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w:t>
      </w:r>
      <w:r>
        <w:rPr>
          <w:rFonts w:hint="default" w:ascii="Times New Roman" w:hAnsi="Times New Roman" w:eastAsia="仿宋_GB2312" w:cs="Times New Roman"/>
          <w:sz w:val="32"/>
          <w:szCs w:val="32"/>
          <w:lang w:val="zh-CN"/>
        </w:rPr>
        <w:t>资金计划及到位。本项目资金计划为</w:t>
      </w:r>
      <w:r>
        <w:rPr>
          <w:rFonts w:hint="default" w:ascii="Times New Roman" w:hAnsi="Times New Roman" w:eastAsia="仿宋_GB2312" w:cs="Times New Roman"/>
          <w:sz w:val="32"/>
          <w:szCs w:val="32"/>
          <w:lang w:val="en-US" w:eastAsia="zh-CN"/>
        </w:rPr>
        <w:t>200万</w:t>
      </w:r>
      <w:r>
        <w:rPr>
          <w:rFonts w:hint="default" w:ascii="Times New Roman" w:hAnsi="Times New Roman" w:eastAsia="仿宋_GB2312" w:cs="Times New Roman"/>
          <w:sz w:val="32"/>
          <w:szCs w:val="32"/>
          <w:lang w:val="zh-CN"/>
        </w:rPr>
        <w:t>元，截至评价时点，实际到位</w:t>
      </w:r>
      <w:r>
        <w:rPr>
          <w:rFonts w:hint="default" w:ascii="Times New Roman" w:hAnsi="Times New Roman" w:eastAsia="仿宋_GB2312" w:cs="Times New Roman"/>
          <w:sz w:val="32"/>
          <w:szCs w:val="32"/>
          <w:lang w:val="en-US" w:eastAsia="zh-CN"/>
        </w:rPr>
        <w:t>200万</w:t>
      </w:r>
      <w:r>
        <w:rPr>
          <w:rFonts w:hint="default" w:ascii="Times New Roman" w:hAnsi="Times New Roman" w:eastAsia="仿宋_GB2312" w:cs="Times New Roman"/>
          <w:sz w:val="32"/>
          <w:szCs w:val="32"/>
          <w:lang w:val="zh-CN"/>
        </w:rPr>
        <w:t>元，资金到位率为</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lang w:val="zh-CN"/>
        </w:rPr>
        <w:t>．资金使用。</w:t>
      </w:r>
      <w:r>
        <w:rPr>
          <w:rFonts w:hint="default" w:ascii="Times New Roman" w:hAnsi="Times New Roman" w:eastAsia="仿宋_GB2312" w:cs="Times New Roman"/>
          <w:sz w:val="32"/>
          <w:szCs w:val="32"/>
          <w:lang w:val="zh-CN"/>
        </w:rPr>
        <w:t>截至评价时点，本项目资金的实际支出</w:t>
      </w:r>
      <w:r>
        <w:rPr>
          <w:rFonts w:hint="default" w:ascii="Times New Roman" w:hAnsi="Times New Roman" w:eastAsia="仿宋_GB2312" w:cs="Times New Roman"/>
          <w:sz w:val="32"/>
          <w:szCs w:val="32"/>
          <w:lang w:val="en-US" w:eastAsia="zh-CN"/>
        </w:rPr>
        <w:t>200万</w:t>
      </w:r>
      <w:r>
        <w:rPr>
          <w:rFonts w:hint="default" w:ascii="Times New Roman" w:hAnsi="Times New Roman" w:eastAsia="仿宋_GB2312" w:cs="Times New Roman"/>
          <w:sz w:val="32"/>
          <w:szCs w:val="32"/>
          <w:lang w:val="zh-CN"/>
        </w:rPr>
        <w:t>元，资金开支范围为补偿款，支付进度</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%。支付依据合规合法，资金支付与预算相符。</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该项目严格执行《补偿协议》及《会计准则》</w:t>
      </w:r>
      <w:r>
        <w:rPr>
          <w:rFonts w:hint="default" w:ascii="Times New Roman" w:hAnsi="Times New Roman" w:eastAsia="仿宋_GB2312" w:cs="Times New Roman"/>
          <w:sz w:val="32"/>
          <w:szCs w:val="32"/>
          <w:lang w:val="zh-CN"/>
        </w:rPr>
        <w:t>等财务管理制度、财务处理及时、会计核算规范。</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adjustRightInd w:val="0"/>
        <w:snapToGrid w:val="0"/>
        <w:spacing w:line="600" w:lineRule="exact"/>
        <w:ind w:firstLine="720"/>
        <w:rPr>
          <w:rFonts w:hint="default" w:ascii="Times New Roman" w:hAnsi="Times New Roman" w:eastAsia="仿宋_GB2312" w:cs="Times New Roman"/>
          <w:kern w:val="0"/>
          <w:sz w:val="32"/>
          <w:szCs w:val="32"/>
          <w:highlight w:val="yellow"/>
          <w:shd w:val="clear" w:color="auto" w:fill="FFFFFF"/>
          <w:lang w:val="zh-CN"/>
        </w:rPr>
      </w:pPr>
      <w:r>
        <w:rPr>
          <w:rFonts w:hint="default" w:ascii="Times New Roman" w:hAnsi="Times New Roman" w:eastAsia="仿宋_GB2312" w:cs="Times New Roman"/>
          <w:sz w:val="32"/>
          <w:szCs w:val="32"/>
          <w:lang w:val="zh-CN"/>
        </w:rPr>
        <w:t>该项目</w:t>
      </w:r>
      <w:r>
        <w:rPr>
          <w:rFonts w:hint="default" w:ascii="Times New Roman" w:hAnsi="Times New Roman" w:eastAsia="仿宋_GB2312" w:cs="Times New Roman"/>
          <w:kern w:val="2"/>
          <w:sz w:val="32"/>
          <w:szCs w:val="32"/>
          <w:lang w:val="en-US" w:eastAsia="zh-CN" w:bidi="ar-SA"/>
        </w:rPr>
        <w:t>据攀枝花市西区土地储备中心职能职责，由</w:t>
      </w:r>
      <w:r>
        <w:rPr>
          <w:rFonts w:hint="default" w:ascii="Times New Roman" w:hAnsi="Times New Roman" w:eastAsia="仿宋_GB2312" w:cs="Times New Roman"/>
          <w:sz w:val="32"/>
          <w:szCs w:val="32"/>
          <w:lang w:val="zh-CN"/>
        </w:rPr>
        <w:t>攀枝花市西区土地储备中心组织实施，按照《补偿协议》要求，在</w:t>
      </w:r>
      <w:r>
        <w:rPr>
          <w:rFonts w:hint="default" w:ascii="Times New Roman" w:hAnsi="Times New Roman" w:eastAsia="仿宋_GB2312" w:cs="Times New Roman"/>
          <w:sz w:val="32"/>
          <w:szCs w:val="32"/>
          <w:highlight w:val="none"/>
          <w:lang w:val="zh-CN"/>
        </w:rPr>
        <w:t>区财政</w:t>
      </w:r>
      <w:r>
        <w:rPr>
          <w:rFonts w:hint="default" w:ascii="Times New Roman" w:hAnsi="Times New Roman" w:eastAsia="仿宋_GB2312" w:cs="Times New Roman"/>
          <w:sz w:val="32"/>
          <w:szCs w:val="32"/>
          <w:lang w:val="zh-CN"/>
        </w:rPr>
        <w:t>监督管理下实施。</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截至目前，</w:t>
      </w:r>
      <w:r>
        <w:rPr>
          <w:rFonts w:hint="default" w:ascii="Times New Roman" w:hAnsi="Times New Roman" w:eastAsia="仿宋_GB2312" w:cs="Times New Roman"/>
          <w:sz w:val="32"/>
          <w:szCs w:val="32"/>
          <w:lang w:val="en-US" w:eastAsia="zh-CN"/>
        </w:rPr>
        <w:t>完成大水井新区内部道路B4线河门口水厂营业厅第二期协议第一批补偿款支付工作，拆迁有序进行</w:t>
      </w:r>
      <w:r>
        <w:rPr>
          <w:rFonts w:hint="default" w:ascii="Times New Roman" w:hAnsi="Times New Roman" w:eastAsia="仿宋_GB2312" w:cs="Times New Roman"/>
          <w:sz w:val="32"/>
          <w:szCs w:val="32"/>
          <w:lang w:val="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578" w:lineRule="exact"/>
        <w:ind w:firstLine="720"/>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sz w:val="32"/>
          <w:szCs w:val="32"/>
          <w:lang w:val="en-US" w:eastAsia="zh-CN"/>
        </w:rPr>
        <w:t>完成大水井新区内部道路B4线河门口水厂营业厅第二期协议补偿款支付工作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可以</w:t>
      </w:r>
      <w:r>
        <w:rPr>
          <w:rFonts w:hint="default" w:ascii="Times New Roman" w:hAnsi="Times New Roman" w:eastAsia="仿宋_GB2312" w:cs="Times New Roman"/>
          <w:snapToGrid w:val="0"/>
          <w:sz w:val="32"/>
          <w:szCs w:val="32"/>
          <w:lang w:val="en-US" w:eastAsia="zh-CN"/>
        </w:rPr>
        <w:t>尽快拆除地上建（构）筑物，</w:t>
      </w:r>
      <w:r>
        <w:rPr>
          <w:rFonts w:hint="default" w:ascii="Times New Roman" w:hAnsi="Times New Roman" w:eastAsia="仿宋_GB2312" w:cs="Times New Roman"/>
          <w:snapToGrid w:val="0"/>
          <w:sz w:val="32"/>
          <w:szCs w:val="32"/>
        </w:rPr>
        <w:t>加快推进</w:t>
      </w:r>
      <w:r>
        <w:rPr>
          <w:rFonts w:hint="default" w:ascii="Times New Roman" w:hAnsi="Times New Roman" w:eastAsia="仿宋_GB2312" w:cs="Times New Roman"/>
          <w:snapToGrid/>
          <w:spacing w:val="0"/>
          <w:sz w:val="32"/>
          <w:szCs w:val="32"/>
        </w:rPr>
        <w:t>大水井新区内部道路B4线</w:t>
      </w:r>
      <w:r>
        <w:rPr>
          <w:rFonts w:hint="default" w:ascii="Times New Roman" w:hAnsi="Times New Roman" w:eastAsia="仿宋_GB2312" w:cs="Times New Roman"/>
          <w:snapToGrid w:val="0"/>
          <w:sz w:val="32"/>
          <w:szCs w:val="32"/>
        </w:rPr>
        <w:t>建设</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z w:val="32"/>
          <w:szCs w:val="32"/>
        </w:rPr>
        <w:t>保障</w:t>
      </w:r>
      <w:r>
        <w:rPr>
          <w:rFonts w:hint="default" w:ascii="Times New Roman" w:hAnsi="Times New Roman" w:eastAsia="仿宋_GB2312" w:cs="Times New Roman"/>
          <w:snapToGrid/>
          <w:spacing w:val="0"/>
          <w:sz w:val="32"/>
          <w:szCs w:val="32"/>
        </w:rPr>
        <w:t>大水井新区内部道路B4线</w:t>
      </w:r>
      <w:r>
        <w:rPr>
          <w:rFonts w:hint="default" w:ascii="Times New Roman" w:hAnsi="Times New Roman" w:eastAsia="仿宋_GB2312" w:cs="Times New Roman"/>
          <w:snapToGrid w:val="0"/>
          <w:sz w:val="32"/>
          <w:szCs w:val="32"/>
        </w:rPr>
        <w:t>建设</w:t>
      </w:r>
      <w:r>
        <w:rPr>
          <w:rFonts w:hint="default" w:ascii="Times New Roman" w:hAnsi="Times New Roman" w:eastAsia="仿宋_GB2312" w:cs="Times New Roman"/>
          <w:sz w:val="32"/>
          <w:szCs w:val="32"/>
        </w:rPr>
        <w:t>，促进西区发展</w:t>
      </w:r>
      <w:r>
        <w:rPr>
          <w:rFonts w:hint="default" w:ascii="Times New Roman" w:hAnsi="Times New Roman" w:eastAsia="仿宋_GB2312" w:cs="Times New Roman"/>
          <w:sz w:val="32"/>
          <w:szCs w:val="32"/>
          <w:lang w:eastAsia="zh-CN"/>
        </w:rPr>
        <w:t>。</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根据绩效评价结果，本项目得出了以下结论：(1)土地储备满意度较高；(2)各项组织保障工作完成较好；(3)保障土地出让有序完成。</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zh-CN"/>
        </w:rPr>
        <w:t>无</w:t>
      </w:r>
      <w:r>
        <w:rPr>
          <w:rFonts w:hint="default" w:ascii="Times New Roman" w:hAnsi="Times New Roman" w:eastAsia="仿宋_GB2312" w:cs="Times New Roman"/>
          <w:kern w:val="0"/>
          <w:sz w:val="32"/>
          <w:szCs w:val="32"/>
          <w:shd w:val="clear" w:color="auto" w:fill="FFFFFF"/>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widowControl/>
        <w:adjustRightInd w:val="0"/>
        <w:snapToGrid w:val="0"/>
        <w:spacing w:line="578" w:lineRule="exact"/>
        <w:ind w:firstLine="640" w:firstLineChars="200"/>
        <w:contextualSpacing/>
        <w:jc w:val="left"/>
        <w:rPr>
          <w:rStyle w:val="36"/>
          <w:rFonts w:hint="default" w:ascii="Times New Roman" w:hAnsi="Times New Roman" w:eastAsia="黑体" w:cs="Times New Roman"/>
          <w:b w:val="0"/>
          <w:sz w:val="32"/>
          <w:szCs w:val="32"/>
        </w:rPr>
      </w:pPr>
      <w:r>
        <w:rPr>
          <w:rFonts w:hint="default" w:ascii="Times New Roman" w:hAnsi="Times New Roman" w:eastAsia="仿宋_GB2312" w:cs="Times New Roman"/>
          <w:kern w:val="0"/>
          <w:sz w:val="32"/>
          <w:szCs w:val="32"/>
          <w:shd w:val="clear" w:color="auto" w:fill="FFFFFF"/>
          <w:lang w:val="zh-CN"/>
        </w:rPr>
        <w:t>无。</w:t>
      </w: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jc w:val="center"/>
        <w:outlineLvl w:val="0"/>
        <w:rPr>
          <w:rStyle w:val="28"/>
          <w:rFonts w:hint="default" w:ascii="Times New Roman" w:hAnsi="Times New Roman" w:eastAsia="黑体" w:cs="Times New Roman"/>
          <w:b w:val="0"/>
        </w:rPr>
      </w:pPr>
      <w:r>
        <w:rPr>
          <w:rStyle w:val="28"/>
          <w:rFonts w:hint="default" w:ascii="Times New Roman" w:hAnsi="Times New Roman" w:eastAsia="黑体" w:cs="Times New Roman"/>
          <w:b w:val="0"/>
        </w:rPr>
        <w:t>大水井新区内部道路B4线第</w:t>
      </w:r>
      <w:r>
        <w:rPr>
          <w:rStyle w:val="28"/>
          <w:rFonts w:hint="default" w:ascii="Times New Roman" w:hAnsi="Times New Roman" w:eastAsia="黑体" w:cs="Times New Roman"/>
          <w:b w:val="0"/>
          <w:lang w:eastAsia="zh-CN"/>
        </w:rPr>
        <w:t>二</w:t>
      </w:r>
      <w:r>
        <w:rPr>
          <w:rStyle w:val="28"/>
          <w:rFonts w:hint="default" w:ascii="Times New Roman" w:hAnsi="Times New Roman" w:eastAsia="黑体" w:cs="Times New Roman"/>
          <w:b w:val="0"/>
        </w:rPr>
        <w:t>期</w:t>
      </w:r>
    </w:p>
    <w:p>
      <w:pPr>
        <w:spacing w:line="600" w:lineRule="exact"/>
        <w:jc w:val="center"/>
        <w:outlineLvl w:val="0"/>
        <w:rPr>
          <w:rFonts w:hint="default" w:ascii="Times New Roman" w:hAnsi="Times New Roman" w:cs="Times New Roman"/>
          <w:sz w:val="32"/>
          <w:szCs w:val="32"/>
          <w:lang w:val="zh-CN"/>
        </w:rPr>
      </w:pPr>
      <w:r>
        <w:rPr>
          <w:rStyle w:val="28"/>
          <w:rFonts w:hint="default" w:ascii="Times New Roman" w:hAnsi="Times New Roman" w:eastAsia="黑体" w:cs="Times New Roman"/>
          <w:b w:val="0"/>
        </w:rPr>
        <w:t>协议补偿款</w:t>
      </w:r>
      <w:r>
        <w:rPr>
          <w:rFonts w:hint="default" w:ascii="Times New Roman" w:hAnsi="Times New Roman" w:eastAsia="方正小标宋简体" w:cs="Times New Roman"/>
          <w:sz w:val="40"/>
          <w:szCs w:val="40"/>
          <w:lang w:val="zh-CN"/>
        </w:rPr>
        <w:t>专项预算项目支出绩效自评报告</w:t>
      </w: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keepNext w:val="0"/>
        <w:keepLines w:val="0"/>
        <w:widowControl/>
        <w:suppressLineNumbers w:val="0"/>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napToGrid/>
          <w:spacing w:val="0"/>
          <w:sz w:val="32"/>
          <w:szCs w:val="32"/>
        </w:rPr>
        <w:t>为加快“山水灵秀新城”建设和城市改造</w:t>
      </w:r>
      <w:r>
        <w:rPr>
          <w:rFonts w:hint="default" w:ascii="Times New Roman" w:hAnsi="Times New Roman" w:eastAsia="仿宋_GB2312" w:cs="Times New Roman"/>
          <w:snapToGrid/>
          <w:spacing w:val="0"/>
          <w:sz w:val="32"/>
          <w:szCs w:val="32"/>
          <w:lang w:eastAsia="zh-CN"/>
        </w:rPr>
        <w:t>，</w:t>
      </w:r>
      <w:r>
        <w:rPr>
          <w:rFonts w:hint="default" w:ascii="Times New Roman" w:hAnsi="Times New Roman" w:eastAsia="仿宋_GB2312" w:cs="Times New Roman"/>
          <w:snapToGrid/>
          <w:spacing w:val="0"/>
          <w:sz w:val="32"/>
          <w:szCs w:val="32"/>
        </w:rPr>
        <w:t>满足西区大水井新区内部道路B4线建设用地需要</w:t>
      </w:r>
      <w:r>
        <w:rPr>
          <w:rFonts w:hint="default" w:ascii="Times New Roman" w:hAnsi="Times New Roman" w:eastAsia="仿宋_GB2312" w:cs="Times New Roman"/>
          <w:sz w:val="32"/>
          <w:szCs w:val="32"/>
        </w:rPr>
        <w:t>，根据中心职能职责，负责</w:t>
      </w:r>
      <w:r>
        <w:rPr>
          <w:rFonts w:hint="default" w:ascii="Times New Roman" w:hAnsi="Times New Roman" w:eastAsia="仿宋_GB2312" w:cs="Times New Roman"/>
          <w:sz w:val="32"/>
          <w:szCs w:val="32"/>
          <w:lang w:val="en-US" w:eastAsia="zh-CN"/>
        </w:rPr>
        <w:t>土地收储工作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本项目包括</w:t>
      </w:r>
      <w:r>
        <w:rPr>
          <w:rFonts w:hint="default" w:ascii="Times New Roman" w:hAnsi="Times New Roman" w:eastAsia="仿宋_GB2312" w:cs="Times New Roman"/>
          <w:snapToGrid/>
          <w:color w:val="000000"/>
          <w:spacing w:val="0"/>
          <w:sz w:val="32"/>
          <w:szCs w:val="32"/>
          <w:lang w:val="en-US" w:eastAsia="zh-CN" w:bidi="ar"/>
        </w:rPr>
        <w:t>支付攀枝花市水务（集团）有限公司、四川攀枝花大水井省粮食储备库第一期协议补偿款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SA"/>
        </w:rPr>
        <w:t>根据攀枝花市西区土地储备中心职能职责，负责全区农村集体土地的征收拆迁补偿安置、收购及储备等事务性工作，为政府供应土地提供必要保障。</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1．项目主要内容。</w:t>
      </w:r>
    </w:p>
    <w:p>
      <w:pPr>
        <w:keepNext w:val="0"/>
        <w:keepLines w:val="0"/>
        <w:pageBreakBefore w:val="0"/>
        <w:kinsoku/>
        <w:wordWrap/>
        <w:overflowPunct/>
        <w:topLinePunct w:val="0"/>
        <w:autoSpaceDE/>
        <w:autoSpaceDN/>
        <w:bidi w:val="0"/>
        <w:adjustRightInd/>
        <w:snapToGrid/>
        <w:spacing w:beforeAutospacing="0" w:afterAutospacing="0" w:line="353" w:lineRule="auto"/>
        <w:ind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val="en-US" w:eastAsia="zh-CN"/>
        </w:rPr>
        <w:t>大水井新区内部道路B4线河门口水厂营业厅第二期协议补偿款</w:t>
      </w:r>
      <w:r>
        <w:rPr>
          <w:rFonts w:hint="default" w:ascii="Times New Roman" w:hAnsi="Times New Roman" w:eastAsia="仿宋_GB2312" w:cs="Times New Roman"/>
          <w:sz w:val="32"/>
          <w:szCs w:val="32"/>
        </w:rPr>
        <w:t>的总体绩效目标为</w:t>
      </w:r>
      <w:r>
        <w:rPr>
          <w:rFonts w:hint="default" w:ascii="Times New Roman" w:hAnsi="Times New Roman" w:eastAsia="仿宋_GB2312" w:cs="Times New Roman"/>
          <w:sz w:val="32"/>
          <w:szCs w:val="32"/>
          <w:lang w:val="en-US" w:eastAsia="zh-CN"/>
        </w:rPr>
        <w:t>支付</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第二期协议补偿款</w:t>
      </w:r>
      <w:r>
        <w:rPr>
          <w:rFonts w:hint="default" w:ascii="Times New Roman" w:hAnsi="Times New Roman" w:eastAsia="仿宋_GB2312" w:cs="Times New Roman"/>
          <w:sz w:val="32"/>
          <w:szCs w:val="32"/>
        </w:rPr>
        <w:t>。</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本项目总体目标为</w:t>
      </w:r>
      <w:r>
        <w:rPr>
          <w:rFonts w:hint="default" w:ascii="Times New Roman" w:hAnsi="Times New Roman" w:eastAsia="仿宋_GB2312" w:cs="Times New Roman"/>
          <w:snapToGrid/>
          <w:spacing w:val="0"/>
          <w:sz w:val="32"/>
          <w:szCs w:val="32"/>
        </w:rPr>
        <w:t>加快“山水灵秀新城”建设和城市改造</w:t>
      </w:r>
      <w:r>
        <w:rPr>
          <w:rFonts w:hint="default" w:ascii="Times New Roman" w:hAnsi="Times New Roman" w:eastAsia="仿宋_GB2312" w:cs="Times New Roman"/>
          <w:snapToGrid/>
          <w:spacing w:val="0"/>
          <w:sz w:val="32"/>
          <w:szCs w:val="32"/>
          <w:lang w:eastAsia="zh-CN"/>
        </w:rPr>
        <w:t>，</w:t>
      </w:r>
      <w:r>
        <w:rPr>
          <w:rFonts w:hint="default" w:ascii="Times New Roman" w:hAnsi="Times New Roman" w:eastAsia="仿宋_GB2312" w:cs="Times New Roman"/>
          <w:snapToGrid/>
          <w:spacing w:val="0"/>
          <w:sz w:val="32"/>
          <w:szCs w:val="32"/>
        </w:rPr>
        <w:t>满足西区大水井新区内部道路B4线建设用地需要</w:t>
      </w:r>
      <w:r>
        <w:rPr>
          <w:rFonts w:hint="default" w:ascii="Times New Roman" w:hAnsi="Times New Roman" w:eastAsia="仿宋_GB2312" w:cs="Times New Roman"/>
          <w:snapToGrid/>
          <w:spacing w:val="0"/>
          <w:sz w:val="32"/>
          <w:szCs w:val="32"/>
          <w:lang w:val="en-US" w:eastAsia="zh-CN"/>
        </w:rPr>
        <w:t>,完成</w:t>
      </w:r>
      <w:r>
        <w:rPr>
          <w:rFonts w:hint="default" w:ascii="Times New Roman" w:hAnsi="Times New Roman" w:eastAsia="仿宋_GB2312" w:cs="Times New Roman"/>
          <w:sz w:val="32"/>
          <w:szCs w:val="32"/>
          <w:lang w:val="en-US" w:eastAsia="zh-CN"/>
        </w:rPr>
        <w:t>大水井新区内部道路B4线拆迁补偿按期完成，数量目标为：协议补偿款[</w:t>
      </w:r>
      <w:r>
        <w:rPr>
          <w:rFonts w:hint="default" w:ascii="Times New Roman" w:hAnsi="Times New Roman" w:eastAsia="仿宋_GB2312" w:cs="Times New Roman"/>
          <w:snapToGrid/>
          <w:color w:val="000000"/>
          <w:spacing w:val="0"/>
          <w:sz w:val="32"/>
          <w:szCs w:val="32"/>
          <w:lang w:val="en-US" w:eastAsia="zh-CN" w:bidi="ar"/>
        </w:rPr>
        <w:t>攀枝花市水务（集团）有限公司</w:t>
      </w:r>
      <w:r>
        <w:rPr>
          <w:rFonts w:hint="default" w:ascii="Times New Roman" w:hAnsi="Times New Roman" w:eastAsia="仿宋_GB2312" w:cs="Times New Roman"/>
          <w:sz w:val="32"/>
          <w:szCs w:val="32"/>
          <w:lang w:val="en-US" w:eastAsia="zh-CN"/>
        </w:rPr>
        <w:t>]补偿款220万元</w:t>
      </w:r>
      <w:r>
        <w:rPr>
          <w:rFonts w:hint="default" w:ascii="Times New Roman" w:hAnsi="Times New Roman" w:eastAsia="仿宋_GB2312" w:cs="Times New Roman"/>
          <w:kern w:val="0"/>
          <w:sz w:val="32"/>
          <w:szCs w:val="32"/>
          <w:shd w:val="clear" w:color="auto" w:fill="FFFFFF"/>
          <w:lang w:val="zh-CN"/>
        </w:rPr>
        <w:t>此补偿款按照补偿协议支付。</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w:t>
      </w:r>
      <w:r>
        <w:rPr>
          <w:rFonts w:hint="default" w:ascii="Times New Roman" w:hAnsi="Times New Roman" w:eastAsia="仿宋_GB2312" w:cs="Times New Roman"/>
          <w:b/>
          <w:sz w:val="32"/>
          <w:szCs w:val="32"/>
          <w:lang w:val="zh-CN"/>
        </w:rPr>
        <w:t>项目资金申报相符性。</w:t>
      </w:r>
      <w:r>
        <w:rPr>
          <w:rFonts w:hint="default" w:ascii="Times New Roman" w:hAnsi="Times New Roman" w:eastAsia="仿宋_GB2312" w:cs="Times New Roman"/>
          <w:sz w:val="32"/>
          <w:szCs w:val="32"/>
          <w:lang w:val="zh-CN"/>
        </w:rPr>
        <w:t>该项目申报内容与具体实施内容相符、申报目标合理可行。</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kern w:val="0"/>
          <w:sz w:val="32"/>
          <w:szCs w:val="32"/>
          <w:shd w:val="clear" w:color="auto" w:fill="FFFFFF"/>
          <w:lang w:val="zh-CN"/>
        </w:rPr>
        <w:t>确定评价指标</w:t>
      </w:r>
    </w:p>
    <w:p>
      <w:pPr>
        <w:adjustRightInd w:val="0"/>
        <w:snapToGrid w:val="0"/>
        <w:spacing w:line="578" w:lineRule="exact"/>
        <w:ind w:firstLine="720"/>
        <w:rPr>
          <w:rFonts w:hint="default" w:ascii="Times New Roman" w:hAnsi="Times New Roman" w:eastAsia="仿宋_GB2312" w:cs="Times New Roman"/>
          <w:snapToGrid/>
          <w:spacing w:val="0"/>
          <w:sz w:val="32"/>
          <w:szCs w:val="32"/>
          <w:lang w:eastAsia="zh-CN"/>
        </w:rPr>
      </w:pPr>
      <w:r>
        <w:rPr>
          <w:rFonts w:hint="default" w:ascii="Times New Roman" w:hAnsi="Times New Roman" w:eastAsia="仿宋_GB2312" w:cs="Times New Roman"/>
          <w:snapToGrid/>
          <w:spacing w:val="0"/>
          <w:sz w:val="32"/>
          <w:szCs w:val="32"/>
        </w:rPr>
        <w:t>为加快“山水灵秀新城”建设和城市改造</w:t>
      </w:r>
      <w:r>
        <w:rPr>
          <w:rFonts w:hint="default" w:ascii="Times New Roman" w:hAnsi="Times New Roman" w:eastAsia="仿宋_GB2312" w:cs="Times New Roman"/>
          <w:snapToGrid/>
          <w:spacing w:val="0"/>
          <w:sz w:val="32"/>
          <w:szCs w:val="32"/>
          <w:lang w:eastAsia="zh-CN"/>
        </w:rPr>
        <w:t>，</w:t>
      </w:r>
      <w:r>
        <w:rPr>
          <w:rFonts w:hint="default" w:ascii="Times New Roman" w:hAnsi="Times New Roman" w:eastAsia="仿宋_GB2312" w:cs="Times New Roman"/>
          <w:snapToGrid/>
          <w:spacing w:val="0"/>
          <w:sz w:val="32"/>
          <w:szCs w:val="32"/>
        </w:rPr>
        <w:t>满足西区大水井新区内部道路B4线建设用地需要</w:t>
      </w:r>
      <w:r>
        <w:rPr>
          <w:rFonts w:hint="default" w:ascii="Times New Roman" w:hAnsi="Times New Roman" w:eastAsia="仿宋_GB2312" w:cs="Times New Roman"/>
          <w:snapToGrid/>
          <w:spacing w:val="0"/>
          <w:sz w:val="32"/>
          <w:szCs w:val="32"/>
          <w:lang w:eastAsia="zh-CN"/>
        </w:rPr>
        <w:t>进行拆迁补偿，监管补偿费用到位情况，拆迁工作完成进度。</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2.</w:t>
      </w:r>
      <w:r>
        <w:rPr>
          <w:rFonts w:hint="default" w:ascii="Times New Roman" w:hAnsi="Times New Roman" w:eastAsia="仿宋_GB2312" w:cs="Times New Roman"/>
          <w:kern w:val="0"/>
          <w:sz w:val="32"/>
          <w:szCs w:val="32"/>
          <w:shd w:val="clear" w:color="auto" w:fill="FFFFFF"/>
          <w:lang w:val="zh-CN"/>
        </w:rPr>
        <w:t>收集数据</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开展周边地价数据分析，邀请第三方机构对项目进行评估，与拆迁方进行协商。</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3.</w:t>
      </w:r>
      <w:r>
        <w:rPr>
          <w:rFonts w:hint="default" w:ascii="Times New Roman" w:hAnsi="Times New Roman" w:eastAsia="仿宋_GB2312" w:cs="Times New Roman"/>
          <w:kern w:val="0"/>
          <w:sz w:val="32"/>
          <w:szCs w:val="32"/>
          <w:shd w:val="clear" w:color="auto" w:fill="FFFFFF"/>
          <w:lang w:val="zh-CN"/>
        </w:rPr>
        <w:t>评估结果</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针对存在的问题和改进的空间，提出具体的建议措施，以改进支付节点把控及控制成本。</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4.</w:t>
      </w:r>
      <w:r>
        <w:rPr>
          <w:rFonts w:hint="default" w:ascii="Times New Roman" w:hAnsi="Times New Roman" w:eastAsia="仿宋_GB2312" w:cs="Times New Roman"/>
          <w:kern w:val="0"/>
          <w:sz w:val="32"/>
          <w:szCs w:val="32"/>
          <w:shd w:val="clear" w:color="auto" w:fill="FFFFFF"/>
          <w:lang w:val="zh-CN"/>
        </w:rPr>
        <w:t>实施改进措施</w:t>
      </w:r>
    </w:p>
    <w:p>
      <w:pPr>
        <w:adjustRightInd w:val="0"/>
        <w:snapToGrid w:val="0"/>
        <w:spacing w:line="578"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根据评估结果，制定改进计划，并明确责任人和时间节点。提升业务人员的培训和管理，加强对项目的监督和检查</w:t>
      </w: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仿宋_GB2312" w:cs="Times New Roman"/>
          <w:kern w:val="0"/>
          <w:sz w:val="32"/>
          <w:szCs w:val="32"/>
          <w:shd w:val="clear" w:color="auto" w:fill="FFFFFF"/>
          <w:lang w:val="zh-CN"/>
        </w:rPr>
        <w:t>改进支付节点把控。</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本项目资金共计</w:t>
      </w:r>
      <w:r>
        <w:rPr>
          <w:rFonts w:hint="default" w:ascii="Times New Roman" w:hAnsi="Times New Roman" w:eastAsia="仿宋_GB2312" w:cs="Times New Roman"/>
          <w:kern w:val="0"/>
          <w:sz w:val="32"/>
          <w:szCs w:val="32"/>
          <w:lang w:val="en-US" w:eastAsia="zh-CN"/>
        </w:rPr>
        <w:t>200万</w:t>
      </w:r>
      <w:r>
        <w:rPr>
          <w:rFonts w:hint="default" w:ascii="Times New Roman" w:hAnsi="Times New Roman" w:eastAsia="仿宋_GB2312" w:cs="Times New Roman"/>
          <w:kern w:val="0"/>
          <w:sz w:val="32"/>
          <w:szCs w:val="32"/>
        </w:rPr>
        <w:t>元，为</w:t>
      </w:r>
      <w:r>
        <w:rPr>
          <w:rFonts w:hint="default" w:ascii="Times New Roman" w:hAnsi="Times New Roman" w:eastAsia="仿宋_GB2312" w:cs="Times New Roman"/>
          <w:snapToGrid/>
          <w:color w:val="000000"/>
          <w:spacing w:val="0"/>
          <w:sz w:val="32"/>
          <w:szCs w:val="32"/>
          <w:lang w:val="en-US" w:eastAsia="zh-CN" w:bidi="ar"/>
        </w:rPr>
        <w:t>攀枝花市水务（集团）有限公司补偿款</w:t>
      </w:r>
      <w:r>
        <w:rPr>
          <w:rFonts w:hint="default" w:ascii="Times New Roman" w:hAnsi="Times New Roman" w:eastAsia="仿宋_GB2312" w:cs="Times New Roman"/>
          <w:kern w:val="0"/>
          <w:sz w:val="32"/>
          <w:szCs w:val="32"/>
        </w:rPr>
        <w:t>，符合资金管理办法等相关规定。</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w:t>
      </w:r>
      <w:r>
        <w:rPr>
          <w:rFonts w:hint="default" w:ascii="Times New Roman" w:hAnsi="Times New Roman" w:eastAsia="仿宋_GB2312" w:cs="Times New Roman"/>
          <w:sz w:val="32"/>
          <w:szCs w:val="32"/>
          <w:lang w:val="zh-CN"/>
        </w:rPr>
        <w:t>资金计划及到位。本项目资金计划为</w:t>
      </w:r>
      <w:r>
        <w:rPr>
          <w:rFonts w:hint="default" w:ascii="Times New Roman" w:hAnsi="Times New Roman" w:eastAsia="仿宋_GB2312" w:cs="Times New Roman"/>
          <w:sz w:val="32"/>
          <w:szCs w:val="32"/>
          <w:lang w:val="en-US" w:eastAsia="zh-CN"/>
        </w:rPr>
        <w:t>200万</w:t>
      </w:r>
      <w:r>
        <w:rPr>
          <w:rFonts w:hint="default" w:ascii="Times New Roman" w:hAnsi="Times New Roman" w:eastAsia="仿宋_GB2312" w:cs="Times New Roman"/>
          <w:sz w:val="32"/>
          <w:szCs w:val="32"/>
          <w:lang w:val="zh-CN"/>
        </w:rPr>
        <w:t>元，截至评价时点，实际到位</w:t>
      </w:r>
      <w:r>
        <w:rPr>
          <w:rFonts w:hint="default" w:ascii="Times New Roman" w:hAnsi="Times New Roman" w:eastAsia="仿宋_GB2312" w:cs="Times New Roman"/>
          <w:sz w:val="32"/>
          <w:szCs w:val="32"/>
          <w:lang w:val="en-US" w:eastAsia="zh-CN"/>
        </w:rPr>
        <w:t>200万</w:t>
      </w:r>
      <w:r>
        <w:rPr>
          <w:rFonts w:hint="default" w:ascii="Times New Roman" w:hAnsi="Times New Roman" w:eastAsia="仿宋_GB2312" w:cs="Times New Roman"/>
          <w:sz w:val="32"/>
          <w:szCs w:val="32"/>
          <w:lang w:val="zh-CN"/>
        </w:rPr>
        <w:t>元，资金到位率为</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lang w:val="zh-CN"/>
        </w:rPr>
        <w:t>．资金使用。</w:t>
      </w:r>
      <w:r>
        <w:rPr>
          <w:rFonts w:hint="default" w:ascii="Times New Roman" w:hAnsi="Times New Roman" w:eastAsia="仿宋_GB2312" w:cs="Times New Roman"/>
          <w:sz w:val="32"/>
          <w:szCs w:val="32"/>
          <w:lang w:val="zh-CN"/>
        </w:rPr>
        <w:t>截至评价时点，本项目资金的实际支出</w:t>
      </w:r>
      <w:r>
        <w:rPr>
          <w:rFonts w:hint="default" w:ascii="Times New Roman" w:hAnsi="Times New Roman" w:eastAsia="仿宋_GB2312" w:cs="Times New Roman"/>
          <w:sz w:val="32"/>
          <w:szCs w:val="32"/>
          <w:lang w:val="en-US" w:eastAsia="zh-CN"/>
        </w:rPr>
        <w:t>200万</w:t>
      </w:r>
      <w:r>
        <w:rPr>
          <w:rFonts w:hint="default" w:ascii="Times New Roman" w:hAnsi="Times New Roman" w:eastAsia="仿宋_GB2312" w:cs="Times New Roman"/>
          <w:sz w:val="32"/>
          <w:szCs w:val="32"/>
          <w:lang w:val="zh-CN"/>
        </w:rPr>
        <w:t>元，资金开支范围为补偿款，支付进度</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%。支付依据合规合法，资金支付与预算相符。</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该项目严格执行《补偿协议》及《会计准则》</w:t>
      </w:r>
      <w:r>
        <w:rPr>
          <w:rFonts w:hint="default" w:ascii="Times New Roman" w:hAnsi="Times New Roman" w:eastAsia="仿宋_GB2312" w:cs="Times New Roman"/>
          <w:sz w:val="32"/>
          <w:szCs w:val="32"/>
          <w:lang w:val="zh-CN"/>
        </w:rPr>
        <w:t>等财务管理制度、财务处理及时、会计核算规范。</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adjustRightInd w:val="0"/>
        <w:snapToGrid w:val="0"/>
        <w:spacing w:line="600" w:lineRule="exact"/>
        <w:ind w:firstLine="720"/>
        <w:rPr>
          <w:rFonts w:hint="default" w:ascii="Times New Roman" w:hAnsi="Times New Roman" w:eastAsia="仿宋_GB2312" w:cs="Times New Roman"/>
          <w:kern w:val="0"/>
          <w:sz w:val="32"/>
          <w:szCs w:val="32"/>
          <w:highlight w:val="yellow"/>
          <w:shd w:val="clear" w:color="auto" w:fill="FFFFFF"/>
          <w:lang w:val="zh-CN"/>
        </w:rPr>
      </w:pPr>
      <w:r>
        <w:rPr>
          <w:rFonts w:hint="default" w:ascii="Times New Roman" w:hAnsi="Times New Roman" w:eastAsia="仿宋_GB2312" w:cs="Times New Roman"/>
          <w:sz w:val="32"/>
          <w:szCs w:val="32"/>
          <w:lang w:val="zh-CN"/>
        </w:rPr>
        <w:t>该项目</w:t>
      </w:r>
      <w:r>
        <w:rPr>
          <w:rFonts w:hint="default" w:ascii="Times New Roman" w:hAnsi="Times New Roman" w:eastAsia="仿宋_GB2312" w:cs="Times New Roman"/>
          <w:kern w:val="2"/>
          <w:sz w:val="32"/>
          <w:szCs w:val="32"/>
          <w:lang w:val="en-US" w:eastAsia="zh-CN" w:bidi="ar-SA"/>
        </w:rPr>
        <w:t>据攀枝花市西区土地储备中心职能职责，由</w:t>
      </w:r>
      <w:r>
        <w:rPr>
          <w:rFonts w:hint="default" w:ascii="Times New Roman" w:hAnsi="Times New Roman" w:eastAsia="仿宋_GB2312" w:cs="Times New Roman"/>
          <w:sz w:val="32"/>
          <w:szCs w:val="32"/>
          <w:lang w:val="zh-CN"/>
        </w:rPr>
        <w:t>攀枝花市西区土地储备中心组织实施，按照《补偿协议》要求，在</w:t>
      </w:r>
      <w:r>
        <w:rPr>
          <w:rFonts w:hint="default" w:ascii="Times New Roman" w:hAnsi="Times New Roman" w:eastAsia="仿宋_GB2312" w:cs="Times New Roman"/>
          <w:sz w:val="32"/>
          <w:szCs w:val="32"/>
          <w:highlight w:val="none"/>
          <w:lang w:val="zh-CN"/>
        </w:rPr>
        <w:t>区财政</w:t>
      </w:r>
      <w:r>
        <w:rPr>
          <w:rFonts w:hint="default" w:ascii="Times New Roman" w:hAnsi="Times New Roman" w:eastAsia="仿宋_GB2312" w:cs="Times New Roman"/>
          <w:sz w:val="32"/>
          <w:szCs w:val="32"/>
          <w:lang w:val="zh-CN"/>
        </w:rPr>
        <w:t>监督管理下实施。</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截至目前，</w:t>
      </w:r>
      <w:r>
        <w:rPr>
          <w:rFonts w:hint="default" w:ascii="Times New Roman" w:hAnsi="Times New Roman" w:eastAsia="仿宋_GB2312" w:cs="Times New Roman"/>
          <w:sz w:val="32"/>
          <w:szCs w:val="32"/>
          <w:lang w:val="en-US" w:eastAsia="zh-CN"/>
        </w:rPr>
        <w:t>完成大水井新区内部道路B4线河门口水厂营业厅第二期协议第一批补偿款支付工作，拆迁有序进行</w:t>
      </w:r>
      <w:r>
        <w:rPr>
          <w:rFonts w:hint="default" w:ascii="Times New Roman" w:hAnsi="Times New Roman" w:eastAsia="仿宋_GB2312" w:cs="Times New Roman"/>
          <w:sz w:val="32"/>
          <w:szCs w:val="32"/>
          <w:lang w:val="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578" w:lineRule="exact"/>
        <w:ind w:firstLine="720"/>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sz w:val="32"/>
          <w:szCs w:val="32"/>
          <w:lang w:val="en-US" w:eastAsia="zh-CN"/>
        </w:rPr>
        <w:t>完成大水井新区内部道路B4线河门口水厂营业厅第二期协议补偿款支付工作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可以</w:t>
      </w:r>
      <w:r>
        <w:rPr>
          <w:rFonts w:hint="default" w:ascii="Times New Roman" w:hAnsi="Times New Roman" w:eastAsia="仿宋_GB2312" w:cs="Times New Roman"/>
          <w:snapToGrid w:val="0"/>
          <w:sz w:val="32"/>
          <w:szCs w:val="32"/>
          <w:lang w:val="en-US" w:eastAsia="zh-CN"/>
        </w:rPr>
        <w:t>尽快拆除地上建（构）筑物，</w:t>
      </w:r>
      <w:r>
        <w:rPr>
          <w:rFonts w:hint="default" w:ascii="Times New Roman" w:hAnsi="Times New Roman" w:eastAsia="仿宋_GB2312" w:cs="Times New Roman"/>
          <w:snapToGrid w:val="0"/>
          <w:sz w:val="32"/>
          <w:szCs w:val="32"/>
        </w:rPr>
        <w:t>加快推进</w:t>
      </w:r>
      <w:r>
        <w:rPr>
          <w:rFonts w:hint="default" w:ascii="Times New Roman" w:hAnsi="Times New Roman" w:eastAsia="仿宋_GB2312" w:cs="Times New Roman"/>
          <w:snapToGrid/>
          <w:spacing w:val="0"/>
          <w:sz w:val="32"/>
          <w:szCs w:val="32"/>
        </w:rPr>
        <w:t>大水井新区内部道路B4线</w:t>
      </w:r>
      <w:r>
        <w:rPr>
          <w:rFonts w:hint="default" w:ascii="Times New Roman" w:hAnsi="Times New Roman" w:eastAsia="仿宋_GB2312" w:cs="Times New Roman"/>
          <w:snapToGrid w:val="0"/>
          <w:sz w:val="32"/>
          <w:szCs w:val="32"/>
        </w:rPr>
        <w:t>建设</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z w:val="32"/>
          <w:szCs w:val="32"/>
        </w:rPr>
        <w:t>保障</w:t>
      </w:r>
      <w:r>
        <w:rPr>
          <w:rFonts w:hint="default" w:ascii="Times New Roman" w:hAnsi="Times New Roman" w:eastAsia="仿宋_GB2312" w:cs="Times New Roman"/>
          <w:snapToGrid/>
          <w:spacing w:val="0"/>
          <w:sz w:val="32"/>
          <w:szCs w:val="32"/>
        </w:rPr>
        <w:t>大水井新区内部道路B4线</w:t>
      </w:r>
      <w:r>
        <w:rPr>
          <w:rFonts w:hint="default" w:ascii="Times New Roman" w:hAnsi="Times New Roman" w:eastAsia="仿宋_GB2312" w:cs="Times New Roman"/>
          <w:snapToGrid w:val="0"/>
          <w:sz w:val="32"/>
          <w:szCs w:val="32"/>
        </w:rPr>
        <w:t>建设</w:t>
      </w:r>
      <w:r>
        <w:rPr>
          <w:rFonts w:hint="default" w:ascii="Times New Roman" w:hAnsi="Times New Roman" w:eastAsia="仿宋_GB2312" w:cs="Times New Roman"/>
          <w:sz w:val="32"/>
          <w:szCs w:val="32"/>
        </w:rPr>
        <w:t>，促进西区发展</w:t>
      </w:r>
      <w:r>
        <w:rPr>
          <w:rFonts w:hint="default" w:ascii="Times New Roman" w:hAnsi="Times New Roman" w:eastAsia="仿宋_GB2312" w:cs="Times New Roman"/>
          <w:sz w:val="32"/>
          <w:szCs w:val="32"/>
          <w:lang w:eastAsia="zh-CN"/>
        </w:rPr>
        <w:t>。</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根据绩效评价结果，本项目得出了以下结论：(1)土地储备满意度较高；(2)各项组织保障工作完成较好；(3)保障土地出让有序完成。</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zh-CN"/>
        </w:rPr>
        <w:t>无</w:t>
      </w:r>
      <w:r>
        <w:rPr>
          <w:rFonts w:hint="default" w:ascii="Times New Roman" w:hAnsi="Times New Roman" w:eastAsia="仿宋_GB2312" w:cs="Times New Roman"/>
          <w:kern w:val="0"/>
          <w:sz w:val="32"/>
          <w:szCs w:val="32"/>
          <w:shd w:val="clear" w:color="auto" w:fill="FFFFFF"/>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widowControl/>
        <w:adjustRightInd w:val="0"/>
        <w:snapToGrid w:val="0"/>
        <w:spacing w:line="578" w:lineRule="exact"/>
        <w:ind w:firstLine="640" w:firstLineChars="200"/>
        <w:contextualSpacing/>
        <w:jc w:val="left"/>
        <w:rPr>
          <w:rStyle w:val="36"/>
          <w:rFonts w:hint="default" w:ascii="Times New Roman" w:hAnsi="Times New Roman" w:eastAsia="黑体" w:cs="Times New Roman"/>
          <w:b w:val="0"/>
          <w:sz w:val="32"/>
          <w:szCs w:val="32"/>
        </w:rPr>
      </w:pPr>
      <w:r>
        <w:rPr>
          <w:rFonts w:hint="default" w:ascii="Times New Roman" w:hAnsi="Times New Roman" w:eastAsia="仿宋_GB2312" w:cs="Times New Roman"/>
          <w:kern w:val="0"/>
          <w:sz w:val="32"/>
          <w:szCs w:val="32"/>
          <w:shd w:val="clear" w:color="auto" w:fill="FFFFFF"/>
          <w:lang w:val="zh-CN"/>
        </w:rPr>
        <w:t>无。</w:t>
      </w: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pStyle w:val="37"/>
        <w:rPr>
          <w:rStyle w:val="28"/>
          <w:rFonts w:hint="default" w:ascii="Times New Roman" w:hAnsi="Times New Roman" w:eastAsia="黑体" w:cs="Times New Roman"/>
          <w:b w:val="0"/>
        </w:rPr>
      </w:pPr>
    </w:p>
    <w:p>
      <w:pPr>
        <w:rPr>
          <w:rStyle w:val="28"/>
          <w:rFonts w:hint="default" w:ascii="Times New Roman" w:hAnsi="Times New Roman" w:eastAsia="黑体" w:cs="Times New Roman"/>
          <w:b w:val="0"/>
        </w:rPr>
      </w:pPr>
    </w:p>
    <w:p>
      <w:pPr>
        <w:pStyle w:val="37"/>
        <w:rPr>
          <w:rStyle w:val="28"/>
          <w:rFonts w:hint="default" w:ascii="Times New Roman" w:hAnsi="Times New Roman" w:eastAsia="黑体" w:cs="Times New Roman"/>
          <w:b w:val="0"/>
        </w:rPr>
      </w:pPr>
    </w:p>
    <w:p>
      <w:pPr>
        <w:rPr>
          <w:rStyle w:val="28"/>
          <w:rFonts w:hint="default" w:ascii="Times New Roman" w:hAnsi="Times New Roman" w:eastAsia="黑体" w:cs="Times New Roman"/>
          <w:b w:val="0"/>
        </w:rPr>
      </w:pPr>
    </w:p>
    <w:p>
      <w:pPr>
        <w:pStyle w:val="37"/>
        <w:rPr>
          <w:rStyle w:val="28"/>
          <w:rFonts w:hint="default" w:ascii="Times New Roman" w:hAnsi="Times New Roman" w:eastAsia="黑体" w:cs="Times New Roman"/>
          <w:b w:val="0"/>
        </w:rPr>
      </w:pPr>
    </w:p>
    <w:p>
      <w:pPr>
        <w:rPr>
          <w:rStyle w:val="28"/>
          <w:rFonts w:hint="default" w:ascii="Times New Roman" w:hAnsi="Times New Roman" w:eastAsia="黑体" w:cs="Times New Roman"/>
          <w:b w:val="0"/>
        </w:rPr>
      </w:pPr>
    </w:p>
    <w:p>
      <w:pPr>
        <w:pStyle w:val="37"/>
        <w:rPr>
          <w:rStyle w:val="28"/>
          <w:rFonts w:hint="default" w:ascii="Times New Roman" w:hAnsi="Times New Roman" w:eastAsia="黑体" w:cs="Times New Roman"/>
          <w:b w:val="0"/>
        </w:rPr>
      </w:pPr>
    </w:p>
    <w:p>
      <w:pPr>
        <w:rPr>
          <w:rStyle w:val="28"/>
          <w:rFonts w:hint="default" w:ascii="Times New Roman" w:hAnsi="Times New Roman" w:eastAsia="黑体" w:cs="Times New Roman"/>
          <w:b w:val="0"/>
        </w:rPr>
      </w:pPr>
    </w:p>
    <w:p>
      <w:pPr>
        <w:pStyle w:val="37"/>
        <w:rPr>
          <w:rStyle w:val="28"/>
          <w:rFonts w:hint="default" w:ascii="Times New Roman" w:hAnsi="Times New Roman" w:eastAsia="黑体" w:cs="Times New Roman"/>
          <w:b w:val="0"/>
        </w:rPr>
      </w:pPr>
    </w:p>
    <w:p>
      <w:pPr>
        <w:rPr>
          <w:rStyle w:val="28"/>
          <w:rFonts w:hint="default" w:ascii="Times New Roman" w:hAnsi="Times New Roman" w:eastAsia="黑体" w:cs="Times New Roman"/>
          <w:b w:val="0"/>
        </w:rPr>
      </w:pPr>
    </w:p>
    <w:p>
      <w:pPr>
        <w:pStyle w:val="37"/>
        <w:rPr>
          <w:rStyle w:val="28"/>
          <w:rFonts w:hint="default" w:ascii="Times New Roman" w:hAnsi="Times New Roman" w:eastAsia="黑体" w:cs="Times New Roman"/>
          <w:b w:val="0"/>
        </w:rPr>
      </w:pPr>
    </w:p>
    <w:p>
      <w:pPr>
        <w:rPr>
          <w:rStyle w:val="28"/>
          <w:rFonts w:hint="default" w:ascii="Times New Roman" w:hAnsi="Times New Roman" w:eastAsia="黑体" w:cs="Times New Roman"/>
          <w:b w:val="0"/>
        </w:rPr>
      </w:pPr>
    </w:p>
    <w:p>
      <w:pPr>
        <w:pStyle w:val="37"/>
        <w:rPr>
          <w:rStyle w:val="28"/>
          <w:rFonts w:hint="default" w:ascii="Times New Roman" w:hAnsi="Times New Roman" w:eastAsia="黑体" w:cs="Times New Roman"/>
          <w:b w:val="0"/>
        </w:rPr>
      </w:pPr>
    </w:p>
    <w:p>
      <w:pPr>
        <w:rPr>
          <w:rStyle w:val="28"/>
          <w:rFonts w:hint="default" w:ascii="Times New Roman" w:hAnsi="Times New Roman" w:eastAsia="黑体" w:cs="Times New Roman"/>
          <w:b w:val="0"/>
        </w:rPr>
      </w:pPr>
    </w:p>
    <w:p>
      <w:pPr>
        <w:spacing w:line="600" w:lineRule="exact"/>
        <w:jc w:val="center"/>
        <w:outlineLvl w:val="0"/>
        <w:rPr>
          <w:rStyle w:val="28"/>
          <w:rFonts w:hint="default" w:ascii="Times New Roman" w:hAnsi="Times New Roman" w:eastAsia="黑体" w:cs="Times New Roman"/>
          <w:b w:val="0"/>
        </w:rPr>
      </w:pPr>
      <w:r>
        <w:rPr>
          <w:rStyle w:val="28"/>
          <w:rFonts w:hint="default" w:ascii="Times New Roman" w:hAnsi="Times New Roman" w:eastAsia="黑体" w:cs="Times New Roman"/>
          <w:b w:val="0"/>
        </w:rPr>
        <w:t>农村集体土地征收生产生活安置资金</w:t>
      </w:r>
    </w:p>
    <w:p>
      <w:pPr>
        <w:spacing w:line="600" w:lineRule="exact"/>
        <w:jc w:val="center"/>
        <w:outlineLvl w:val="0"/>
        <w:rPr>
          <w:rFonts w:hint="default" w:ascii="Times New Roman" w:hAnsi="Times New Roman" w:cs="Times New Roman"/>
          <w:sz w:val="32"/>
          <w:szCs w:val="32"/>
          <w:lang w:val="zh-CN"/>
        </w:rPr>
      </w:pPr>
      <w:r>
        <w:rPr>
          <w:rFonts w:hint="default" w:ascii="Times New Roman" w:hAnsi="Times New Roman" w:eastAsia="方正小标宋简体" w:cs="Times New Roman"/>
          <w:sz w:val="40"/>
          <w:szCs w:val="40"/>
          <w:lang w:val="zh-CN"/>
        </w:rPr>
        <w:t>专项预算项目支出绩效自评报告</w:t>
      </w: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keepNext w:val="0"/>
        <w:keepLines w:val="0"/>
        <w:widowControl/>
        <w:suppressLineNumbers w:val="0"/>
        <w:ind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解决农村集体土地征收生产生活安置资金，</w:t>
      </w:r>
      <w:r>
        <w:rPr>
          <w:rFonts w:hint="default" w:ascii="Times New Roman" w:hAnsi="Times New Roman" w:eastAsia="仿宋_GB2312" w:cs="Times New Roman"/>
          <w:sz w:val="32"/>
          <w:szCs w:val="32"/>
        </w:rPr>
        <w:t>根据中心职能职责，负责对农村集体土地的征收拆迁补偿安置。</w:t>
      </w:r>
      <w:r>
        <w:rPr>
          <w:rFonts w:hint="default" w:ascii="Times New Roman" w:hAnsi="Times New Roman" w:eastAsia="仿宋_GB2312" w:cs="Times New Roman"/>
          <w:sz w:val="32"/>
          <w:szCs w:val="32"/>
          <w:lang w:val="en-US" w:eastAsia="zh-CN"/>
        </w:rPr>
        <w:t>本项目包括</w:t>
      </w:r>
      <w:r>
        <w:rPr>
          <w:rFonts w:hint="default" w:ascii="Times New Roman" w:hAnsi="Times New Roman" w:eastAsia="仿宋_GB2312" w:cs="Times New Roman"/>
          <w:sz w:val="32"/>
          <w:szCs w:val="32"/>
        </w:rPr>
        <w:t>全区农村集体土地征收</w:t>
      </w:r>
      <w:r>
        <w:rPr>
          <w:rFonts w:hint="default" w:ascii="Times New Roman" w:hAnsi="Times New Roman" w:eastAsia="仿宋_GB2312" w:cs="Times New Roman"/>
          <w:sz w:val="32"/>
          <w:szCs w:val="32"/>
          <w:lang w:val="en-US" w:eastAsia="zh-CN"/>
        </w:rPr>
        <w:t>项目涉及</w:t>
      </w:r>
      <w:r>
        <w:rPr>
          <w:rFonts w:hint="default" w:ascii="Times New Roman" w:hAnsi="Times New Roman" w:eastAsia="仿宋_GB2312" w:cs="Times New Roman"/>
          <w:sz w:val="32"/>
          <w:szCs w:val="32"/>
        </w:rPr>
        <w:t>人员生产生活安置共</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rPr>
        <w:t>5个项目208人，共计需要资金</w:t>
      </w:r>
      <w:r>
        <w:rPr>
          <w:rFonts w:hint="default" w:ascii="Times New Roman" w:hAnsi="Times New Roman" w:eastAsia="仿宋_GB2312" w:cs="Times New Roman"/>
          <w:color w:val="auto"/>
          <w:sz w:val="32"/>
          <w:szCs w:val="32"/>
          <w:highlight w:val="none"/>
        </w:rPr>
        <w:t>1748.3193万元，其中，养老保险799.3313万元，医疗保险212.04万元，失业保险456.984万元，养老保险退费279.964万元。涉及</w:t>
      </w:r>
      <w:r>
        <w:rPr>
          <w:rFonts w:hint="default" w:ascii="Times New Roman" w:hAnsi="Times New Roman" w:eastAsia="仿宋_GB2312" w:cs="Times New Roman"/>
          <w:sz w:val="32"/>
          <w:szCs w:val="32"/>
        </w:rPr>
        <w:t>项目分别为格里坪园区物流大道及污水处理厂、攀枝花市建筑工程学校扩建、大水井城中村棚户区改造、西区宝鼎金沙小区配套道路、格里坪村第六村民小组物流园LNG清洁能源站（中石油加气站）等土地征收项目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val="en-US" w:eastAsia="zh-CN" w:bidi="ar-SA"/>
        </w:rPr>
        <w:t>根据攀枝花市西区土地储备中心职能职责，</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val="en-US" w:eastAsia="zh-CN"/>
        </w:rPr>
        <w:t>集体土地征收补偿、人员安置等事务性工作</w:t>
      </w:r>
      <w:r>
        <w:rPr>
          <w:rFonts w:hint="default" w:ascii="Times New Roman" w:hAnsi="Times New Roman" w:eastAsia="仿宋_GB2312" w:cs="Times New Roman"/>
          <w:kern w:val="2"/>
          <w:sz w:val="32"/>
          <w:szCs w:val="32"/>
          <w:lang w:val="en-US" w:eastAsia="zh-CN" w:bidi="ar-SA"/>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1．项目主要内容。</w:t>
      </w:r>
    </w:p>
    <w:p>
      <w:pPr>
        <w:keepNext w:val="0"/>
        <w:keepLines w:val="0"/>
        <w:pageBreakBefore w:val="0"/>
        <w:kinsoku/>
        <w:wordWrap/>
        <w:overflowPunct/>
        <w:topLinePunct w:val="0"/>
        <w:autoSpaceDE/>
        <w:autoSpaceDN/>
        <w:bidi w:val="0"/>
        <w:adjustRightInd/>
        <w:snapToGrid/>
        <w:spacing w:beforeAutospacing="0" w:afterAutospacing="0" w:line="353" w:lineRule="auto"/>
        <w:ind w:firstLine="640" w:firstLineChars="200"/>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highlight w:val="none"/>
        </w:rPr>
        <w:t>为营造良好投资环境，有效推进西区建设，</w:t>
      </w:r>
      <w:r>
        <w:rPr>
          <w:rFonts w:hint="default" w:ascii="Times New Roman" w:hAnsi="Times New Roman" w:eastAsia="仿宋_GB2312" w:cs="Times New Roman"/>
          <w:sz w:val="32"/>
          <w:szCs w:val="32"/>
          <w:highlight w:val="none"/>
          <w:lang w:val="en-US" w:eastAsia="zh-CN"/>
        </w:rPr>
        <w:t>积极推动西区山水灵秀新城建设</w:t>
      </w:r>
      <w:r>
        <w:rPr>
          <w:rFonts w:hint="default" w:ascii="Times New Roman" w:hAnsi="Times New Roman" w:eastAsia="仿宋_GB2312" w:cs="Times New Roman"/>
          <w:sz w:val="32"/>
          <w:szCs w:val="32"/>
          <w:highlight w:val="none"/>
        </w:rPr>
        <w:t>，促进西区高质量发展，根据规划及</w:t>
      </w:r>
      <w:r>
        <w:rPr>
          <w:rFonts w:hint="default" w:ascii="Times New Roman" w:hAnsi="Times New Roman" w:eastAsia="仿宋_GB2312" w:cs="Times New Roman"/>
          <w:sz w:val="32"/>
          <w:szCs w:val="32"/>
          <w:highlight w:val="none"/>
          <w:lang w:val="en-US" w:eastAsia="zh-CN"/>
        </w:rPr>
        <w:t>区政府工作安排</w:t>
      </w:r>
      <w:r>
        <w:rPr>
          <w:rFonts w:hint="default" w:ascii="Times New Roman" w:hAnsi="Times New Roman" w:eastAsia="仿宋_GB2312" w:cs="Times New Roman"/>
          <w:sz w:val="32"/>
          <w:szCs w:val="32"/>
          <w:highlight w:val="none"/>
        </w:rPr>
        <w:t>开展</w:t>
      </w:r>
      <w:r>
        <w:rPr>
          <w:rFonts w:hint="default" w:ascii="Times New Roman" w:hAnsi="Times New Roman" w:eastAsia="仿宋_GB2312" w:cs="Times New Roman"/>
          <w:sz w:val="32"/>
          <w:szCs w:val="32"/>
          <w:highlight w:val="none"/>
          <w:lang w:val="en-US" w:eastAsia="zh-CN"/>
        </w:rPr>
        <w:t>集体土地征收</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rPr>
        <w:t>。</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highlight w:val="none"/>
          <w:shd w:val="clear" w:color="auto" w:fill="FFFFFF"/>
          <w:lang w:val="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本项目总体目标为</w:t>
      </w:r>
      <w:r>
        <w:rPr>
          <w:rFonts w:hint="default" w:ascii="Times New Roman" w:hAnsi="Times New Roman" w:eastAsia="仿宋_GB2312" w:cs="Times New Roman"/>
          <w:sz w:val="32"/>
          <w:szCs w:val="32"/>
          <w:lang w:val="en-US" w:eastAsia="zh-CN"/>
        </w:rPr>
        <w:t>农村集体土地征收生产生活安置资金</w:t>
      </w:r>
      <w:r>
        <w:rPr>
          <w:rFonts w:hint="default" w:ascii="Times New Roman" w:hAnsi="Times New Roman" w:eastAsia="仿宋_GB2312" w:cs="Times New Roman"/>
          <w:sz w:val="32"/>
          <w:szCs w:val="32"/>
        </w:rPr>
        <w:t>的总体绩效目标为完成</w:t>
      </w:r>
      <w:r>
        <w:rPr>
          <w:rFonts w:hint="default" w:ascii="Times New Roman" w:hAnsi="Times New Roman" w:eastAsia="仿宋_GB2312" w:cs="Times New Roman"/>
          <w:sz w:val="32"/>
          <w:szCs w:val="32"/>
          <w:highlight w:val="none"/>
        </w:rPr>
        <w:t>养老保险，医疗保险，失业保险，养老保险退费</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val="en-US" w:eastAsia="zh-CN"/>
        </w:rPr>
        <w:t>，数量目标为：</w:t>
      </w:r>
      <w:r>
        <w:rPr>
          <w:rFonts w:hint="default" w:ascii="Times New Roman" w:hAnsi="Times New Roman" w:eastAsia="仿宋_GB2312" w:cs="Times New Roman"/>
          <w:sz w:val="32"/>
          <w:szCs w:val="32"/>
          <w:highlight w:val="none"/>
        </w:rPr>
        <w:t>养老保险799.3313万元，医疗保险212.04万元，失业保险456.984万元，养老保险退费279.964万元</w:t>
      </w:r>
      <w:r>
        <w:rPr>
          <w:rFonts w:hint="default" w:ascii="Times New Roman" w:hAnsi="Times New Roman" w:eastAsia="仿宋_GB2312" w:cs="Times New Roman"/>
          <w:kern w:val="0"/>
          <w:sz w:val="32"/>
          <w:szCs w:val="32"/>
          <w:highlight w:val="none"/>
          <w:shd w:val="clear" w:color="auto" w:fill="FFFFFF"/>
          <w:lang w:val="zh-CN"/>
        </w:rPr>
        <w:t>。</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w:t>
      </w:r>
      <w:r>
        <w:rPr>
          <w:rFonts w:hint="default" w:ascii="Times New Roman" w:hAnsi="Times New Roman" w:eastAsia="仿宋_GB2312" w:cs="Times New Roman"/>
          <w:b/>
          <w:sz w:val="32"/>
          <w:szCs w:val="32"/>
          <w:lang w:val="zh-CN"/>
        </w:rPr>
        <w:t>项目资金申报相符性。</w:t>
      </w:r>
      <w:r>
        <w:rPr>
          <w:rFonts w:hint="default" w:ascii="Times New Roman" w:hAnsi="Times New Roman" w:eastAsia="仿宋_GB2312" w:cs="Times New Roman"/>
          <w:sz w:val="32"/>
          <w:szCs w:val="32"/>
          <w:lang w:val="zh-CN"/>
        </w:rPr>
        <w:t>该项目申报内容与具体实施内容相符、申报目标合理可行。</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kern w:val="0"/>
          <w:sz w:val="32"/>
          <w:szCs w:val="32"/>
          <w:shd w:val="clear" w:color="auto" w:fill="FFFFFF"/>
          <w:lang w:val="zh-CN"/>
        </w:rPr>
        <w:t>确定评价指标</w:t>
      </w:r>
    </w:p>
    <w:p>
      <w:pPr>
        <w:adjustRightInd w:val="0"/>
        <w:snapToGrid w:val="0"/>
        <w:spacing w:line="578" w:lineRule="exact"/>
        <w:ind w:firstLine="720"/>
        <w:rPr>
          <w:rFonts w:hint="default" w:ascii="Times New Roman" w:hAnsi="Times New Roman" w:eastAsia="仿宋_GB2312" w:cs="Times New Roman"/>
          <w:snapToGrid/>
          <w:spacing w:val="0"/>
          <w:sz w:val="32"/>
          <w:szCs w:val="32"/>
          <w:lang w:eastAsia="zh-CN"/>
        </w:rPr>
      </w:pPr>
      <w:r>
        <w:rPr>
          <w:rFonts w:hint="default" w:ascii="Times New Roman" w:hAnsi="Times New Roman" w:eastAsia="仿宋_GB2312" w:cs="Times New Roman"/>
          <w:sz w:val="32"/>
          <w:szCs w:val="32"/>
          <w:highlight w:val="none"/>
        </w:rPr>
        <w:t>为营造良好投资环境，有效推进西区建设，</w:t>
      </w:r>
      <w:r>
        <w:rPr>
          <w:rFonts w:hint="default" w:ascii="Times New Roman" w:hAnsi="Times New Roman" w:eastAsia="仿宋_GB2312" w:cs="Times New Roman"/>
          <w:sz w:val="32"/>
          <w:szCs w:val="32"/>
          <w:highlight w:val="none"/>
          <w:lang w:val="en-US" w:eastAsia="zh-CN"/>
        </w:rPr>
        <w:t>积极推动西区山水灵秀新城建设</w:t>
      </w:r>
      <w:r>
        <w:rPr>
          <w:rFonts w:hint="default" w:ascii="Times New Roman" w:hAnsi="Times New Roman" w:eastAsia="仿宋_GB2312" w:cs="Times New Roman"/>
          <w:sz w:val="32"/>
          <w:szCs w:val="32"/>
          <w:highlight w:val="none"/>
        </w:rPr>
        <w:t>，促进西区高质量发展，根据规划及</w:t>
      </w:r>
      <w:r>
        <w:rPr>
          <w:rFonts w:hint="default" w:ascii="Times New Roman" w:hAnsi="Times New Roman" w:eastAsia="仿宋_GB2312" w:cs="Times New Roman"/>
          <w:sz w:val="32"/>
          <w:szCs w:val="32"/>
          <w:highlight w:val="none"/>
          <w:lang w:val="en-US" w:eastAsia="zh-CN"/>
        </w:rPr>
        <w:t>区政府工作安排</w:t>
      </w:r>
      <w:r>
        <w:rPr>
          <w:rFonts w:hint="default" w:ascii="Times New Roman" w:hAnsi="Times New Roman" w:eastAsia="仿宋_GB2312" w:cs="Times New Roman"/>
          <w:sz w:val="32"/>
          <w:szCs w:val="32"/>
          <w:highlight w:val="none"/>
        </w:rPr>
        <w:t>开展</w:t>
      </w:r>
      <w:r>
        <w:rPr>
          <w:rFonts w:hint="default" w:ascii="Times New Roman" w:hAnsi="Times New Roman" w:eastAsia="仿宋_GB2312" w:cs="Times New Roman"/>
          <w:sz w:val="32"/>
          <w:szCs w:val="32"/>
          <w:highlight w:val="none"/>
          <w:lang w:val="en-US" w:eastAsia="zh-CN"/>
        </w:rPr>
        <w:t>集体土地征收</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napToGrid/>
          <w:spacing w:val="0"/>
          <w:sz w:val="32"/>
          <w:szCs w:val="32"/>
          <w:lang w:eastAsia="zh-CN"/>
        </w:rPr>
        <w:t>，监管生产生活安置资金到位情况。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2.</w:t>
      </w:r>
      <w:r>
        <w:rPr>
          <w:rFonts w:hint="default" w:ascii="Times New Roman" w:hAnsi="Times New Roman" w:eastAsia="仿宋_GB2312" w:cs="Times New Roman"/>
          <w:kern w:val="0"/>
          <w:sz w:val="32"/>
          <w:szCs w:val="32"/>
          <w:shd w:val="clear" w:color="auto" w:fill="FFFFFF"/>
          <w:lang w:val="zh-CN"/>
        </w:rPr>
        <w:t>收集数据</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与社保局及医保局计算生产生活安置所需的社保及医保费用并足额缴纳，保证村民合法权益。</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3.</w:t>
      </w:r>
      <w:r>
        <w:rPr>
          <w:rFonts w:hint="default" w:ascii="Times New Roman" w:hAnsi="Times New Roman" w:eastAsia="仿宋_GB2312" w:cs="Times New Roman"/>
          <w:kern w:val="0"/>
          <w:sz w:val="32"/>
          <w:szCs w:val="32"/>
          <w:shd w:val="clear" w:color="auto" w:fill="FFFFFF"/>
          <w:lang w:val="zh-CN"/>
        </w:rPr>
        <w:t>评估结果</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针对存在的问题和改进的空间，提出具体的建议措施，以改进支付节点。</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4.</w:t>
      </w:r>
      <w:r>
        <w:rPr>
          <w:rFonts w:hint="default" w:ascii="Times New Roman" w:hAnsi="Times New Roman" w:eastAsia="仿宋_GB2312" w:cs="Times New Roman"/>
          <w:kern w:val="0"/>
          <w:sz w:val="32"/>
          <w:szCs w:val="32"/>
          <w:shd w:val="clear" w:color="auto" w:fill="FFFFFF"/>
          <w:lang w:val="zh-CN"/>
        </w:rPr>
        <w:t>实施改进措施</w:t>
      </w:r>
    </w:p>
    <w:p>
      <w:pPr>
        <w:adjustRightInd w:val="0"/>
        <w:snapToGrid w:val="0"/>
        <w:spacing w:line="578"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根据评估结果，制定改进计划，并明确责任人和时间节点。提升业务人员的培训和管理，加强对项目的监督和检查</w:t>
      </w: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仿宋_GB2312" w:cs="Times New Roman"/>
          <w:kern w:val="0"/>
          <w:sz w:val="32"/>
          <w:szCs w:val="32"/>
          <w:shd w:val="clear" w:color="auto" w:fill="FFFFFF"/>
          <w:lang w:val="zh-CN"/>
        </w:rPr>
        <w:t>改进支付节点把控。</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adjustRightInd w:val="0"/>
        <w:snapToGrid w:val="0"/>
        <w:spacing w:line="600" w:lineRule="exact"/>
        <w:ind w:firstLine="72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本项目资金共计</w:t>
      </w:r>
      <w:r>
        <w:rPr>
          <w:rFonts w:hint="default" w:ascii="Times New Roman" w:hAnsi="Times New Roman" w:eastAsia="仿宋_GB2312" w:cs="Times New Roman"/>
          <w:kern w:val="0"/>
          <w:sz w:val="32"/>
          <w:szCs w:val="32"/>
          <w:highlight w:val="none"/>
          <w:lang w:val="en-US" w:eastAsia="zh-CN"/>
        </w:rPr>
        <w:t>2376.46万</w:t>
      </w:r>
      <w:r>
        <w:rPr>
          <w:rFonts w:hint="default" w:ascii="Times New Roman" w:hAnsi="Times New Roman" w:eastAsia="仿宋_GB2312" w:cs="Times New Roman"/>
          <w:kern w:val="0"/>
          <w:sz w:val="32"/>
          <w:szCs w:val="32"/>
          <w:highlight w:val="none"/>
        </w:rPr>
        <w:t>元，为</w:t>
      </w:r>
      <w:r>
        <w:rPr>
          <w:rFonts w:hint="default" w:ascii="Times New Roman" w:hAnsi="Times New Roman" w:eastAsia="仿宋_GB2312" w:cs="Times New Roman"/>
          <w:sz w:val="32"/>
          <w:szCs w:val="32"/>
          <w:highlight w:val="none"/>
        </w:rPr>
        <w:t>养老保险799.3313万元，医疗保险212.04万元，失业保险456.984万元，养老保险退费279.964万元</w:t>
      </w:r>
      <w:r>
        <w:rPr>
          <w:rFonts w:hint="default" w:ascii="Times New Roman" w:hAnsi="Times New Roman" w:eastAsia="仿宋_GB2312" w:cs="Times New Roman"/>
          <w:kern w:val="0"/>
          <w:sz w:val="32"/>
          <w:szCs w:val="32"/>
          <w:highlight w:val="none"/>
        </w:rPr>
        <w:t>，符合资金管理办法等相关规定。</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w:t>
      </w:r>
      <w:r>
        <w:rPr>
          <w:rFonts w:hint="default" w:ascii="Times New Roman" w:hAnsi="Times New Roman" w:eastAsia="仿宋_GB2312" w:cs="Times New Roman"/>
          <w:sz w:val="32"/>
          <w:szCs w:val="32"/>
          <w:lang w:val="zh-CN"/>
        </w:rPr>
        <w:t>资金计划及到位。本项目资金计划为</w:t>
      </w:r>
      <w:r>
        <w:rPr>
          <w:rFonts w:hint="default" w:ascii="Times New Roman" w:hAnsi="Times New Roman" w:eastAsia="仿宋_GB2312" w:cs="Times New Roman"/>
          <w:sz w:val="32"/>
          <w:szCs w:val="32"/>
          <w:lang w:val="en-US" w:eastAsia="zh-CN"/>
        </w:rPr>
        <w:t>2376.46万</w:t>
      </w:r>
      <w:r>
        <w:rPr>
          <w:rFonts w:hint="default" w:ascii="Times New Roman" w:hAnsi="Times New Roman" w:eastAsia="仿宋_GB2312" w:cs="Times New Roman"/>
          <w:sz w:val="32"/>
          <w:szCs w:val="32"/>
          <w:lang w:val="zh-CN"/>
        </w:rPr>
        <w:t>元，截至评价时点，实际到位</w:t>
      </w:r>
      <w:r>
        <w:rPr>
          <w:rFonts w:hint="default" w:ascii="Times New Roman" w:hAnsi="Times New Roman" w:eastAsia="仿宋_GB2312" w:cs="Times New Roman"/>
          <w:sz w:val="32"/>
          <w:szCs w:val="32"/>
          <w:lang w:val="en-US" w:eastAsia="zh-CN"/>
        </w:rPr>
        <w:t>1188.23万</w:t>
      </w:r>
      <w:r>
        <w:rPr>
          <w:rFonts w:hint="default" w:ascii="Times New Roman" w:hAnsi="Times New Roman" w:eastAsia="仿宋_GB2312" w:cs="Times New Roman"/>
          <w:sz w:val="32"/>
          <w:szCs w:val="32"/>
          <w:lang w:val="zh-CN"/>
        </w:rPr>
        <w:t>元，资金到位率为</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lang w:val="zh-CN"/>
        </w:rPr>
        <w:t>．资金使用。</w:t>
      </w:r>
      <w:r>
        <w:rPr>
          <w:rFonts w:hint="default" w:ascii="Times New Roman" w:hAnsi="Times New Roman" w:eastAsia="仿宋_GB2312" w:cs="Times New Roman"/>
          <w:sz w:val="32"/>
          <w:szCs w:val="32"/>
          <w:lang w:val="zh-CN"/>
        </w:rPr>
        <w:t>截至评价时点，本项目资金的实际支出</w:t>
      </w:r>
      <w:r>
        <w:rPr>
          <w:rFonts w:hint="default" w:ascii="Times New Roman" w:hAnsi="Times New Roman" w:eastAsia="仿宋_GB2312" w:cs="Times New Roman"/>
          <w:sz w:val="32"/>
          <w:szCs w:val="32"/>
          <w:lang w:val="en-US" w:eastAsia="zh-CN"/>
        </w:rPr>
        <w:t>1188.23万</w:t>
      </w:r>
      <w:r>
        <w:rPr>
          <w:rFonts w:hint="default" w:ascii="Times New Roman" w:hAnsi="Times New Roman" w:eastAsia="仿宋_GB2312" w:cs="Times New Roman"/>
          <w:sz w:val="32"/>
          <w:szCs w:val="32"/>
          <w:lang w:val="zh-CN"/>
        </w:rPr>
        <w:t>元，资金开支范围为补偿款，支付进度</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%。支付依据合规合法，资金支付与预算相符。</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该项目通过社保局及医保局的计算系统进行统计计算</w:t>
      </w:r>
      <w:r>
        <w:rPr>
          <w:rFonts w:hint="default" w:ascii="Times New Roman" w:hAnsi="Times New Roman" w:eastAsia="仿宋_GB2312" w:cs="Times New Roman"/>
          <w:sz w:val="32"/>
          <w:szCs w:val="32"/>
          <w:lang w:val="zh-CN"/>
        </w:rPr>
        <w:t>，符合资金管理办法等相关规定。</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adjustRightInd w:val="0"/>
        <w:snapToGrid w:val="0"/>
        <w:spacing w:line="600" w:lineRule="exact"/>
        <w:ind w:firstLine="720"/>
        <w:rPr>
          <w:rFonts w:hint="default" w:ascii="Times New Roman" w:hAnsi="Times New Roman" w:eastAsia="仿宋_GB2312" w:cs="Times New Roman"/>
          <w:kern w:val="0"/>
          <w:sz w:val="32"/>
          <w:szCs w:val="32"/>
          <w:highlight w:val="yellow"/>
          <w:shd w:val="clear" w:color="auto" w:fill="FFFFFF"/>
          <w:lang w:val="zh-CN"/>
        </w:rPr>
      </w:pPr>
      <w:r>
        <w:rPr>
          <w:rFonts w:hint="default" w:ascii="Times New Roman" w:hAnsi="Times New Roman" w:eastAsia="仿宋_GB2312" w:cs="Times New Roman"/>
          <w:sz w:val="32"/>
          <w:szCs w:val="32"/>
          <w:lang w:val="zh-CN"/>
        </w:rPr>
        <w:t>该项目</w:t>
      </w:r>
      <w:r>
        <w:rPr>
          <w:rFonts w:hint="default" w:ascii="Times New Roman" w:hAnsi="Times New Roman" w:eastAsia="仿宋_GB2312" w:cs="Times New Roman"/>
          <w:kern w:val="2"/>
          <w:sz w:val="32"/>
          <w:szCs w:val="32"/>
          <w:lang w:val="en-US" w:eastAsia="zh-CN" w:bidi="ar-SA"/>
        </w:rPr>
        <w:t>据攀枝花市西区土地储备中心职能职责，由</w:t>
      </w:r>
      <w:r>
        <w:rPr>
          <w:rFonts w:hint="default" w:ascii="Times New Roman" w:hAnsi="Times New Roman" w:eastAsia="仿宋_GB2312" w:cs="Times New Roman"/>
          <w:sz w:val="32"/>
          <w:szCs w:val="32"/>
          <w:lang w:val="zh-CN"/>
        </w:rPr>
        <w:t>攀枝花市西区土地储备中心组织实施，按照</w:t>
      </w:r>
      <w:r>
        <w:rPr>
          <w:rFonts w:hint="default" w:ascii="Times New Roman" w:hAnsi="Times New Roman" w:eastAsia="仿宋_GB2312" w:cs="Times New Roman"/>
          <w:kern w:val="0"/>
          <w:sz w:val="32"/>
          <w:szCs w:val="32"/>
          <w:shd w:val="clear" w:color="auto" w:fill="FFFFFF"/>
          <w:lang w:val="zh-CN"/>
        </w:rPr>
        <w:t>社保局及医保局的计算系统</w:t>
      </w:r>
      <w:r>
        <w:rPr>
          <w:rFonts w:hint="default" w:ascii="Times New Roman" w:hAnsi="Times New Roman" w:eastAsia="仿宋_GB2312" w:cs="Times New Roman"/>
          <w:sz w:val="32"/>
          <w:szCs w:val="32"/>
          <w:lang w:val="zh-CN"/>
        </w:rPr>
        <w:t>，在</w:t>
      </w:r>
      <w:r>
        <w:rPr>
          <w:rFonts w:hint="default" w:ascii="Times New Roman" w:hAnsi="Times New Roman" w:eastAsia="仿宋_GB2312" w:cs="Times New Roman"/>
          <w:sz w:val="32"/>
          <w:szCs w:val="32"/>
          <w:highlight w:val="none"/>
          <w:lang w:val="zh-CN"/>
        </w:rPr>
        <w:t>区财政</w:t>
      </w:r>
      <w:r>
        <w:rPr>
          <w:rFonts w:hint="default" w:ascii="Times New Roman" w:hAnsi="Times New Roman" w:eastAsia="仿宋_GB2312" w:cs="Times New Roman"/>
          <w:sz w:val="32"/>
          <w:szCs w:val="32"/>
          <w:lang w:val="zh-CN"/>
        </w:rPr>
        <w:t>监督管理下实施。</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截至目前，</w:t>
      </w: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农村集体土地的征收拆迁补偿安置</w:t>
      </w:r>
      <w:r>
        <w:rPr>
          <w:rFonts w:hint="default" w:ascii="Times New Roman" w:hAnsi="Times New Roman" w:eastAsia="仿宋_GB2312" w:cs="Times New Roman"/>
          <w:sz w:val="32"/>
          <w:szCs w:val="32"/>
          <w:lang w:eastAsia="zh-CN"/>
        </w:rPr>
        <w:t>费用支付</w:t>
      </w:r>
      <w:r>
        <w:rPr>
          <w:rFonts w:hint="default" w:ascii="Times New Roman" w:hAnsi="Times New Roman" w:eastAsia="仿宋_GB2312" w:cs="Times New Roman"/>
          <w:sz w:val="32"/>
          <w:szCs w:val="32"/>
          <w:lang w:val="en-US" w:eastAsia="zh-CN"/>
        </w:rPr>
        <w:t>，费用已交至指定代管账户</w:t>
      </w:r>
      <w:r>
        <w:rPr>
          <w:rFonts w:hint="default" w:ascii="Times New Roman" w:hAnsi="Times New Roman" w:eastAsia="仿宋_GB2312" w:cs="Times New Roman"/>
          <w:sz w:val="32"/>
          <w:szCs w:val="32"/>
          <w:lang w:val="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578" w:lineRule="exact"/>
        <w:ind w:firstLine="720"/>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sz w:val="32"/>
          <w:szCs w:val="32"/>
          <w:lang w:val="en-US" w:eastAsia="zh-CN"/>
        </w:rPr>
        <w:t>完成农村集体土地征收生产生活安置资金</w:t>
      </w:r>
      <w:r>
        <w:rPr>
          <w:rFonts w:hint="default" w:ascii="Times New Roman" w:hAnsi="Times New Roman" w:eastAsia="仿宋_GB2312" w:cs="Times New Roman"/>
          <w:sz w:val="32"/>
          <w:szCs w:val="32"/>
        </w:rPr>
        <w:t>工作，保障</w:t>
      </w:r>
      <w:r>
        <w:rPr>
          <w:rFonts w:hint="default" w:ascii="Times New Roman" w:hAnsi="Times New Roman" w:eastAsia="仿宋_GB2312" w:cs="Times New Roman"/>
          <w:sz w:val="32"/>
          <w:szCs w:val="32"/>
          <w:lang w:val="en-US" w:eastAsia="zh-CN"/>
        </w:rPr>
        <w:t>净地出让</w:t>
      </w:r>
      <w:r>
        <w:rPr>
          <w:rFonts w:hint="default" w:ascii="Times New Roman" w:hAnsi="Times New Roman" w:eastAsia="仿宋_GB2312" w:cs="Times New Roman"/>
          <w:sz w:val="32"/>
          <w:szCs w:val="32"/>
        </w:rPr>
        <w:t>，增加财政收入</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z w:val="32"/>
          <w:szCs w:val="32"/>
        </w:rPr>
        <w:t>保障</w:t>
      </w:r>
      <w:r>
        <w:rPr>
          <w:rFonts w:hint="default" w:ascii="Times New Roman" w:hAnsi="Times New Roman" w:eastAsia="仿宋_GB2312" w:cs="Times New Roman"/>
          <w:sz w:val="32"/>
          <w:szCs w:val="32"/>
          <w:lang w:val="en-US" w:eastAsia="zh-CN"/>
        </w:rPr>
        <w:t>村民补及时搬迁安置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维护村民合法权益</w:t>
      </w:r>
      <w:r>
        <w:rPr>
          <w:rFonts w:hint="default" w:ascii="Times New Roman" w:hAnsi="Times New Roman" w:eastAsia="仿宋_GB2312" w:cs="Times New Roman"/>
          <w:sz w:val="32"/>
          <w:szCs w:val="32"/>
          <w:lang w:eastAsia="zh-CN"/>
        </w:rPr>
        <w:t>。</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根据绩效评价结果，本项目得出了以下结论：(1)土地储备满意度较高；(2)各项组织保障工作完成较好；(3)保障土地出让有序完成。</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zh-CN"/>
        </w:rPr>
        <w:t>无</w:t>
      </w:r>
      <w:r>
        <w:rPr>
          <w:rFonts w:hint="default" w:ascii="Times New Roman" w:hAnsi="Times New Roman" w:eastAsia="仿宋_GB2312" w:cs="Times New Roman"/>
          <w:kern w:val="0"/>
          <w:sz w:val="32"/>
          <w:szCs w:val="32"/>
          <w:shd w:val="clear" w:color="auto" w:fill="FFFFFF"/>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widowControl/>
        <w:adjustRightInd w:val="0"/>
        <w:snapToGrid w:val="0"/>
        <w:spacing w:line="578" w:lineRule="exact"/>
        <w:ind w:firstLine="640" w:firstLineChars="200"/>
        <w:contextualSpacing/>
        <w:jc w:val="left"/>
        <w:rPr>
          <w:rStyle w:val="36"/>
          <w:rFonts w:hint="default" w:ascii="Times New Roman" w:hAnsi="Times New Roman" w:eastAsia="黑体" w:cs="Times New Roman"/>
          <w:b w:val="0"/>
          <w:sz w:val="32"/>
          <w:szCs w:val="32"/>
        </w:rPr>
      </w:pPr>
      <w:r>
        <w:rPr>
          <w:rFonts w:hint="default" w:ascii="Times New Roman" w:hAnsi="Times New Roman" w:eastAsia="仿宋_GB2312" w:cs="Times New Roman"/>
          <w:kern w:val="0"/>
          <w:sz w:val="32"/>
          <w:szCs w:val="32"/>
          <w:shd w:val="clear" w:color="auto" w:fill="FFFFFF"/>
          <w:lang w:val="zh-CN"/>
        </w:rPr>
        <w:t>无。</w:t>
      </w:r>
    </w:p>
    <w:p>
      <w:pPr>
        <w:pStyle w:val="37"/>
        <w:rPr>
          <w:rStyle w:val="28"/>
          <w:rFonts w:hint="default" w:ascii="Times New Roman" w:hAnsi="Times New Roman" w:eastAsia="黑体" w:cs="Times New Roman"/>
          <w:b w:val="0"/>
        </w:rPr>
      </w:pPr>
    </w:p>
    <w:p>
      <w:pPr>
        <w:rPr>
          <w:rStyle w:val="28"/>
          <w:rFonts w:hint="default" w:ascii="Times New Roman" w:hAnsi="Times New Roman" w:eastAsia="黑体" w:cs="Times New Roman"/>
          <w:b w:val="0"/>
        </w:rPr>
      </w:pPr>
    </w:p>
    <w:p>
      <w:pPr>
        <w:pStyle w:val="37"/>
        <w:rPr>
          <w:rFonts w:hint="default" w:ascii="Times New Roman" w:hAnsi="Times New Roman" w:cs="Times New Roman"/>
        </w:rPr>
      </w:pPr>
    </w:p>
    <w:p>
      <w:pPr>
        <w:rPr>
          <w:rFonts w:hint="default" w:ascii="Times New Roman" w:hAnsi="Times New Roman" w:cs="Times New Roman"/>
        </w:rPr>
      </w:pPr>
    </w:p>
    <w:p>
      <w:pPr>
        <w:pStyle w:val="37"/>
        <w:rPr>
          <w:rFonts w:hint="default" w:ascii="Times New Roman" w:hAnsi="Times New Roman" w:cs="Times New Roman"/>
        </w:rPr>
      </w:pPr>
    </w:p>
    <w:p>
      <w:pPr>
        <w:rPr>
          <w:rFonts w:hint="default" w:ascii="Times New Roman" w:hAnsi="Times New Roman" w:cs="Times New Roman"/>
        </w:rPr>
      </w:pPr>
    </w:p>
    <w:p>
      <w:pPr>
        <w:pStyle w:val="37"/>
        <w:rPr>
          <w:rFonts w:hint="default" w:ascii="Times New Roman" w:hAnsi="Times New Roman" w:cs="Times New Roman"/>
        </w:rPr>
      </w:pPr>
    </w:p>
    <w:p>
      <w:pPr>
        <w:rPr>
          <w:rFonts w:hint="default" w:ascii="Times New Roman" w:hAnsi="Times New Roman" w:cs="Times New Roman"/>
        </w:rPr>
      </w:pPr>
    </w:p>
    <w:p>
      <w:pPr>
        <w:pStyle w:val="37"/>
        <w:rPr>
          <w:rFonts w:hint="default" w:ascii="Times New Roman" w:hAnsi="Times New Roman" w:cs="Times New Roman"/>
        </w:rPr>
      </w:pPr>
    </w:p>
    <w:p>
      <w:pPr>
        <w:rPr>
          <w:rFonts w:hint="default" w:ascii="Times New Roman" w:hAnsi="Times New Roman" w:cs="Times New Roman"/>
        </w:rPr>
      </w:pPr>
    </w:p>
    <w:p>
      <w:pPr>
        <w:pStyle w:val="37"/>
        <w:rPr>
          <w:rFonts w:hint="default" w:ascii="Times New Roman" w:hAnsi="Times New Roman" w:cs="Times New Roman"/>
        </w:rPr>
      </w:pPr>
    </w:p>
    <w:p>
      <w:pPr>
        <w:rPr>
          <w:rFonts w:hint="default" w:ascii="Times New Roman" w:hAnsi="Times New Roman" w:cs="Times New Roman"/>
        </w:rPr>
      </w:pPr>
    </w:p>
    <w:p>
      <w:pPr>
        <w:pStyle w:val="37"/>
        <w:rPr>
          <w:rFonts w:hint="default" w:ascii="Times New Roman" w:hAnsi="Times New Roman" w:cs="Times New Roman"/>
        </w:rPr>
      </w:pPr>
    </w:p>
    <w:p>
      <w:pPr>
        <w:rPr>
          <w:rFonts w:hint="default" w:ascii="Times New Roman" w:hAnsi="Times New Roman" w:cs="Times New Roman"/>
        </w:rPr>
      </w:pPr>
    </w:p>
    <w:p>
      <w:pPr>
        <w:pStyle w:val="37"/>
        <w:rPr>
          <w:rFonts w:hint="default" w:ascii="Times New Roman" w:hAnsi="Times New Roman" w:cs="Times New Roman"/>
        </w:rPr>
      </w:pPr>
    </w:p>
    <w:p>
      <w:pPr>
        <w:rPr>
          <w:rFonts w:hint="default" w:ascii="Times New Roman" w:hAnsi="Times New Roman" w:cs="Times New Roman"/>
        </w:rPr>
      </w:pPr>
    </w:p>
    <w:p>
      <w:pPr>
        <w:pStyle w:val="37"/>
        <w:rPr>
          <w:rFonts w:hint="default" w:ascii="Times New Roman" w:hAnsi="Times New Roman" w:cs="Times New Roman"/>
        </w:rPr>
      </w:pPr>
    </w:p>
    <w:p>
      <w:pPr>
        <w:rPr>
          <w:rFonts w:hint="default" w:ascii="Times New Roman" w:hAnsi="Times New Roman" w:cs="Times New Roman"/>
        </w:rPr>
      </w:pPr>
    </w:p>
    <w:p>
      <w:pPr>
        <w:pStyle w:val="37"/>
        <w:rPr>
          <w:rFonts w:hint="default" w:ascii="Times New Roman" w:hAnsi="Times New Roman" w:cs="Times New Roman"/>
        </w:rPr>
      </w:pPr>
    </w:p>
    <w:p>
      <w:pPr>
        <w:rPr>
          <w:rFonts w:hint="default" w:ascii="Times New Roman" w:hAnsi="Times New Roman" w:cs="Times New Roman"/>
        </w:rPr>
      </w:pPr>
    </w:p>
    <w:p>
      <w:pPr>
        <w:pStyle w:val="37"/>
        <w:rPr>
          <w:rFonts w:hint="default" w:ascii="Times New Roman" w:hAnsi="Times New Roman" w:cs="Times New Roman"/>
        </w:rPr>
      </w:pPr>
    </w:p>
    <w:p>
      <w:pPr>
        <w:rPr>
          <w:rFonts w:hint="default" w:ascii="Times New Roman" w:hAnsi="Times New Roman" w:cs="Times New Roman"/>
        </w:rPr>
      </w:pPr>
    </w:p>
    <w:p>
      <w:pPr>
        <w:spacing w:line="600" w:lineRule="exact"/>
        <w:jc w:val="center"/>
        <w:outlineLvl w:val="0"/>
        <w:rPr>
          <w:rFonts w:hint="default" w:ascii="Times New Roman" w:hAnsi="Times New Roman" w:cs="Times New Roman"/>
          <w:sz w:val="32"/>
          <w:szCs w:val="32"/>
          <w:lang w:val="zh-CN"/>
        </w:rPr>
      </w:pPr>
      <w:r>
        <w:rPr>
          <w:rStyle w:val="28"/>
          <w:rFonts w:hint="default" w:ascii="Times New Roman" w:hAnsi="Times New Roman" w:eastAsia="黑体" w:cs="Times New Roman"/>
          <w:b w:val="0"/>
          <w:lang w:val="en-US" w:eastAsia="zh-CN"/>
        </w:rPr>
        <w:t>攀枝花市西区格里坪加气站及青乌线加气站红线内征地还建电力设施工程项目经费</w:t>
      </w:r>
      <w:r>
        <w:rPr>
          <w:rFonts w:hint="default" w:ascii="Times New Roman" w:hAnsi="Times New Roman" w:eastAsia="方正小标宋简体" w:cs="Times New Roman"/>
          <w:sz w:val="40"/>
          <w:szCs w:val="40"/>
          <w:lang w:val="zh-CN"/>
        </w:rPr>
        <w:t>专项预算项目支出绩效自评报告</w:t>
      </w: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keepNext w:val="0"/>
        <w:keepLines w:val="0"/>
        <w:widowControl/>
        <w:suppressLineNumbers w:val="0"/>
        <w:ind w:firstLine="624" w:firstLineChars="200"/>
        <w:jc w:val="left"/>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为确保</w:t>
      </w:r>
      <w:r>
        <w:rPr>
          <w:rFonts w:hint="default" w:ascii="Times New Roman" w:hAnsi="Times New Roman" w:eastAsia="仿宋" w:cs="Times New Roman"/>
          <w:spacing w:val="-4"/>
          <w:kern w:val="0"/>
          <w:sz w:val="32"/>
          <w:szCs w:val="32"/>
        </w:rPr>
        <w:t>2019</w:t>
      </w:r>
      <w:r>
        <w:rPr>
          <w:rFonts w:hint="default" w:ascii="Times New Roman" w:hAnsi="Times New Roman" w:eastAsia="仿宋_GB2312" w:cs="Times New Roman"/>
          <w:spacing w:val="-4"/>
          <w:kern w:val="0"/>
          <w:sz w:val="32"/>
          <w:szCs w:val="32"/>
        </w:rPr>
        <w:t>年出让的</w:t>
      </w:r>
      <w:r>
        <w:rPr>
          <w:rFonts w:hint="default" w:ascii="Times New Roman" w:hAnsi="Times New Roman" w:eastAsia="仿宋" w:cs="Times New Roman"/>
          <w:spacing w:val="-4"/>
          <w:kern w:val="0"/>
          <w:sz w:val="32"/>
          <w:szCs w:val="32"/>
        </w:rPr>
        <w:t>2019-X7#、2019-X8#</w:t>
      </w:r>
      <w:r>
        <w:rPr>
          <w:rFonts w:hint="default" w:ascii="Times New Roman" w:hAnsi="Times New Roman" w:eastAsia="仿宋_GB2312" w:cs="Times New Roman"/>
          <w:spacing w:val="-4"/>
          <w:kern w:val="0"/>
          <w:sz w:val="32"/>
          <w:szCs w:val="32"/>
        </w:rPr>
        <w:t>两宗零售商业用地形成净地交付给中石油公司</w:t>
      </w:r>
      <w:r>
        <w:rPr>
          <w:rFonts w:hint="default" w:ascii="Times New Roman" w:hAnsi="Times New Roman" w:eastAsia="仿宋_GB2312" w:cs="Times New Roman"/>
          <w:color w:val="000000"/>
          <w:spacing w:val="-4"/>
          <w:kern w:val="0"/>
          <w:sz w:val="32"/>
          <w:szCs w:val="32"/>
        </w:rPr>
        <w:t>（加气站项目用地），经2021年</w:t>
      </w:r>
      <w:r>
        <w:rPr>
          <w:rFonts w:hint="default" w:ascii="Times New Roman" w:hAnsi="Times New Roman" w:eastAsia="仿宋_GB2312" w:cs="Times New Roman"/>
          <w:color w:val="000000"/>
          <w:spacing w:val="-4"/>
          <w:kern w:val="0"/>
          <w:sz w:val="32"/>
          <w:szCs w:val="32"/>
          <w:lang w:val="en-US" w:eastAsia="zh-CN"/>
        </w:rPr>
        <w:t>十一</w:t>
      </w:r>
      <w:r>
        <w:rPr>
          <w:rFonts w:hint="default" w:ascii="Times New Roman" w:hAnsi="Times New Roman" w:eastAsia="仿宋_GB2312" w:cs="Times New Roman"/>
          <w:color w:val="000000"/>
          <w:spacing w:val="-4"/>
          <w:kern w:val="0"/>
          <w:sz w:val="32"/>
          <w:szCs w:val="32"/>
        </w:rPr>
        <w:t>届</w:t>
      </w:r>
      <w:r>
        <w:rPr>
          <w:rFonts w:hint="default" w:ascii="Times New Roman" w:hAnsi="Times New Roman" w:eastAsia="仿宋_GB2312" w:cs="Times New Roman"/>
          <w:color w:val="000000"/>
          <w:spacing w:val="-4"/>
          <w:kern w:val="0"/>
          <w:sz w:val="32"/>
          <w:szCs w:val="32"/>
          <w:lang w:val="en-US" w:eastAsia="zh-CN"/>
        </w:rPr>
        <w:t>第</w:t>
      </w:r>
      <w:r>
        <w:rPr>
          <w:rFonts w:hint="default" w:ascii="Times New Roman" w:hAnsi="Times New Roman" w:eastAsia="仿宋" w:cs="Times New Roman"/>
          <w:spacing w:val="-4"/>
          <w:kern w:val="0"/>
          <w:sz w:val="32"/>
          <w:szCs w:val="32"/>
          <w:lang w:val="en-US" w:eastAsia="zh-CN"/>
        </w:rPr>
        <w:t>98</w:t>
      </w:r>
      <w:r>
        <w:rPr>
          <w:rFonts w:hint="default" w:ascii="Times New Roman" w:hAnsi="Times New Roman" w:eastAsia="仿宋" w:cs="Times New Roman"/>
          <w:spacing w:val="-4"/>
          <w:kern w:val="0"/>
          <w:sz w:val="32"/>
          <w:szCs w:val="32"/>
        </w:rPr>
        <w:t>次政府常务会议审议通过</w:t>
      </w:r>
      <w:r>
        <w:rPr>
          <w:rFonts w:hint="default" w:ascii="Times New Roman" w:hAnsi="Times New Roman" w:eastAsia="仿宋" w:cs="Times New Roman"/>
          <w:spacing w:val="-4"/>
          <w:kern w:val="0"/>
          <w:sz w:val="32"/>
          <w:szCs w:val="32"/>
          <w:lang w:eastAsia="zh-CN"/>
        </w:rPr>
        <w:t>《</w:t>
      </w:r>
      <w:r>
        <w:rPr>
          <w:rFonts w:hint="default" w:ascii="Times New Roman" w:hAnsi="Times New Roman" w:eastAsia="仿宋" w:cs="Times New Roman"/>
          <w:spacing w:val="-4"/>
          <w:kern w:val="0"/>
          <w:sz w:val="32"/>
          <w:szCs w:val="32"/>
          <w:lang w:val="en-US" w:eastAsia="zh-CN"/>
        </w:rPr>
        <w:t>关于解决清香坪2019-X7#、格里坪片区 2019-X8#电力线路及设施迁改还建相关费用的示</w:t>
      </w:r>
      <w:r>
        <w:rPr>
          <w:rFonts w:hint="default" w:ascii="Times New Roman" w:hAnsi="Times New Roman" w:eastAsia="仿宋" w:cs="Times New Roman"/>
          <w:spacing w:val="-4"/>
          <w:kern w:val="0"/>
          <w:sz w:val="32"/>
          <w:szCs w:val="32"/>
          <w:lang w:eastAsia="zh-CN"/>
        </w:rPr>
        <w:t>》</w:t>
      </w:r>
      <w:r>
        <w:rPr>
          <w:rFonts w:hint="default" w:ascii="Times New Roman" w:hAnsi="Times New Roman" w:eastAsia="仿宋" w:cs="Times New Roman"/>
          <w:spacing w:val="-4"/>
          <w:kern w:val="0"/>
          <w:sz w:val="32"/>
          <w:szCs w:val="32"/>
        </w:rPr>
        <w:t>，2021年9月,区土地</w:t>
      </w:r>
      <w:r>
        <w:rPr>
          <w:rFonts w:hint="default" w:ascii="Times New Roman" w:hAnsi="Times New Roman" w:eastAsia="仿宋_GB2312" w:cs="Times New Roman"/>
          <w:color w:val="000000"/>
          <w:spacing w:val="-4"/>
          <w:kern w:val="0"/>
          <w:sz w:val="32"/>
          <w:szCs w:val="32"/>
        </w:rPr>
        <w:t>储备中心作为业主</w:t>
      </w:r>
      <w:r>
        <w:rPr>
          <w:rFonts w:hint="default" w:ascii="Times New Roman" w:hAnsi="Times New Roman" w:eastAsia="仿宋_GB2312" w:cs="Times New Roman"/>
          <w:color w:val="000000"/>
          <w:spacing w:val="-4"/>
          <w:kern w:val="0"/>
          <w:sz w:val="32"/>
          <w:szCs w:val="32"/>
          <w:lang w:val="en-US" w:eastAsia="zh-CN"/>
        </w:rPr>
        <w:t>开展</w:t>
      </w:r>
      <w:r>
        <w:rPr>
          <w:rFonts w:hint="default" w:ascii="Times New Roman" w:hAnsi="Times New Roman" w:eastAsia="仿宋_GB2312" w:cs="Times New Roman"/>
          <w:color w:val="000000"/>
          <w:spacing w:val="-4"/>
          <w:kern w:val="0"/>
          <w:sz w:val="32"/>
          <w:szCs w:val="32"/>
        </w:rPr>
        <w:t>攀枝花西区格里坪加气站及青乌线加气站红线内征地还建电力设施工程项目，合同价61</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9</w:t>
      </w:r>
      <w:r>
        <w:rPr>
          <w:rFonts w:hint="default" w:ascii="Times New Roman" w:hAnsi="Times New Roman" w:eastAsia="仿宋_GB2312" w:cs="Times New Roman"/>
          <w:color w:val="000000"/>
          <w:spacing w:val="-4"/>
          <w:kern w:val="0"/>
          <w:sz w:val="32"/>
          <w:szCs w:val="32"/>
          <w:lang w:val="en-US" w:eastAsia="zh-CN"/>
        </w:rPr>
        <w:t>0</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元，前期已支付18</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57</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元，还需支付43</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33</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元；此外，确定成都冠一工程项目管理咨询有限公司为建设工程监理，监理费2</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8</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w:t>
      </w:r>
      <w:r>
        <w:rPr>
          <w:rFonts w:hint="default" w:ascii="Times New Roman" w:hAnsi="Times New Roman" w:eastAsia="仿宋_GB2312" w:cs="Times New Roman"/>
          <w:color w:val="000000"/>
          <w:spacing w:val="-4"/>
          <w:kern w:val="0"/>
          <w:sz w:val="32"/>
          <w:szCs w:val="32"/>
          <w:lang w:eastAsia="zh-CN"/>
        </w:rPr>
        <w:t>，</w:t>
      </w:r>
      <w:r>
        <w:rPr>
          <w:rFonts w:hint="default" w:ascii="Times New Roman" w:hAnsi="Times New Roman" w:eastAsia="仿宋_GB2312" w:cs="Times New Roman"/>
          <w:color w:val="000000"/>
          <w:spacing w:val="-4"/>
          <w:kern w:val="0"/>
          <w:sz w:val="32"/>
          <w:szCs w:val="32"/>
        </w:rPr>
        <w:t>共计46</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13</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1．项目主要内容。</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通过《关于对攀枝花西区格里坪加气站及青乌线加气站红线内征地还建电力设施工程投标总价进行财评》</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（一）攀枝花西区</w:t>
      </w:r>
      <w:r>
        <w:rPr>
          <w:rFonts w:hint="default" w:ascii="Times New Roman" w:hAnsi="Times New Roman" w:eastAsia="仿宋_GB2312" w:cs="Times New Roman"/>
          <w:sz w:val="32"/>
          <w:szCs w:val="32"/>
          <w:lang w:val="zh-CN" w:eastAsia="zh-CN"/>
        </w:rPr>
        <w:t>格里坪加气站（</w:t>
      </w:r>
      <w:r>
        <w:rPr>
          <w:rFonts w:hint="default" w:ascii="Times New Roman" w:hAnsi="Times New Roman" w:eastAsia="仿宋_GB2312" w:cs="Times New Roman"/>
          <w:sz w:val="32"/>
          <w:szCs w:val="32"/>
          <w:lang w:val="en-US" w:eastAsia="zh-CN"/>
        </w:rPr>
        <w:t xml:space="preserve">格里坪片区2019-X8#宗地）红线内3基低压电杆及146米低压电力线路搬迁及还建。 </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 攀枝花西区</w:t>
      </w:r>
      <w:r>
        <w:rPr>
          <w:rFonts w:hint="default" w:ascii="Times New Roman" w:hAnsi="Times New Roman" w:eastAsia="仿宋_GB2312" w:cs="Times New Roman"/>
          <w:sz w:val="32"/>
          <w:szCs w:val="32"/>
          <w:lang w:val="zh-CN" w:eastAsia="zh-CN"/>
        </w:rPr>
        <w:t>青乌加气站（</w:t>
      </w:r>
      <w:r>
        <w:rPr>
          <w:rFonts w:hint="default" w:ascii="Times New Roman" w:hAnsi="Times New Roman" w:eastAsia="仿宋_GB2312" w:cs="Times New Roman"/>
          <w:sz w:val="32"/>
          <w:szCs w:val="32"/>
          <w:lang w:val="en-US" w:eastAsia="zh-CN"/>
        </w:rPr>
        <w:t>清香坪片区2019-X7#宗地）红线内10kV石沙线6号杆至9号杆电力线路及支线搬迁及还建。</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本项目总体目标为</w:t>
      </w:r>
      <w:r>
        <w:rPr>
          <w:rFonts w:hint="default" w:ascii="Times New Roman" w:hAnsi="Times New Roman" w:eastAsia="仿宋_GB2312" w:cs="Times New Roman"/>
          <w:sz w:val="32"/>
          <w:szCs w:val="32"/>
          <w:highlight w:val="none"/>
        </w:rPr>
        <w:t>营造良好投资环境，</w:t>
      </w:r>
      <w:r>
        <w:rPr>
          <w:rFonts w:hint="default" w:ascii="Times New Roman" w:hAnsi="Times New Roman" w:eastAsia="仿宋_GB2312" w:cs="Times New Roman"/>
          <w:sz w:val="32"/>
          <w:szCs w:val="32"/>
          <w:highlight w:val="none"/>
          <w:lang w:val="en-US" w:eastAsia="zh-CN"/>
        </w:rPr>
        <w:t>积极推动西区山水灵秀新城建设</w:t>
      </w:r>
      <w:r>
        <w:rPr>
          <w:rFonts w:hint="default" w:ascii="Times New Roman" w:hAnsi="Times New Roman" w:eastAsia="仿宋_GB2312" w:cs="Times New Roman"/>
          <w:sz w:val="32"/>
          <w:szCs w:val="32"/>
          <w:highlight w:val="none"/>
        </w:rPr>
        <w:t>，促进西区高质量发展，</w:t>
      </w:r>
      <w:r>
        <w:rPr>
          <w:rFonts w:hint="default" w:ascii="Times New Roman" w:hAnsi="Times New Roman" w:eastAsia="仿宋_GB2312" w:cs="Times New Roman"/>
          <w:sz w:val="32"/>
          <w:szCs w:val="32"/>
          <w:highlight w:val="none"/>
          <w:lang w:val="en-US" w:eastAsia="zh-CN"/>
        </w:rPr>
        <w:t>将</w:t>
      </w:r>
      <w:r>
        <w:rPr>
          <w:rFonts w:hint="default" w:ascii="Times New Roman" w:hAnsi="Times New Roman" w:eastAsia="仿宋" w:cs="Times New Roman"/>
          <w:spacing w:val="-4"/>
          <w:kern w:val="0"/>
          <w:sz w:val="32"/>
          <w:szCs w:val="32"/>
        </w:rPr>
        <w:t>2019-X7#、2019-X8#</w:t>
      </w:r>
      <w:r>
        <w:rPr>
          <w:rFonts w:hint="default" w:ascii="Times New Roman" w:hAnsi="Times New Roman" w:eastAsia="仿宋_GB2312" w:cs="Times New Roman"/>
          <w:spacing w:val="-4"/>
          <w:kern w:val="0"/>
          <w:sz w:val="32"/>
          <w:szCs w:val="32"/>
        </w:rPr>
        <w:t>两宗零售商业用地形成净地交付给中石油公司</w:t>
      </w:r>
      <w:r>
        <w:rPr>
          <w:rFonts w:hint="default" w:ascii="Times New Roman" w:hAnsi="Times New Roman" w:eastAsia="仿宋_GB2312" w:cs="Times New Roman"/>
          <w:color w:val="000000"/>
          <w:spacing w:val="-4"/>
          <w:kern w:val="0"/>
          <w:sz w:val="32"/>
          <w:szCs w:val="32"/>
          <w:lang w:eastAsia="zh-CN"/>
        </w:rPr>
        <w:t>，</w:t>
      </w:r>
      <w:r>
        <w:rPr>
          <w:rFonts w:hint="default" w:ascii="Times New Roman" w:hAnsi="Times New Roman" w:eastAsia="仿宋_GB2312" w:cs="Times New Roman"/>
          <w:color w:val="000000"/>
          <w:spacing w:val="-4"/>
          <w:kern w:val="0"/>
          <w:sz w:val="32"/>
          <w:szCs w:val="32"/>
          <w:lang w:val="en-US" w:eastAsia="zh-CN"/>
        </w:rPr>
        <w:t>推进</w:t>
      </w:r>
      <w:r>
        <w:rPr>
          <w:rFonts w:hint="default" w:ascii="Times New Roman" w:hAnsi="Times New Roman" w:eastAsia="仿宋_GB2312" w:cs="Times New Roman"/>
          <w:color w:val="000000"/>
          <w:spacing w:val="-4"/>
          <w:kern w:val="0"/>
          <w:sz w:val="32"/>
          <w:szCs w:val="32"/>
        </w:rPr>
        <w:t>加气站项目</w:t>
      </w:r>
      <w:r>
        <w:rPr>
          <w:rFonts w:hint="default" w:ascii="Times New Roman" w:hAnsi="Times New Roman" w:eastAsia="仿宋_GB2312" w:cs="Times New Roman"/>
          <w:color w:val="000000"/>
          <w:spacing w:val="-4"/>
          <w:kern w:val="0"/>
          <w:sz w:val="32"/>
          <w:szCs w:val="32"/>
          <w:lang w:val="en-US" w:eastAsia="zh-CN"/>
        </w:rPr>
        <w:t>入场建设</w:t>
      </w:r>
      <w:r>
        <w:rPr>
          <w:rFonts w:hint="default" w:ascii="Times New Roman" w:hAnsi="Times New Roman" w:eastAsia="仿宋_GB2312" w:cs="Times New Roman"/>
          <w:sz w:val="32"/>
          <w:szCs w:val="32"/>
          <w:lang w:val="en-US" w:eastAsia="zh-CN"/>
        </w:rPr>
        <w:t>，数量目标为：</w:t>
      </w:r>
      <w:r>
        <w:rPr>
          <w:rFonts w:hint="default" w:ascii="Times New Roman" w:hAnsi="Times New Roman" w:eastAsia="仿宋_GB2312" w:cs="Times New Roman"/>
          <w:color w:val="000000"/>
          <w:spacing w:val="-4"/>
          <w:kern w:val="0"/>
          <w:sz w:val="32"/>
          <w:szCs w:val="32"/>
        </w:rPr>
        <w:t>施工</w:t>
      </w:r>
      <w:r>
        <w:rPr>
          <w:rFonts w:hint="default" w:ascii="Times New Roman" w:hAnsi="Times New Roman" w:eastAsia="仿宋_GB2312" w:cs="Times New Roman"/>
          <w:color w:val="000000"/>
          <w:spacing w:val="-4"/>
          <w:kern w:val="0"/>
          <w:sz w:val="32"/>
          <w:szCs w:val="32"/>
          <w:lang w:val="en-US" w:eastAsia="zh-CN"/>
        </w:rPr>
        <w:t>建设</w:t>
      </w:r>
      <w:r>
        <w:rPr>
          <w:rFonts w:hint="default" w:ascii="Times New Roman" w:hAnsi="Times New Roman" w:eastAsia="仿宋_GB2312" w:cs="Times New Roman"/>
          <w:color w:val="000000"/>
          <w:spacing w:val="-4"/>
          <w:kern w:val="0"/>
          <w:sz w:val="32"/>
          <w:szCs w:val="32"/>
        </w:rPr>
        <w:t>，合同价61</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9</w:t>
      </w:r>
      <w:r>
        <w:rPr>
          <w:rFonts w:hint="default" w:ascii="Times New Roman" w:hAnsi="Times New Roman" w:eastAsia="仿宋_GB2312" w:cs="Times New Roman"/>
          <w:color w:val="000000"/>
          <w:spacing w:val="-4"/>
          <w:kern w:val="0"/>
          <w:sz w:val="32"/>
          <w:szCs w:val="32"/>
          <w:lang w:val="en-US" w:eastAsia="zh-CN"/>
        </w:rPr>
        <w:t>0</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元，前期已支付18</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57</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元，还需支付43</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33</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元；此外，确定成都冠一工程项目管理咨询有限公司为建设工程监理，监理费2</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8</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w:t>
      </w:r>
      <w:r>
        <w:rPr>
          <w:rFonts w:hint="default" w:ascii="Times New Roman" w:hAnsi="Times New Roman" w:eastAsia="仿宋_GB2312" w:cs="Times New Roman"/>
          <w:color w:val="000000"/>
          <w:spacing w:val="-4"/>
          <w:kern w:val="0"/>
          <w:sz w:val="32"/>
          <w:szCs w:val="32"/>
          <w:lang w:eastAsia="zh-CN"/>
        </w:rPr>
        <w:t>，</w:t>
      </w:r>
      <w:r>
        <w:rPr>
          <w:rFonts w:hint="default" w:ascii="Times New Roman" w:hAnsi="Times New Roman" w:eastAsia="仿宋_GB2312" w:cs="Times New Roman"/>
          <w:color w:val="000000"/>
          <w:spacing w:val="-4"/>
          <w:kern w:val="0"/>
          <w:sz w:val="32"/>
          <w:szCs w:val="32"/>
        </w:rPr>
        <w:t>共计46</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13</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w:t>
      </w:r>
      <w:r>
        <w:rPr>
          <w:rFonts w:hint="default" w:ascii="Times New Roman" w:hAnsi="Times New Roman" w:eastAsia="仿宋_GB2312" w:cs="Times New Roman"/>
          <w:kern w:val="0"/>
          <w:sz w:val="32"/>
          <w:szCs w:val="32"/>
          <w:shd w:val="clear" w:color="auto" w:fill="FFFFFF"/>
          <w:lang w:val="zh-CN"/>
        </w:rPr>
        <w:t>。</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w:t>
      </w:r>
      <w:r>
        <w:rPr>
          <w:rFonts w:hint="default" w:ascii="Times New Roman" w:hAnsi="Times New Roman" w:eastAsia="仿宋_GB2312" w:cs="Times New Roman"/>
          <w:b/>
          <w:sz w:val="32"/>
          <w:szCs w:val="32"/>
          <w:lang w:val="zh-CN"/>
        </w:rPr>
        <w:t>项目资金申报相符性。</w:t>
      </w:r>
      <w:r>
        <w:rPr>
          <w:rFonts w:hint="default" w:ascii="Times New Roman" w:hAnsi="Times New Roman" w:eastAsia="仿宋_GB2312" w:cs="Times New Roman"/>
          <w:sz w:val="32"/>
          <w:szCs w:val="32"/>
          <w:lang w:val="zh-CN"/>
        </w:rPr>
        <w:t>该项目申报内容与具体实施内容相符、申报目标合理可行。</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kern w:val="0"/>
          <w:sz w:val="32"/>
          <w:szCs w:val="32"/>
          <w:shd w:val="clear" w:color="auto" w:fill="FFFFFF"/>
          <w:lang w:val="zh-CN"/>
        </w:rPr>
        <w:t>确定评价指标</w:t>
      </w:r>
    </w:p>
    <w:p>
      <w:pPr>
        <w:adjustRightInd w:val="0"/>
        <w:snapToGrid w:val="0"/>
        <w:spacing w:line="578" w:lineRule="exact"/>
        <w:ind w:firstLine="720"/>
        <w:rPr>
          <w:rFonts w:hint="default" w:ascii="Times New Roman" w:hAnsi="Times New Roman" w:eastAsia="仿宋_GB2312" w:cs="Times New Roman"/>
          <w:snapToGrid/>
          <w:spacing w:val="0"/>
          <w:sz w:val="32"/>
          <w:szCs w:val="32"/>
          <w:lang w:eastAsia="zh-CN"/>
        </w:rPr>
      </w:pPr>
      <w:r>
        <w:rPr>
          <w:rFonts w:hint="default" w:ascii="Times New Roman" w:hAnsi="Times New Roman" w:eastAsia="仿宋_GB2312" w:cs="Times New Roman"/>
          <w:sz w:val="32"/>
          <w:szCs w:val="32"/>
          <w:lang w:val="en-US" w:eastAsia="zh-CN"/>
        </w:rPr>
        <w:t>对农村集体土地进行征收补偿，无权属矛盾纠纷及经济纠纷</w:t>
      </w:r>
      <w:r>
        <w:rPr>
          <w:rFonts w:hint="default" w:ascii="Times New Roman" w:hAnsi="Times New Roman" w:eastAsia="仿宋_GB2312" w:cs="Times New Roman"/>
          <w:snapToGrid/>
          <w:spacing w:val="0"/>
          <w:sz w:val="32"/>
          <w:szCs w:val="32"/>
          <w:lang w:eastAsia="zh-CN"/>
        </w:rPr>
        <w:t>。</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2.</w:t>
      </w:r>
      <w:r>
        <w:rPr>
          <w:rFonts w:hint="default" w:ascii="Times New Roman" w:hAnsi="Times New Roman" w:eastAsia="仿宋_GB2312" w:cs="Times New Roman"/>
          <w:kern w:val="0"/>
          <w:sz w:val="32"/>
          <w:szCs w:val="32"/>
          <w:shd w:val="clear" w:color="auto" w:fill="FFFFFF"/>
          <w:lang w:val="zh-CN"/>
        </w:rPr>
        <w:t>收集数据</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val="en-US" w:eastAsia="zh-CN"/>
        </w:rPr>
        <w:t>已经开展了《关于对攀枝花西区格里坪加气站及青乌线加气站红线内征地还建电力设施工程投标总价》财评</w:t>
      </w:r>
      <w:r>
        <w:rPr>
          <w:rFonts w:hint="default" w:ascii="Times New Roman" w:hAnsi="Times New Roman" w:eastAsia="仿宋_GB2312" w:cs="Times New Roman"/>
          <w:kern w:val="0"/>
          <w:sz w:val="32"/>
          <w:szCs w:val="32"/>
          <w:shd w:val="clear" w:color="auto" w:fill="FFFFFF"/>
          <w:lang w:val="zh-CN"/>
        </w:rPr>
        <w:t>。</w:t>
      </w:r>
      <w:r>
        <w:rPr>
          <w:rFonts w:hint="default" w:ascii="Times New Roman" w:hAnsi="Times New Roman" w:eastAsia="仿宋_GB2312" w:cs="Times New Roman"/>
          <w:sz w:val="32"/>
          <w:szCs w:val="32"/>
          <w:lang w:val="en-US" w:eastAsia="zh-CN"/>
        </w:rPr>
        <w:t>招标采购了专业第三方进行施工，确定了项目监理，项目设计单位</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3.</w:t>
      </w:r>
      <w:r>
        <w:rPr>
          <w:rFonts w:hint="default" w:ascii="Times New Roman" w:hAnsi="Times New Roman" w:eastAsia="仿宋_GB2312" w:cs="Times New Roman"/>
          <w:kern w:val="0"/>
          <w:sz w:val="32"/>
          <w:szCs w:val="32"/>
          <w:shd w:val="clear" w:color="auto" w:fill="FFFFFF"/>
          <w:lang w:val="zh-CN"/>
        </w:rPr>
        <w:t>评估结果</w:t>
      </w:r>
    </w:p>
    <w:p>
      <w:pPr>
        <w:adjustRightInd w:val="0"/>
        <w:snapToGrid w:val="0"/>
        <w:spacing w:line="578" w:lineRule="exact"/>
        <w:ind w:firstLine="72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针对存在的问题和不足之处进行分析，找出原因并提出解决方案。制定相应的改进措施，包括流程优化、资源调整等方面。</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4.</w:t>
      </w:r>
      <w:r>
        <w:rPr>
          <w:rFonts w:hint="default" w:ascii="Times New Roman" w:hAnsi="Times New Roman" w:eastAsia="仿宋_GB2312" w:cs="Times New Roman"/>
          <w:kern w:val="0"/>
          <w:sz w:val="32"/>
          <w:szCs w:val="32"/>
          <w:shd w:val="clear" w:color="auto" w:fill="FFFFFF"/>
          <w:lang w:val="zh-CN"/>
        </w:rPr>
        <w:t>实施改进措施</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对政府采购管理的相关流程进行优化，简化繁琐的操作步骤，提高工作效率。合理配置项目所需的人力、物力和财力资源，确保项目的顺利实施。组织相关人员参加相关培训课程，提高项目管理水平和工作效率。</w:t>
      </w:r>
      <w:r>
        <w:rPr>
          <w:rFonts w:hint="default" w:ascii="Times New Roman" w:hAnsi="Times New Roman" w:eastAsia="仿宋_GB2312" w:cs="Times New Roman"/>
          <w:kern w:val="0"/>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本项目资金共计</w:t>
      </w:r>
      <w:r>
        <w:rPr>
          <w:rFonts w:hint="default" w:ascii="Times New Roman" w:hAnsi="Times New Roman" w:eastAsia="仿宋_GB2312" w:cs="Times New Roman"/>
          <w:color w:val="000000"/>
          <w:spacing w:val="-4"/>
          <w:kern w:val="0"/>
          <w:sz w:val="32"/>
          <w:szCs w:val="32"/>
        </w:rPr>
        <w:t>46</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13</w:t>
      </w:r>
      <w:r>
        <w:rPr>
          <w:rFonts w:hint="default" w:ascii="Times New Roman" w:hAnsi="Times New Roman" w:eastAsia="仿宋_GB2312" w:cs="Times New Roman"/>
          <w:kern w:val="0"/>
          <w:sz w:val="32"/>
          <w:szCs w:val="32"/>
          <w:lang w:val="en-US" w:eastAsia="zh-CN"/>
        </w:rPr>
        <w:t>万</w:t>
      </w:r>
      <w:r>
        <w:rPr>
          <w:rFonts w:hint="default" w:ascii="Times New Roman" w:hAnsi="Times New Roman" w:eastAsia="仿宋_GB2312" w:cs="Times New Roman"/>
          <w:kern w:val="0"/>
          <w:sz w:val="32"/>
          <w:szCs w:val="32"/>
        </w:rPr>
        <w:t>元，为</w:t>
      </w:r>
      <w:r>
        <w:rPr>
          <w:rFonts w:hint="default" w:ascii="Times New Roman" w:hAnsi="Times New Roman" w:eastAsia="仿宋_GB2312" w:cs="Times New Roman"/>
          <w:color w:val="000000"/>
          <w:spacing w:val="-4"/>
          <w:kern w:val="0"/>
          <w:sz w:val="32"/>
          <w:szCs w:val="32"/>
        </w:rPr>
        <w:t>项目施工</w:t>
      </w:r>
      <w:r>
        <w:rPr>
          <w:rFonts w:hint="default" w:ascii="Times New Roman" w:hAnsi="Times New Roman" w:eastAsia="仿宋_GB2312" w:cs="Times New Roman"/>
          <w:color w:val="000000"/>
          <w:spacing w:val="-4"/>
          <w:kern w:val="0"/>
          <w:sz w:val="32"/>
          <w:szCs w:val="32"/>
          <w:lang w:val="en-US" w:eastAsia="zh-CN"/>
        </w:rPr>
        <w:t>建设</w:t>
      </w:r>
      <w:r>
        <w:rPr>
          <w:rFonts w:hint="default" w:ascii="Times New Roman" w:hAnsi="Times New Roman" w:eastAsia="仿宋_GB2312" w:cs="Times New Roman"/>
          <w:color w:val="000000"/>
          <w:spacing w:val="-4"/>
          <w:kern w:val="0"/>
          <w:sz w:val="32"/>
          <w:szCs w:val="32"/>
        </w:rPr>
        <w:t>，合同价61</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9</w:t>
      </w:r>
      <w:r>
        <w:rPr>
          <w:rFonts w:hint="default" w:ascii="Times New Roman" w:hAnsi="Times New Roman" w:eastAsia="仿宋_GB2312" w:cs="Times New Roman"/>
          <w:color w:val="000000"/>
          <w:spacing w:val="-4"/>
          <w:kern w:val="0"/>
          <w:sz w:val="32"/>
          <w:szCs w:val="32"/>
          <w:lang w:val="en-US" w:eastAsia="zh-CN"/>
        </w:rPr>
        <w:t>0</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元，前期已支付18</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57</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元，还需支付43</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33</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元；此外，确定成都冠一工程项目管理咨询有限公司为建设工程监理，监理费2</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8</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w:t>
      </w:r>
      <w:r>
        <w:rPr>
          <w:rFonts w:hint="default" w:ascii="Times New Roman" w:hAnsi="Times New Roman" w:eastAsia="仿宋_GB2312" w:cs="Times New Roman"/>
          <w:color w:val="000000"/>
          <w:spacing w:val="-4"/>
          <w:kern w:val="0"/>
          <w:sz w:val="32"/>
          <w:szCs w:val="32"/>
          <w:lang w:eastAsia="zh-CN"/>
        </w:rPr>
        <w:t>，</w:t>
      </w:r>
      <w:r>
        <w:rPr>
          <w:rFonts w:hint="default" w:ascii="Times New Roman" w:hAnsi="Times New Roman" w:eastAsia="仿宋_GB2312" w:cs="Times New Roman"/>
          <w:color w:val="000000"/>
          <w:spacing w:val="-4"/>
          <w:kern w:val="0"/>
          <w:sz w:val="32"/>
          <w:szCs w:val="32"/>
        </w:rPr>
        <w:t>共计46</w:t>
      </w:r>
      <w:r>
        <w:rPr>
          <w:rFonts w:hint="default" w:ascii="Times New Roman" w:hAnsi="Times New Roman" w:eastAsia="仿宋_GB2312" w:cs="Times New Roman"/>
          <w:color w:val="000000"/>
          <w:spacing w:val="-4"/>
          <w:kern w:val="0"/>
          <w:sz w:val="32"/>
          <w:szCs w:val="32"/>
          <w:lang w:val="en-US" w:eastAsia="zh-CN"/>
        </w:rPr>
        <w:t>.</w:t>
      </w:r>
      <w:r>
        <w:rPr>
          <w:rFonts w:hint="default" w:ascii="Times New Roman" w:hAnsi="Times New Roman" w:eastAsia="仿宋_GB2312" w:cs="Times New Roman"/>
          <w:color w:val="000000"/>
          <w:spacing w:val="-4"/>
          <w:kern w:val="0"/>
          <w:sz w:val="32"/>
          <w:szCs w:val="32"/>
        </w:rPr>
        <w:t>13</w:t>
      </w:r>
      <w:r>
        <w:rPr>
          <w:rFonts w:hint="default" w:ascii="Times New Roman" w:hAnsi="Times New Roman" w:eastAsia="仿宋_GB2312" w:cs="Times New Roman"/>
          <w:color w:val="000000"/>
          <w:spacing w:val="-4"/>
          <w:kern w:val="0"/>
          <w:sz w:val="32"/>
          <w:szCs w:val="32"/>
          <w:lang w:eastAsia="zh-CN"/>
        </w:rPr>
        <w:t>万</w:t>
      </w:r>
      <w:r>
        <w:rPr>
          <w:rFonts w:hint="default" w:ascii="Times New Roman" w:hAnsi="Times New Roman" w:eastAsia="仿宋_GB2312" w:cs="Times New Roman"/>
          <w:color w:val="000000"/>
          <w:spacing w:val="-4"/>
          <w:kern w:val="0"/>
          <w:sz w:val="32"/>
          <w:szCs w:val="32"/>
        </w:rPr>
        <w:t>元</w:t>
      </w:r>
      <w:r>
        <w:rPr>
          <w:rFonts w:hint="default" w:ascii="Times New Roman" w:hAnsi="Times New Roman" w:eastAsia="仿宋_GB2312" w:cs="Times New Roman"/>
          <w:kern w:val="0"/>
          <w:sz w:val="32"/>
          <w:szCs w:val="32"/>
        </w:rPr>
        <w:t>，符合资金管理办法等相关规定。</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w:t>
      </w:r>
      <w:r>
        <w:rPr>
          <w:rFonts w:hint="default" w:ascii="Times New Roman" w:hAnsi="Times New Roman" w:eastAsia="仿宋_GB2312" w:cs="Times New Roman"/>
          <w:sz w:val="32"/>
          <w:szCs w:val="32"/>
          <w:lang w:val="zh-CN"/>
        </w:rPr>
        <w:t>资金计划及到位。本项目资金计划为</w:t>
      </w:r>
      <w:r>
        <w:rPr>
          <w:rFonts w:hint="default" w:ascii="Times New Roman" w:hAnsi="Times New Roman" w:eastAsia="仿宋_GB2312" w:cs="Times New Roman"/>
          <w:sz w:val="32"/>
          <w:szCs w:val="32"/>
          <w:lang w:val="en-US" w:eastAsia="zh-CN"/>
        </w:rPr>
        <w:t>46.13万</w:t>
      </w:r>
      <w:r>
        <w:rPr>
          <w:rFonts w:hint="default" w:ascii="Times New Roman" w:hAnsi="Times New Roman" w:eastAsia="仿宋_GB2312" w:cs="Times New Roman"/>
          <w:sz w:val="32"/>
          <w:szCs w:val="32"/>
          <w:lang w:val="zh-CN"/>
        </w:rPr>
        <w:t>元，截至评价时点，实际到位</w:t>
      </w:r>
      <w:r>
        <w:rPr>
          <w:rFonts w:hint="default" w:ascii="Times New Roman" w:hAnsi="Times New Roman" w:eastAsia="仿宋_GB2312" w:cs="Times New Roman"/>
          <w:sz w:val="32"/>
          <w:szCs w:val="32"/>
          <w:lang w:val="en-US" w:eastAsia="zh-CN"/>
        </w:rPr>
        <w:t>46.13万</w:t>
      </w:r>
      <w:r>
        <w:rPr>
          <w:rFonts w:hint="default" w:ascii="Times New Roman" w:hAnsi="Times New Roman" w:eastAsia="仿宋_GB2312" w:cs="Times New Roman"/>
          <w:sz w:val="32"/>
          <w:szCs w:val="32"/>
          <w:lang w:val="zh-CN"/>
        </w:rPr>
        <w:t>元，资金到位率为</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lang w:val="zh-CN"/>
        </w:rPr>
        <w:t>．资金使用。</w:t>
      </w:r>
      <w:r>
        <w:rPr>
          <w:rFonts w:hint="default" w:ascii="Times New Roman" w:hAnsi="Times New Roman" w:eastAsia="仿宋_GB2312" w:cs="Times New Roman"/>
          <w:sz w:val="32"/>
          <w:szCs w:val="32"/>
          <w:lang w:val="zh-CN"/>
        </w:rPr>
        <w:t>截至评价时点，本项目资金的实际支出</w:t>
      </w:r>
      <w:r>
        <w:rPr>
          <w:rFonts w:hint="default" w:ascii="Times New Roman" w:hAnsi="Times New Roman" w:eastAsia="仿宋_GB2312" w:cs="Times New Roman"/>
          <w:sz w:val="32"/>
          <w:szCs w:val="32"/>
          <w:lang w:val="en-US" w:eastAsia="zh-CN"/>
        </w:rPr>
        <w:t>46.13万</w:t>
      </w:r>
      <w:r>
        <w:rPr>
          <w:rFonts w:hint="default" w:ascii="Times New Roman" w:hAnsi="Times New Roman" w:eastAsia="仿宋_GB2312" w:cs="Times New Roman"/>
          <w:sz w:val="32"/>
          <w:szCs w:val="32"/>
          <w:lang w:val="zh-CN"/>
        </w:rPr>
        <w:t>元，资金开支范围为补偿款，支付进度</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%。支付依据合规合法，资金支付与预算相符。</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该项目严格执行《补偿协议》及《会计准则》</w:t>
      </w:r>
      <w:r>
        <w:rPr>
          <w:rFonts w:hint="default" w:ascii="Times New Roman" w:hAnsi="Times New Roman" w:eastAsia="仿宋_GB2312" w:cs="Times New Roman"/>
          <w:sz w:val="32"/>
          <w:szCs w:val="32"/>
          <w:lang w:val="zh-CN"/>
        </w:rPr>
        <w:t>等财务管理制度、财务处理及时、会计核算规范。</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adjustRightInd w:val="0"/>
        <w:snapToGrid w:val="0"/>
        <w:spacing w:line="600" w:lineRule="exact"/>
        <w:ind w:firstLine="720"/>
        <w:rPr>
          <w:rFonts w:hint="default" w:ascii="Times New Roman" w:hAnsi="Times New Roman" w:eastAsia="仿宋_GB2312" w:cs="Times New Roman"/>
          <w:kern w:val="0"/>
          <w:sz w:val="32"/>
          <w:szCs w:val="32"/>
          <w:highlight w:val="yellow"/>
          <w:shd w:val="clear" w:color="auto" w:fill="FFFFFF"/>
          <w:lang w:val="zh-CN"/>
        </w:rPr>
      </w:pPr>
      <w:r>
        <w:rPr>
          <w:rFonts w:hint="default" w:ascii="Times New Roman" w:hAnsi="Times New Roman" w:eastAsia="仿宋_GB2312" w:cs="Times New Roman"/>
          <w:sz w:val="32"/>
          <w:szCs w:val="32"/>
          <w:lang w:val="zh-CN"/>
        </w:rPr>
        <w:t>该项目</w:t>
      </w:r>
      <w:r>
        <w:rPr>
          <w:rFonts w:hint="default" w:ascii="Times New Roman" w:hAnsi="Times New Roman" w:eastAsia="仿宋_GB2312" w:cs="Times New Roman"/>
          <w:kern w:val="2"/>
          <w:sz w:val="32"/>
          <w:szCs w:val="32"/>
          <w:lang w:val="en-US" w:eastAsia="zh-CN" w:bidi="ar-SA"/>
        </w:rPr>
        <w:t>据攀枝花市西区土地储备中心职能职责，由</w:t>
      </w:r>
      <w:r>
        <w:rPr>
          <w:rFonts w:hint="default" w:ascii="Times New Roman" w:hAnsi="Times New Roman" w:eastAsia="仿宋_GB2312" w:cs="Times New Roman"/>
          <w:sz w:val="32"/>
          <w:szCs w:val="32"/>
          <w:lang w:val="zh-CN"/>
        </w:rPr>
        <w:t>攀枝花市西区土地储备中心组织实施，按照</w:t>
      </w:r>
      <w:r>
        <w:rPr>
          <w:rFonts w:hint="default" w:ascii="Times New Roman" w:hAnsi="Times New Roman" w:eastAsia="仿宋_GB2312" w:cs="Times New Roman"/>
          <w:sz w:val="32"/>
          <w:szCs w:val="32"/>
          <w:lang w:val="en-US" w:eastAsia="zh-CN"/>
        </w:rPr>
        <w:t>《关于对攀枝花西区格里坪加气站及青乌线加气站红线内征地还建电力设施工程投标总价进行财评》</w:t>
      </w:r>
      <w:r>
        <w:rPr>
          <w:rFonts w:hint="default" w:ascii="Times New Roman" w:hAnsi="Times New Roman" w:eastAsia="仿宋_GB2312" w:cs="Times New Roman"/>
          <w:sz w:val="32"/>
          <w:szCs w:val="32"/>
          <w:lang w:val="zh-CN"/>
        </w:rPr>
        <w:t>要求，在</w:t>
      </w:r>
      <w:r>
        <w:rPr>
          <w:rFonts w:hint="default" w:ascii="Times New Roman" w:hAnsi="Times New Roman" w:eastAsia="仿宋_GB2312" w:cs="Times New Roman"/>
          <w:sz w:val="32"/>
          <w:szCs w:val="32"/>
          <w:highlight w:val="none"/>
          <w:lang w:val="zh-CN"/>
        </w:rPr>
        <w:t>区财政</w:t>
      </w:r>
      <w:r>
        <w:rPr>
          <w:rFonts w:hint="default" w:ascii="Times New Roman" w:hAnsi="Times New Roman" w:eastAsia="仿宋_GB2312" w:cs="Times New Roman"/>
          <w:sz w:val="32"/>
          <w:szCs w:val="32"/>
          <w:lang w:val="zh-CN"/>
        </w:rPr>
        <w:t>监督管理下实施。</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截至目前，</w:t>
      </w:r>
      <w:r>
        <w:rPr>
          <w:rFonts w:hint="default" w:ascii="Times New Roman" w:hAnsi="Times New Roman" w:eastAsia="仿宋_GB2312" w:cs="Times New Roman"/>
          <w:sz w:val="32"/>
          <w:szCs w:val="32"/>
          <w:lang w:val="en-US" w:eastAsia="zh-CN"/>
        </w:rPr>
        <w:t>完成攀枝花西区</w:t>
      </w:r>
      <w:r>
        <w:rPr>
          <w:rFonts w:hint="default" w:ascii="Times New Roman" w:hAnsi="Times New Roman" w:eastAsia="仿宋_GB2312" w:cs="Times New Roman"/>
          <w:sz w:val="32"/>
          <w:szCs w:val="32"/>
          <w:lang w:val="zh-CN" w:eastAsia="zh-CN"/>
        </w:rPr>
        <w:t>格里坪加气站（</w:t>
      </w:r>
      <w:r>
        <w:rPr>
          <w:rFonts w:hint="default" w:ascii="Times New Roman" w:hAnsi="Times New Roman" w:eastAsia="仿宋_GB2312" w:cs="Times New Roman"/>
          <w:sz w:val="32"/>
          <w:szCs w:val="32"/>
          <w:lang w:val="en-US" w:eastAsia="zh-CN"/>
        </w:rPr>
        <w:t>格里坪片区2019-X8#宗地）红线内3基低压电杆及146米低压电力线路搬迁及还建工作</w:t>
      </w:r>
      <w:r>
        <w:rPr>
          <w:rFonts w:hint="default" w:ascii="Times New Roman" w:hAnsi="Times New Roman" w:eastAsia="仿宋_GB2312" w:cs="Times New Roman"/>
          <w:sz w:val="32"/>
          <w:szCs w:val="32"/>
          <w:lang w:val="zh-CN" w:eastAsia="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578" w:lineRule="exact"/>
        <w:ind w:firstLine="720"/>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spacing w:val="-4"/>
          <w:kern w:val="0"/>
          <w:sz w:val="32"/>
          <w:szCs w:val="32"/>
        </w:rPr>
        <w:t>两宗零售商业用地形成净地交付给中石油公司</w:t>
      </w:r>
      <w:r>
        <w:rPr>
          <w:rFonts w:hint="default" w:ascii="Times New Roman" w:hAnsi="Times New Roman" w:eastAsia="仿宋_GB2312" w:cs="Times New Roman"/>
          <w:color w:val="000000"/>
          <w:spacing w:val="-4"/>
          <w:kern w:val="0"/>
          <w:sz w:val="32"/>
          <w:szCs w:val="32"/>
          <w:lang w:val="en-US" w:eastAsia="zh-CN"/>
        </w:rPr>
        <w:t>推进</w:t>
      </w:r>
      <w:r>
        <w:rPr>
          <w:rFonts w:hint="default" w:ascii="Times New Roman" w:hAnsi="Times New Roman" w:eastAsia="仿宋_GB2312" w:cs="Times New Roman"/>
          <w:color w:val="000000"/>
          <w:spacing w:val="-4"/>
          <w:kern w:val="0"/>
          <w:sz w:val="32"/>
          <w:szCs w:val="32"/>
        </w:rPr>
        <w:t>加气站项目</w:t>
      </w:r>
      <w:r>
        <w:rPr>
          <w:rFonts w:hint="default" w:ascii="Times New Roman" w:hAnsi="Times New Roman" w:eastAsia="仿宋_GB2312" w:cs="Times New Roman"/>
          <w:color w:val="000000"/>
          <w:spacing w:val="-4"/>
          <w:kern w:val="0"/>
          <w:sz w:val="32"/>
          <w:szCs w:val="32"/>
          <w:lang w:val="en-US" w:eastAsia="zh-CN"/>
        </w:rPr>
        <w:t>建设</w:t>
      </w:r>
      <w:r>
        <w:rPr>
          <w:rFonts w:hint="default" w:ascii="Times New Roman" w:hAnsi="Times New Roman" w:eastAsia="仿宋_GB2312" w:cs="Times New Roman"/>
          <w:sz w:val="32"/>
          <w:szCs w:val="32"/>
        </w:rPr>
        <w:t>，增加财政收入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w:t>
      </w:r>
      <w:r>
        <w:rPr>
          <w:rFonts w:hint="default" w:ascii="Times New Roman" w:hAnsi="Times New Roman" w:eastAsia="仿宋_GB2312" w:cs="Times New Roman"/>
          <w:color w:val="000000"/>
          <w:spacing w:val="-4"/>
          <w:kern w:val="0"/>
          <w:sz w:val="32"/>
          <w:szCs w:val="32"/>
        </w:rPr>
        <w:t>加气站</w:t>
      </w:r>
      <w:r>
        <w:rPr>
          <w:rFonts w:hint="default" w:ascii="Times New Roman" w:hAnsi="Times New Roman" w:eastAsia="仿宋_GB2312" w:cs="Times New Roman"/>
          <w:color w:val="000000"/>
          <w:spacing w:val="-4"/>
          <w:kern w:val="0"/>
          <w:sz w:val="32"/>
          <w:szCs w:val="32"/>
          <w:lang w:val="en-US" w:eastAsia="zh-CN"/>
        </w:rPr>
        <w:t>建设，尽早投入使用，促进西区建设</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根据绩效评价结果，本项目得出了以下结论：(1)土地征收满意度较高；(2)各项组织保障工作完成较好；(3)保障征地换建工作有序完成。</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zh-CN"/>
        </w:rPr>
        <w:t>无</w:t>
      </w:r>
      <w:r>
        <w:rPr>
          <w:rFonts w:hint="default" w:ascii="Times New Roman" w:hAnsi="Times New Roman" w:eastAsia="仿宋_GB2312" w:cs="Times New Roman"/>
          <w:kern w:val="0"/>
          <w:sz w:val="32"/>
          <w:szCs w:val="32"/>
          <w:shd w:val="clear" w:color="auto" w:fill="FFFFFF"/>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widowControl/>
        <w:adjustRightInd w:val="0"/>
        <w:snapToGrid w:val="0"/>
        <w:spacing w:line="578" w:lineRule="exact"/>
        <w:ind w:firstLine="640" w:firstLineChars="200"/>
        <w:contextualSpacing/>
        <w:jc w:val="left"/>
        <w:rPr>
          <w:rStyle w:val="36"/>
          <w:rFonts w:hint="default" w:ascii="Times New Roman" w:hAnsi="Times New Roman" w:eastAsia="黑体" w:cs="Times New Roman"/>
          <w:b w:val="0"/>
          <w:sz w:val="32"/>
          <w:szCs w:val="32"/>
        </w:rPr>
      </w:pPr>
      <w:r>
        <w:rPr>
          <w:rFonts w:hint="default" w:ascii="Times New Roman" w:hAnsi="Times New Roman" w:eastAsia="仿宋_GB2312" w:cs="Times New Roman"/>
          <w:kern w:val="0"/>
          <w:sz w:val="32"/>
          <w:szCs w:val="32"/>
          <w:shd w:val="clear" w:color="auto" w:fill="FFFFFF"/>
          <w:lang w:val="zh-CN"/>
        </w:rPr>
        <w:t>无。</w:t>
      </w:r>
    </w:p>
    <w:p>
      <w:pPr>
        <w:pStyle w:val="37"/>
        <w:rPr>
          <w:rFonts w:hint="default" w:ascii="Times New Roman" w:hAnsi="Times New Roman" w:cs="Times New Roman"/>
        </w:rPr>
      </w:pPr>
    </w:p>
    <w:p>
      <w:pPr>
        <w:spacing w:line="600" w:lineRule="exact"/>
        <w:outlineLvl w:val="0"/>
        <w:rPr>
          <w:rStyle w:val="28"/>
          <w:rFonts w:hint="default" w:ascii="Times New Roman" w:hAnsi="Times New Roman" w:eastAsia="黑体" w:cs="Times New Roman"/>
          <w:b w:val="0"/>
        </w:rPr>
      </w:pPr>
    </w:p>
    <w:p>
      <w:pPr>
        <w:spacing w:line="600" w:lineRule="exact"/>
        <w:jc w:val="center"/>
        <w:outlineLvl w:val="0"/>
        <w:rPr>
          <w:rStyle w:val="28"/>
          <w:rFonts w:hint="default" w:ascii="Times New Roman" w:hAnsi="Times New Roman" w:eastAsia="黑体" w:cs="Times New Roman"/>
          <w:b w:val="0"/>
        </w:rPr>
      </w:pPr>
      <w:r>
        <w:rPr>
          <w:rStyle w:val="28"/>
          <w:rFonts w:hint="default" w:ascii="Times New Roman" w:hAnsi="Times New Roman" w:eastAsia="黑体" w:cs="Times New Roman"/>
          <w:b w:val="0"/>
        </w:rPr>
        <w:t>蜀物智慧现代产业园项目宗地涉及一台315kVA变压器迁改经费</w:t>
      </w:r>
    </w:p>
    <w:p>
      <w:pPr>
        <w:spacing w:line="600" w:lineRule="exact"/>
        <w:jc w:val="center"/>
        <w:outlineLvl w:val="0"/>
        <w:rPr>
          <w:rFonts w:hint="default" w:ascii="Times New Roman" w:hAnsi="Times New Roman" w:cs="Times New Roman"/>
          <w:sz w:val="32"/>
          <w:szCs w:val="32"/>
          <w:lang w:val="zh-CN"/>
        </w:rPr>
      </w:pPr>
      <w:r>
        <w:rPr>
          <w:rFonts w:hint="default" w:ascii="Times New Roman" w:hAnsi="Times New Roman" w:eastAsia="方正小标宋简体" w:cs="Times New Roman"/>
          <w:sz w:val="40"/>
          <w:szCs w:val="40"/>
          <w:lang w:val="zh-CN"/>
        </w:rPr>
        <w:t>专项预算项目支出绩效自评报告</w:t>
      </w: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napToGrid/>
          <w:color w:val="000000"/>
          <w:spacing w:val="0"/>
          <w:sz w:val="32"/>
          <w:szCs w:val="32"/>
          <w:lang w:val="en-US" w:eastAsia="zh-CN" w:bidi="ar"/>
        </w:rPr>
        <w:t>为加快推动“攀西工业强区”建设，优化土地资源利用，充分激发土地资源效益，满足招商引资落户企业用地需要。</w:t>
      </w:r>
      <w:r>
        <w:rPr>
          <w:rFonts w:hint="default" w:ascii="Times New Roman" w:hAnsi="Times New Roman" w:eastAsia="仿宋_GB2312" w:cs="Times New Roman"/>
          <w:bCs/>
          <w:sz w:val="32"/>
          <w:szCs w:val="32"/>
        </w:rPr>
        <w:t>为加快蜀物智慧现代产业园（原达海现代物流园，下同）项目建设，区土地储备中心作为业主，牵头实施了项目宗地涉及一台315kVA变压器迁改工程。</w:t>
      </w:r>
      <w:r>
        <w:rPr>
          <w:rFonts w:hint="default" w:ascii="Times New Roman" w:hAnsi="Times New Roman" w:eastAsia="仿宋_GB2312" w:cs="Times New Roman"/>
          <w:sz w:val="32"/>
          <w:szCs w:val="32"/>
          <w:lang w:val="en-US" w:eastAsia="zh-CN"/>
        </w:rPr>
        <w:t>本项目包括</w:t>
      </w:r>
      <w:r>
        <w:rPr>
          <w:rFonts w:hint="default" w:ascii="Times New Roman" w:hAnsi="Times New Roman" w:eastAsia="仿宋_GB2312" w:cs="Times New Roman"/>
          <w:snapToGrid/>
          <w:color w:val="000000"/>
          <w:spacing w:val="0"/>
          <w:sz w:val="32"/>
          <w:szCs w:val="32"/>
          <w:lang w:val="en-US" w:eastAsia="zh-CN" w:bidi="ar"/>
        </w:rPr>
        <w:t>支付</w:t>
      </w:r>
      <w:r>
        <w:rPr>
          <w:rFonts w:hint="default" w:ascii="Times New Roman" w:hAnsi="Times New Roman" w:eastAsia="仿宋_GB2312" w:cs="Times New Roman"/>
          <w:bCs/>
          <w:sz w:val="32"/>
          <w:szCs w:val="32"/>
        </w:rPr>
        <w:t>315kVA变压器迁改工程</w:t>
      </w:r>
      <w:r>
        <w:rPr>
          <w:rFonts w:hint="default" w:ascii="Times New Roman" w:hAnsi="Times New Roman" w:eastAsia="仿宋_GB2312" w:cs="Times New Roman"/>
          <w:bCs/>
          <w:sz w:val="32"/>
          <w:szCs w:val="32"/>
          <w:lang w:val="en-US" w:eastAsia="zh-CN"/>
        </w:rPr>
        <w:t>相关</w:t>
      </w:r>
      <w:r>
        <w:rPr>
          <w:rFonts w:hint="default" w:ascii="Times New Roman" w:hAnsi="Times New Roman" w:eastAsia="仿宋_GB2312" w:cs="Times New Roman"/>
          <w:snapToGrid/>
          <w:color w:val="000000"/>
          <w:spacing w:val="0"/>
          <w:sz w:val="32"/>
          <w:szCs w:val="32"/>
          <w:lang w:val="en-US" w:eastAsia="zh-CN" w:bidi="ar"/>
        </w:rPr>
        <w:t>费用</w:t>
      </w:r>
      <w:r>
        <w:rPr>
          <w:rFonts w:hint="default" w:ascii="Times New Roman" w:hAnsi="Times New Roman" w:eastAsia="仿宋_GB2312" w:cs="Times New Roman"/>
          <w:sz w:val="32"/>
          <w:szCs w:val="32"/>
          <w:lang w:val="en-US" w:eastAsia="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1．项目主要内容。</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蜀物智慧现代产业园项目宗地涉及一台315kVA变压器迁改经费</w:t>
      </w:r>
      <w:r>
        <w:rPr>
          <w:rFonts w:hint="default" w:ascii="Times New Roman" w:hAnsi="Times New Roman" w:eastAsia="仿宋_GB2312" w:cs="Times New Roman"/>
          <w:sz w:val="32"/>
          <w:szCs w:val="32"/>
        </w:rPr>
        <w:t>的总体绩效目标为</w:t>
      </w:r>
      <w:r>
        <w:rPr>
          <w:rFonts w:hint="default" w:ascii="Times New Roman" w:hAnsi="Times New Roman" w:eastAsia="仿宋_GB2312" w:cs="Times New Roman"/>
          <w:sz w:val="32"/>
          <w:szCs w:val="32"/>
          <w:lang w:val="en-US" w:eastAsia="zh-CN"/>
        </w:rPr>
        <w:t>支付</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val="en-US" w:eastAsia="zh-CN"/>
        </w:rPr>
        <w:t>相关费用</w:t>
      </w:r>
      <w:r>
        <w:rPr>
          <w:rFonts w:hint="default" w:ascii="Times New Roman" w:hAnsi="Times New Roman" w:eastAsia="仿宋_GB2312" w:cs="Times New Roman"/>
          <w:sz w:val="32"/>
          <w:szCs w:val="32"/>
        </w:rPr>
        <w:t>。</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本项目总体目标为</w:t>
      </w:r>
      <w:r>
        <w:rPr>
          <w:rFonts w:hint="default" w:ascii="Times New Roman" w:hAnsi="Times New Roman" w:eastAsia="仿宋_GB2312" w:cs="Times New Roman"/>
          <w:snapToGrid/>
          <w:color w:val="000000"/>
          <w:spacing w:val="0"/>
          <w:sz w:val="32"/>
          <w:szCs w:val="32"/>
          <w:lang w:val="en-US" w:eastAsia="zh-CN" w:bidi="ar"/>
        </w:rPr>
        <w:t>加快推动“攀西工业强区”建设，优化土地资源利用，充分激发土地资源效益，满足招商引资落户企业用地需要，</w:t>
      </w:r>
      <w:r>
        <w:rPr>
          <w:rFonts w:hint="default" w:ascii="Times New Roman" w:hAnsi="Times New Roman" w:eastAsia="仿宋_GB2312" w:cs="Times New Roman"/>
          <w:bCs/>
          <w:sz w:val="32"/>
          <w:szCs w:val="32"/>
        </w:rPr>
        <w:t>加快蜀物智慧现代产业园项目建设</w:t>
      </w:r>
      <w:r>
        <w:rPr>
          <w:rFonts w:hint="default" w:ascii="Times New Roman" w:hAnsi="Times New Roman" w:eastAsia="仿宋_GB2312" w:cs="Times New Roman"/>
          <w:sz w:val="32"/>
          <w:szCs w:val="32"/>
          <w:lang w:val="en-US" w:eastAsia="zh-CN"/>
        </w:rPr>
        <w:t>，数量目标为：电力搬迁相关</w:t>
      </w:r>
      <w:r>
        <w:rPr>
          <w:rFonts w:hint="default" w:ascii="Times New Roman" w:hAnsi="Times New Roman" w:eastAsia="仿宋_GB2312" w:cs="Times New Roman"/>
          <w:color w:val="000000"/>
          <w:kern w:val="0"/>
          <w:sz w:val="31"/>
          <w:szCs w:val="31"/>
          <w:lang w:val="en-US" w:eastAsia="zh-CN" w:bidi="ar"/>
        </w:rPr>
        <w:t>费用</w:t>
      </w:r>
      <w:r>
        <w:rPr>
          <w:rFonts w:hint="default" w:ascii="Times New Roman" w:hAnsi="Times New Roman" w:eastAsia="仿宋_GB2312" w:cs="Times New Roman"/>
          <w:sz w:val="32"/>
          <w:szCs w:val="32"/>
          <w:lang w:val="en-US" w:eastAsia="zh-CN"/>
        </w:rPr>
        <w:t>64.5万元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规划调整相关费用3.5万</w:t>
      </w:r>
      <w:r>
        <w:rPr>
          <w:rFonts w:hint="default" w:ascii="Times New Roman" w:hAnsi="Times New Roman" w:eastAsia="仿宋_GB2312" w:cs="Times New Roman"/>
          <w:color w:val="000000"/>
          <w:spacing w:val="-4"/>
          <w:kern w:val="0"/>
          <w:sz w:val="32"/>
          <w:szCs w:val="32"/>
        </w:rPr>
        <w:t>元</w:t>
      </w:r>
      <w:r>
        <w:rPr>
          <w:rFonts w:hint="default" w:ascii="Times New Roman" w:hAnsi="Times New Roman" w:eastAsia="仿宋_GB2312" w:cs="Times New Roman"/>
          <w:color w:val="000000"/>
          <w:spacing w:val="-4"/>
          <w:kern w:val="0"/>
          <w:sz w:val="32"/>
          <w:szCs w:val="32"/>
          <w:lang w:eastAsia="zh-CN"/>
        </w:rPr>
        <w:t>，共计</w:t>
      </w:r>
      <w:r>
        <w:rPr>
          <w:rFonts w:hint="default" w:ascii="Times New Roman" w:hAnsi="Times New Roman" w:eastAsia="仿宋_GB2312" w:cs="Times New Roman"/>
          <w:color w:val="000000"/>
          <w:spacing w:val="-4"/>
          <w:kern w:val="0"/>
          <w:sz w:val="32"/>
          <w:szCs w:val="32"/>
          <w:lang w:val="en-US" w:eastAsia="zh-CN"/>
        </w:rPr>
        <w:t>68万元</w:t>
      </w:r>
      <w:r>
        <w:rPr>
          <w:rFonts w:hint="default" w:ascii="Times New Roman" w:hAnsi="Times New Roman" w:eastAsia="仿宋_GB2312" w:cs="Times New Roman"/>
          <w:kern w:val="0"/>
          <w:sz w:val="32"/>
          <w:szCs w:val="32"/>
          <w:shd w:val="clear" w:color="auto" w:fill="FFFFFF"/>
          <w:lang w:val="zh-CN"/>
        </w:rPr>
        <w:t>。</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w:t>
      </w:r>
      <w:r>
        <w:rPr>
          <w:rFonts w:hint="default" w:ascii="Times New Roman" w:hAnsi="Times New Roman" w:eastAsia="仿宋_GB2312" w:cs="Times New Roman"/>
          <w:b/>
          <w:sz w:val="32"/>
          <w:szCs w:val="32"/>
          <w:lang w:val="zh-CN"/>
        </w:rPr>
        <w:t>项目资金申报相符性。</w:t>
      </w:r>
      <w:r>
        <w:rPr>
          <w:rFonts w:hint="default" w:ascii="Times New Roman" w:hAnsi="Times New Roman" w:eastAsia="仿宋_GB2312" w:cs="Times New Roman"/>
          <w:sz w:val="32"/>
          <w:szCs w:val="32"/>
          <w:lang w:val="zh-CN"/>
        </w:rPr>
        <w:t>该项目申报内容与具体实施内容相符、申报目标合理可行。</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kern w:val="0"/>
          <w:sz w:val="32"/>
          <w:szCs w:val="32"/>
          <w:shd w:val="clear" w:color="auto" w:fill="FFFFFF"/>
          <w:lang w:val="zh-CN"/>
        </w:rPr>
        <w:t>确定评价指标</w:t>
      </w:r>
    </w:p>
    <w:p>
      <w:pPr>
        <w:adjustRightInd w:val="0"/>
        <w:snapToGrid w:val="0"/>
        <w:spacing w:line="578" w:lineRule="exact"/>
        <w:ind w:firstLine="720"/>
        <w:rPr>
          <w:rFonts w:hint="default" w:ascii="Times New Roman" w:hAnsi="Times New Roman" w:eastAsia="仿宋_GB2312" w:cs="Times New Roman"/>
          <w:snapToGrid/>
          <w:spacing w:val="0"/>
          <w:sz w:val="32"/>
          <w:szCs w:val="32"/>
          <w:lang w:eastAsia="zh-CN"/>
        </w:rPr>
      </w:pPr>
      <w:r>
        <w:rPr>
          <w:rFonts w:hint="default" w:ascii="Times New Roman" w:hAnsi="Times New Roman" w:eastAsia="仿宋_GB2312" w:cs="Times New Roman"/>
          <w:sz w:val="32"/>
          <w:szCs w:val="32"/>
          <w:lang w:val="en-US" w:eastAsia="zh-CN"/>
        </w:rPr>
        <w:t>电力搬迁相关</w:t>
      </w:r>
      <w:r>
        <w:rPr>
          <w:rFonts w:hint="default" w:ascii="Times New Roman" w:hAnsi="Times New Roman" w:eastAsia="仿宋_GB2312" w:cs="Times New Roman"/>
          <w:color w:val="000000"/>
          <w:kern w:val="0"/>
          <w:sz w:val="31"/>
          <w:szCs w:val="31"/>
          <w:lang w:val="en-US" w:eastAsia="zh-CN" w:bidi="ar"/>
        </w:rPr>
        <w:t>费用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以及规划调整</w:t>
      </w:r>
      <w:r>
        <w:rPr>
          <w:rFonts w:hint="default" w:ascii="Times New Roman" w:hAnsi="Times New Roman" w:eastAsia="仿宋_GB2312" w:cs="Times New Roman"/>
          <w:sz w:val="32"/>
          <w:szCs w:val="32"/>
          <w:lang w:val="en-US" w:eastAsia="zh-CN"/>
        </w:rPr>
        <w:t>费用</w:t>
      </w:r>
      <w:r>
        <w:rPr>
          <w:rFonts w:hint="default" w:ascii="Times New Roman" w:hAnsi="Times New Roman" w:eastAsia="仿宋_GB2312" w:cs="Times New Roman"/>
          <w:snapToGrid/>
          <w:spacing w:val="0"/>
          <w:sz w:val="32"/>
          <w:szCs w:val="32"/>
          <w:lang w:eastAsia="zh-CN"/>
        </w:rPr>
        <w:t>。</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2.</w:t>
      </w:r>
      <w:r>
        <w:rPr>
          <w:rFonts w:hint="default" w:ascii="Times New Roman" w:hAnsi="Times New Roman" w:eastAsia="仿宋_GB2312" w:cs="Times New Roman"/>
          <w:kern w:val="0"/>
          <w:sz w:val="32"/>
          <w:szCs w:val="32"/>
          <w:shd w:val="clear" w:color="auto" w:fill="FFFFFF"/>
          <w:lang w:val="zh-CN"/>
        </w:rPr>
        <w:t>收集数据</w:t>
      </w:r>
    </w:p>
    <w:p>
      <w:pPr>
        <w:adjustRightInd w:val="0"/>
        <w:snapToGrid w:val="0"/>
        <w:spacing w:line="578" w:lineRule="exact"/>
        <w:ind w:firstLine="7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根据攀枝花市西区土地储备中心职能职责，</w:t>
      </w:r>
      <w:r>
        <w:rPr>
          <w:rFonts w:hint="default" w:ascii="Times New Roman" w:hAnsi="Times New Roman" w:eastAsia="仿宋_GB2312" w:cs="Times New Roman"/>
          <w:kern w:val="2"/>
          <w:sz w:val="32"/>
          <w:szCs w:val="32"/>
          <w:lang w:val="en-US" w:eastAsia="zh-CN" w:bidi="ar-SA"/>
        </w:rPr>
        <w:t>负责供水、供电、供气、弱电、广电、道路等各专项设施及企业拆迁协商、签订协议等具体工作</w:t>
      </w:r>
      <w:r>
        <w:rPr>
          <w:rFonts w:hint="default" w:ascii="Times New Roman" w:hAnsi="Times New Roman" w:eastAsia="仿宋_GB2312" w:cs="Times New Roman"/>
          <w:sz w:val="32"/>
          <w:szCs w:val="32"/>
        </w:rPr>
        <w:t>。</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3.</w:t>
      </w:r>
      <w:r>
        <w:rPr>
          <w:rFonts w:hint="default" w:ascii="Times New Roman" w:hAnsi="Times New Roman" w:eastAsia="仿宋_GB2312" w:cs="Times New Roman"/>
          <w:kern w:val="0"/>
          <w:sz w:val="32"/>
          <w:szCs w:val="32"/>
          <w:shd w:val="clear" w:color="auto" w:fill="FFFFFF"/>
          <w:lang w:val="zh-CN"/>
        </w:rPr>
        <w:t>评估结果</w:t>
      </w:r>
    </w:p>
    <w:p>
      <w:pPr>
        <w:adjustRightInd w:val="0"/>
        <w:snapToGrid w:val="0"/>
        <w:spacing w:line="578" w:lineRule="exact"/>
        <w:ind w:firstLine="72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针对存在的问题和不足之处进行分析，找出原因并提出解决方案。制定相应的改进措施，包括流程优化、资源调整等方面。</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4.</w:t>
      </w:r>
      <w:r>
        <w:rPr>
          <w:rFonts w:hint="default" w:ascii="Times New Roman" w:hAnsi="Times New Roman" w:eastAsia="仿宋_GB2312" w:cs="Times New Roman"/>
          <w:kern w:val="0"/>
          <w:sz w:val="32"/>
          <w:szCs w:val="32"/>
          <w:shd w:val="clear" w:color="auto" w:fill="FFFFFF"/>
          <w:lang w:val="zh-CN"/>
        </w:rPr>
        <w:t>实施改进措施</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对政府采购管理的相关流程进行优化，简化繁琐的操作步骤，提高工作效率。合理配置项目所需的人力、物力和财力资源，确保项目的顺利实施。组织相关人员参加相关培训课程，提高项目管理水平和工作效率。</w:t>
      </w:r>
      <w:r>
        <w:rPr>
          <w:rFonts w:hint="default" w:ascii="Times New Roman" w:hAnsi="Times New Roman" w:eastAsia="仿宋_GB2312" w:cs="Times New Roman"/>
          <w:kern w:val="0"/>
          <w:sz w:val="32"/>
          <w:szCs w:val="32"/>
        </w:rPr>
        <w:t>二、项目资金申报及使用情况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本项目资金共计</w:t>
      </w:r>
      <w:r>
        <w:rPr>
          <w:rFonts w:hint="default" w:ascii="Times New Roman" w:hAnsi="Times New Roman" w:eastAsia="仿宋_GB2312" w:cs="Times New Roman"/>
          <w:color w:val="000000"/>
          <w:spacing w:val="-4"/>
          <w:kern w:val="0"/>
          <w:sz w:val="32"/>
          <w:szCs w:val="32"/>
          <w:lang w:val="en-US" w:eastAsia="zh-CN"/>
        </w:rPr>
        <w:t>68</w:t>
      </w:r>
      <w:r>
        <w:rPr>
          <w:rFonts w:hint="default" w:ascii="Times New Roman" w:hAnsi="Times New Roman" w:eastAsia="仿宋_GB2312" w:cs="Times New Roman"/>
          <w:kern w:val="0"/>
          <w:sz w:val="32"/>
          <w:szCs w:val="32"/>
          <w:lang w:val="en-US" w:eastAsia="zh-CN"/>
        </w:rPr>
        <w:t>万</w:t>
      </w:r>
      <w:r>
        <w:rPr>
          <w:rFonts w:hint="default" w:ascii="Times New Roman" w:hAnsi="Times New Roman" w:eastAsia="仿宋_GB2312" w:cs="Times New Roman"/>
          <w:kern w:val="0"/>
          <w:sz w:val="32"/>
          <w:szCs w:val="32"/>
        </w:rPr>
        <w:t>元，为</w:t>
      </w:r>
      <w:r>
        <w:rPr>
          <w:rFonts w:hint="default" w:ascii="Times New Roman" w:hAnsi="Times New Roman" w:eastAsia="仿宋_GB2312" w:cs="Times New Roman"/>
          <w:sz w:val="32"/>
          <w:szCs w:val="32"/>
          <w:lang w:val="en-US" w:eastAsia="zh-CN"/>
        </w:rPr>
        <w:t>电力搬迁相关</w:t>
      </w:r>
      <w:r>
        <w:rPr>
          <w:rFonts w:hint="default" w:ascii="Times New Roman" w:hAnsi="Times New Roman" w:eastAsia="仿宋_GB2312" w:cs="Times New Roman"/>
          <w:color w:val="000000"/>
          <w:kern w:val="0"/>
          <w:sz w:val="31"/>
          <w:szCs w:val="31"/>
          <w:lang w:val="en-US" w:eastAsia="zh-CN" w:bidi="ar"/>
        </w:rPr>
        <w:t>费用</w:t>
      </w:r>
      <w:r>
        <w:rPr>
          <w:rFonts w:hint="default" w:ascii="Times New Roman" w:hAnsi="Times New Roman" w:eastAsia="仿宋_GB2312" w:cs="Times New Roman"/>
          <w:sz w:val="32"/>
          <w:szCs w:val="32"/>
          <w:lang w:val="en-US" w:eastAsia="zh-CN"/>
        </w:rPr>
        <w:t>64.5万元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规划调整相关费用3.5万元</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财政审批为</w:t>
      </w:r>
      <w:r>
        <w:rPr>
          <w:rFonts w:hint="default" w:ascii="Times New Roman" w:hAnsi="Times New Roman" w:eastAsia="仿宋_GB2312" w:cs="Times New Roman"/>
          <w:kern w:val="0"/>
          <w:sz w:val="32"/>
          <w:szCs w:val="32"/>
          <w:lang w:val="en-US" w:eastAsia="zh-CN"/>
        </w:rPr>
        <w:t>30万元，</w:t>
      </w:r>
      <w:r>
        <w:rPr>
          <w:rFonts w:hint="default" w:ascii="Times New Roman" w:hAnsi="Times New Roman" w:eastAsia="仿宋_GB2312" w:cs="Times New Roman"/>
          <w:kern w:val="0"/>
          <w:sz w:val="32"/>
          <w:szCs w:val="32"/>
        </w:rPr>
        <w:t>为</w:t>
      </w:r>
      <w:r>
        <w:rPr>
          <w:rFonts w:hint="default" w:ascii="Times New Roman" w:hAnsi="Times New Roman" w:eastAsia="仿宋_GB2312" w:cs="Times New Roman"/>
          <w:sz w:val="32"/>
          <w:szCs w:val="32"/>
          <w:lang w:val="en-US" w:eastAsia="zh-CN"/>
        </w:rPr>
        <w:t>电力搬迁相关</w:t>
      </w:r>
      <w:r>
        <w:rPr>
          <w:rFonts w:hint="default" w:ascii="Times New Roman" w:hAnsi="Times New Roman" w:eastAsia="仿宋_GB2312" w:cs="Times New Roman"/>
          <w:color w:val="000000"/>
          <w:kern w:val="0"/>
          <w:sz w:val="31"/>
          <w:szCs w:val="31"/>
          <w:lang w:val="en-US" w:eastAsia="zh-CN" w:bidi="ar"/>
        </w:rPr>
        <w:t>费用</w:t>
      </w:r>
      <w:r>
        <w:rPr>
          <w:rFonts w:hint="default" w:ascii="Times New Roman" w:hAnsi="Times New Roman" w:eastAsia="仿宋_GB2312" w:cs="Times New Roman"/>
          <w:sz w:val="32"/>
          <w:szCs w:val="32"/>
          <w:lang w:val="en-US" w:eastAsia="zh-CN"/>
        </w:rPr>
        <w:t>26.5万元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规划调整相关费用3.5万元</w:t>
      </w:r>
      <w:r>
        <w:rPr>
          <w:rFonts w:hint="default" w:ascii="Times New Roman" w:hAnsi="Times New Roman" w:eastAsia="仿宋_GB2312" w:cs="Times New Roman"/>
          <w:kern w:val="0"/>
          <w:sz w:val="32"/>
          <w:szCs w:val="32"/>
        </w:rPr>
        <w:t>，符合资金管理办法等相关规定。</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w:t>
      </w:r>
      <w:r>
        <w:rPr>
          <w:rFonts w:hint="default" w:ascii="Times New Roman" w:hAnsi="Times New Roman" w:eastAsia="仿宋_GB2312" w:cs="Times New Roman"/>
          <w:sz w:val="32"/>
          <w:szCs w:val="32"/>
          <w:lang w:val="zh-CN"/>
        </w:rPr>
        <w:t>资金计划及到位。本项目资金计划为</w:t>
      </w:r>
      <w:r>
        <w:rPr>
          <w:rFonts w:hint="default" w:ascii="Times New Roman" w:hAnsi="Times New Roman" w:eastAsia="仿宋_GB2312" w:cs="Times New Roman"/>
          <w:sz w:val="32"/>
          <w:szCs w:val="32"/>
          <w:lang w:val="en-US" w:eastAsia="zh-CN"/>
        </w:rPr>
        <w:t>30万</w:t>
      </w:r>
      <w:r>
        <w:rPr>
          <w:rFonts w:hint="default" w:ascii="Times New Roman" w:hAnsi="Times New Roman" w:eastAsia="仿宋_GB2312" w:cs="Times New Roman"/>
          <w:sz w:val="32"/>
          <w:szCs w:val="32"/>
          <w:lang w:val="zh-CN"/>
        </w:rPr>
        <w:t>元，截至评价时点，实际到位</w:t>
      </w:r>
      <w:r>
        <w:rPr>
          <w:rFonts w:hint="default" w:ascii="Times New Roman" w:hAnsi="Times New Roman" w:eastAsia="仿宋_GB2312" w:cs="Times New Roman"/>
          <w:sz w:val="32"/>
          <w:szCs w:val="32"/>
          <w:lang w:val="en-US" w:eastAsia="zh-CN"/>
        </w:rPr>
        <w:t>30万</w:t>
      </w:r>
      <w:r>
        <w:rPr>
          <w:rFonts w:hint="default" w:ascii="Times New Roman" w:hAnsi="Times New Roman" w:eastAsia="仿宋_GB2312" w:cs="Times New Roman"/>
          <w:sz w:val="32"/>
          <w:szCs w:val="32"/>
          <w:lang w:val="zh-CN"/>
        </w:rPr>
        <w:t>元，资金到位率为</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lang w:val="zh-CN"/>
        </w:rPr>
        <w:t>．资金使用。</w:t>
      </w:r>
      <w:r>
        <w:rPr>
          <w:rFonts w:hint="default" w:ascii="Times New Roman" w:hAnsi="Times New Roman" w:eastAsia="仿宋_GB2312" w:cs="Times New Roman"/>
          <w:sz w:val="32"/>
          <w:szCs w:val="32"/>
          <w:lang w:val="zh-CN"/>
        </w:rPr>
        <w:t>截至评价时点，本项目资金的实际支出</w:t>
      </w:r>
      <w:r>
        <w:rPr>
          <w:rFonts w:hint="default" w:ascii="Times New Roman" w:hAnsi="Times New Roman" w:eastAsia="仿宋_GB2312" w:cs="Times New Roman"/>
          <w:sz w:val="32"/>
          <w:szCs w:val="32"/>
          <w:lang w:val="en-US" w:eastAsia="zh-CN"/>
        </w:rPr>
        <w:t>30万</w:t>
      </w:r>
      <w:r>
        <w:rPr>
          <w:rFonts w:hint="default" w:ascii="Times New Roman" w:hAnsi="Times New Roman" w:eastAsia="仿宋_GB2312" w:cs="Times New Roman"/>
          <w:sz w:val="32"/>
          <w:szCs w:val="32"/>
          <w:lang w:val="zh-CN"/>
        </w:rPr>
        <w:t>元，资金开支范围为补偿款，支付进度</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%。支付依据合规合法，资金支付与预算相符。</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总体评价各项目实施单位财务管理制度是否健全，是否严格执行财务管理制度，账务处理是否及时，会计核算是否规范等。</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adjustRightInd w:val="0"/>
        <w:snapToGrid w:val="0"/>
        <w:spacing w:line="600" w:lineRule="exact"/>
        <w:ind w:firstLine="720"/>
        <w:rPr>
          <w:rFonts w:hint="default" w:ascii="Times New Roman" w:hAnsi="Times New Roman" w:eastAsia="仿宋_GB2312" w:cs="Times New Roman"/>
          <w:kern w:val="0"/>
          <w:sz w:val="32"/>
          <w:szCs w:val="32"/>
          <w:highlight w:val="yellow"/>
          <w:shd w:val="clear" w:color="auto" w:fill="FFFFFF"/>
          <w:lang w:val="zh-CN"/>
        </w:rPr>
      </w:pPr>
      <w:r>
        <w:rPr>
          <w:rFonts w:hint="default" w:ascii="Times New Roman" w:hAnsi="Times New Roman" w:eastAsia="仿宋_GB2312" w:cs="Times New Roman"/>
          <w:sz w:val="32"/>
          <w:szCs w:val="32"/>
          <w:lang w:val="zh-CN"/>
        </w:rPr>
        <w:t>该项目</w:t>
      </w:r>
      <w:r>
        <w:rPr>
          <w:rFonts w:hint="default" w:ascii="Times New Roman" w:hAnsi="Times New Roman" w:eastAsia="仿宋_GB2312" w:cs="Times New Roman"/>
          <w:kern w:val="2"/>
          <w:sz w:val="32"/>
          <w:szCs w:val="32"/>
          <w:lang w:val="en-US" w:eastAsia="zh-CN" w:bidi="ar-SA"/>
        </w:rPr>
        <w:t>据攀枝花市西区土地储备中心职能职责，由</w:t>
      </w:r>
      <w:r>
        <w:rPr>
          <w:rFonts w:hint="default" w:ascii="Times New Roman" w:hAnsi="Times New Roman" w:eastAsia="仿宋_GB2312" w:cs="Times New Roman"/>
          <w:sz w:val="32"/>
          <w:szCs w:val="32"/>
          <w:lang w:val="zh-CN"/>
        </w:rPr>
        <w:t>攀枝花市西区土地储备中心组织实施，按照职能职责</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负责供水、供电、供气、弱电、广电、道路等各专项设施及企业拆迁协商、签订协议等具体工作，为政府供应土地提供必要保障</w:t>
      </w:r>
      <w:r>
        <w:rPr>
          <w:rFonts w:hint="default" w:ascii="Times New Roman" w:hAnsi="Times New Roman" w:eastAsia="仿宋_GB2312" w:cs="Times New Roman"/>
          <w:sz w:val="32"/>
          <w:szCs w:val="32"/>
          <w:lang w:val="zh-CN"/>
        </w:rPr>
        <w:t>要求，在</w:t>
      </w:r>
      <w:r>
        <w:rPr>
          <w:rFonts w:hint="default" w:ascii="Times New Roman" w:hAnsi="Times New Roman" w:eastAsia="仿宋_GB2312" w:cs="Times New Roman"/>
          <w:sz w:val="32"/>
          <w:szCs w:val="32"/>
          <w:highlight w:val="none"/>
          <w:lang w:val="zh-CN"/>
        </w:rPr>
        <w:t>区财政</w:t>
      </w:r>
      <w:r>
        <w:rPr>
          <w:rFonts w:hint="default" w:ascii="Times New Roman" w:hAnsi="Times New Roman" w:eastAsia="仿宋_GB2312" w:cs="Times New Roman"/>
          <w:sz w:val="32"/>
          <w:szCs w:val="32"/>
          <w:lang w:val="zh-CN"/>
        </w:rPr>
        <w:t>监督管理下实施。</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截至目前，</w:t>
      </w:r>
      <w:r>
        <w:rPr>
          <w:rFonts w:hint="default" w:ascii="Times New Roman" w:hAnsi="Times New Roman" w:eastAsia="仿宋_GB2312" w:cs="Times New Roman"/>
          <w:sz w:val="32"/>
          <w:szCs w:val="32"/>
          <w:lang w:val="en-US" w:eastAsia="zh-CN"/>
        </w:rPr>
        <w:t>完成蜀物智慧现代产业园项目宗地涉及一台315kVA变压器迁改</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bCs/>
          <w:sz w:val="32"/>
          <w:szCs w:val="32"/>
        </w:rPr>
        <w:t>加快推进蜀物智慧现代产业园项目建设，保障周边居民用电安全</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z w:val="32"/>
          <w:szCs w:val="32"/>
          <w:lang w:val="en-US" w:eastAsia="zh-CN"/>
        </w:rPr>
        <w:t>促进西区发展</w:t>
      </w:r>
      <w:r>
        <w:rPr>
          <w:rFonts w:hint="default" w:ascii="Times New Roman" w:hAnsi="Times New Roman" w:eastAsia="仿宋_GB2312" w:cs="Times New Roman"/>
          <w:sz w:val="32"/>
          <w:szCs w:val="32"/>
          <w:lang w:val="zh-CN" w:eastAsia="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578" w:lineRule="exact"/>
        <w:ind w:firstLine="7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color w:val="000000"/>
          <w:kern w:val="0"/>
          <w:sz w:val="31"/>
          <w:szCs w:val="31"/>
          <w:lang w:val="en-US" w:eastAsia="zh-CN" w:bidi="ar"/>
        </w:rPr>
        <w:t>电力搬迁工作，为</w:t>
      </w:r>
      <w:r>
        <w:rPr>
          <w:rFonts w:hint="default" w:ascii="Times New Roman" w:hAnsi="Times New Roman" w:eastAsia="仿宋_GB2312" w:cs="Times New Roman"/>
          <w:kern w:val="2"/>
          <w:sz w:val="32"/>
          <w:szCs w:val="32"/>
          <w:lang w:val="en-US" w:eastAsia="zh-CN" w:bidi="ar-SA"/>
        </w:rPr>
        <w:t>政府供应土地提供必要保障，提高财政收入；</w:t>
      </w:r>
      <w:r>
        <w:rPr>
          <w:rFonts w:hint="default" w:ascii="Times New Roman" w:hAnsi="Times New Roman" w:eastAsia="仿宋_GB2312" w:cs="Times New Roman"/>
          <w:bCs/>
          <w:sz w:val="32"/>
          <w:szCs w:val="32"/>
        </w:rPr>
        <w:t>加快蜀物智慧现代产业园项目建设</w:t>
      </w:r>
      <w:r>
        <w:rPr>
          <w:rFonts w:hint="default" w:ascii="Times New Roman" w:hAnsi="Times New Roman" w:eastAsia="仿宋_GB2312" w:cs="Times New Roman"/>
          <w:bCs/>
          <w:sz w:val="32"/>
          <w:szCs w:val="32"/>
          <w:lang w:eastAsia="zh-CN"/>
        </w:rPr>
        <w:t>。</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根据绩效评价结果，本项目得出了以下结论：(1)土地储备满意度较高；(2)各项组织保障工作完成较好；(3)保障征地换建工作有序完成。</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zh-CN"/>
        </w:rPr>
        <w:t>无</w:t>
      </w:r>
      <w:r>
        <w:rPr>
          <w:rFonts w:hint="default" w:ascii="Times New Roman" w:hAnsi="Times New Roman" w:eastAsia="仿宋_GB2312" w:cs="Times New Roman"/>
          <w:kern w:val="0"/>
          <w:sz w:val="32"/>
          <w:szCs w:val="32"/>
          <w:shd w:val="clear" w:color="auto" w:fill="FFFFFF"/>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widowControl/>
        <w:adjustRightInd w:val="0"/>
        <w:snapToGrid w:val="0"/>
        <w:spacing w:line="578" w:lineRule="exact"/>
        <w:ind w:firstLine="640" w:firstLineChars="200"/>
        <w:contextualSpacing/>
        <w:jc w:val="left"/>
        <w:rPr>
          <w:rStyle w:val="36"/>
          <w:rFonts w:hint="default" w:ascii="Times New Roman" w:hAnsi="Times New Roman" w:eastAsia="黑体" w:cs="Times New Roman"/>
          <w:b w:val="0"/>
          <w:sz w:val="32"/>
          <w:szCs w:val="32"/>
        </w:rPr>
      </w:pPr>
      <w:r>
        <w:rPr>
          <w:rFonts w:hint="default" w:ascii="Times New Roman" w:hAnsi="Times New Roman" w:eastAsia="仿宋_GB2312" w:cs="Times New Roman"/>
          <w:kern w:val="0"/>
          <w:sz w:val="32"/>
          <w:szCs w:val="32"/>
          <w:shd w:val="clear" w:color="auto" w:fill="FFFFFF"/>
          <w:lang w:val="zh-CN"/>
        </w:rPr>
        <w:t>无。</w:t>
      </w:r>
    </w:p>
    <w:p>
      <w:pPr>
        <w:pStyle w:val="37"/>
        <w:rPr>
          <w:rFonts w:hint="default" w:ascii="Times New Roman" w:hAnsi="Times New Roman" w:cs="Times New Roman"/>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jc w:val="center"/>
        <w:outlineLvl w:val="0"/>
        <w:rPr>
          <w:rStyle w:val="28"/>
          <w:rFonts w:hint="default" w:ascii="Times New Roman" w:hAnsi="Times New Roman" w:eastAsia="黑体" w:cs="Times New Roman"/>
          <w:b w:val="0"/>
        </w:rPr>
      </w:pPr>
      <w:r>
        <w:rPr>
          <w:rStyle w:val="28"/>
          <w:rFonts w:hint="default" w:ascii="Times New Roman" w:hAnsi="Times New Roman" w:eastAsia="黑体" w:cs="Times New Roman"/>
          <w:b w:val="0"/>
        </w:rPr>
        <w:t>耕地占用税及滞纳金</w:t>
      </w:r>
    </w:p>
    <w:p>
      <w:pPr>
        <w:spacing w:line="600" w:lineRule="exact"/>
        <w:jc w:val="center"/>
        <w:outlineLvl w:val="0"/>
        <w:rPr>
          <w:rFonts w:hint="default" w:ascii="Times New Roman" w:hAnsi="Times New Roman" w:cs="Times New Roman"/>
          <w:sz w:val="32"/>
          <w:szCs w:val="32"/>
          <w:lang w:val="zh-CN"/>
        </w:rPr>
      </w:pPr>
      <w:r>
        <w:rPr>
          <w:rFonts w:hint="default" w:ascii="Times New Roman" w:hAnsi="Times New Roman" w:eastAsia="方正小标宋简体" w:cs="Times New Roman"/>
          <w:sz w:val="40"/>
          <w:szCs w:val="40"/>
          <w:lang w:val="zh-CN"/>
        </w:rPr>
        <w:t>专项预算项目支出绩效自评报告</w:t>
      </w: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sz w:val="32"/>
          <w:szCs w:val="32"/>
        </w:rPr>
        <w:t>为满足项目入驻用地需要，西区开展了攀枝花市西区格里坪镇农村集体农用地转为建设用地工作，并作为攀枝花市2021年第1批次及第2批次建设用地报件并在2022年2月及3月收到报件批复。根据《中华人民共和国耕地占用税法》相关规定，需申报缴纳耕地占用税及未及时缴税的滞纳金。</w:t>
      </w:r>
      <w:r>
        <w:rPr>
          <w:rFonts w:hint="default" w:ascii="Times New Roman" w:hAnsi="Times New Roman" w:eastAsia="楷体_GB2312" w:cs="Times New Roman"/>
          <w:b/>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1．项目主要内容。</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耕地占用税及滞纳金项目的总体绩效目标为完成2022年度储备土地的征收前期工作的事务性工作。</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本项目总体目标为</w:t>
      </w:r>
      <w:r>
        <w:rPr>
          <w:rFonts w:hint="default" w:ascii="Times New Roman" w:hAnsi="Times New Roman" w:eastAsia="仿宋_GB2312" w:cs="Times New Roman"/>
          <w:sz w:val="32"/>
          <w:szCs w:val="32"/>
        </w:rPr>
        <w:t>高效促进西区存量国有建设用地出让，增加西区财政收入</w:t>
      </w:r>
      <w:r>
        <w:rPr>
          <w:rFonts w:hint="default" w:ascii="Times New Roman" w:hAnsi="Times New Roman" w:eastAsia="仿宋_GB2312" w:cs="Times New Roman"/>
          <w:sz w:val="32"/>
          <w:szCs w:val="32"/>
          <w:lang w:val="en-US" w:eastAsia="zh-CN"/>
        </w:rPr>
        <w:t>，数量目标为：</w:t>
      </w:r>
      <w:r>
        <w:rPr>
          <w:rFonts w:hint="default" w:ascii="Times New Roman" w:hAnsi="Times New Roman" w:eastAsia="仿宋_GB2312" w:cs="Times New Roman"/>
          <w:sz w:val="32"/>
          <w:szCs w:val="32"/>
        </w:rPr>
        <w:t>攀枝花市2021年第1批次建设用地耕占税57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5万</w:t>
      </w:r>
      <w:r>
        <w:rPr>
          <w:rFonts w:hint="default" w:ascii="Times New Roman" w:hAnsi="Times New Roman" w:eastAsia="仿宋_GB2312" w:cs="Times New Roman"/>
          <w:sz w:val="32"/>
          <w:szCs w:val="32"/>
        </w:rPr>
        <w:t>元、滞纳金约4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5万</w:t>
      </w:r>
      <w:r>
        <w:rPr>
          <w:rFonts w:hint="default" w:ascii="Times New Roman" w:hAnsi="Times New Roman" w:eastAsia="仿宋_GB2312" w:cs="Times New Roman"/>
          <w:sz w:val="32"/>
          <w:szCs w:val="32"/>
        </w:rPr>
        <w:t>元，攀枝花市2021年第2批次建设用地耕占税43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4万</w:t>
      </w:r>
      <w:r>
        <w:rPr>
          <w:rFonts w:hint="default" w:ascii="Times New Roman" w:hAnsi="Times New Roman" w:eastAsia="仿宋_GB2312" w:cs="Times New Roman"/>
          <w:sz w:val="32"/>
          <w:szCs w:val="32"/>
        </w:rPr>
        <w:t>元、滞纳金约4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eastAsia="zh-CN"/>
        </w:rPr>
        <w:t>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kern w:val="0"/>
          <w:sz w:val="32"/>
          <w:szCs w:val="32"/>
          <w:shd w:val="clear" w:color="auto" w:fill="FFFFFF"/>
          <w:lang w:val="zh-CN"/>
        </w:rPr>
        <w:t>。</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3．</w:t>
      </w:r>
      <w:r>
        <w:rPr>
          <w:rFonts w:hint="default" w:ascii="Times New Roman" w:hAnsi="Times New Roman" w:eastAsia="仿宋_GB2312" w:cs="Times New Roman"/>
          <w:b/>
          <w:sz w:val="32"/>
          <w:szCs w:val="32"/>
          <w:lang w:val="zh-CN"/>
        </w:rPr>
        <w:t>项目资金申报相符性。</w:t>
      </w:r>
      <w:r>
        <w:rPr>
          <w:rFonts w:hint="default" w:ascii="Times New Roman" w:hAnsi="Times New Roman" w:eastAsia="仿宋_GB2312" w:cs="Times New Roman"/>
          <w:sz w:val="32"/>
          <w:szCs w:val="32"/>
          <w:lang w:val="zh-CN"/>
        </w:rPr>
        <w:t>该项目申报内容与具体实施内容相符、申报目标合理可行。</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kern w:val="0"/>
          <w:sz w:val="32"/>
          <w:szCs w:val="32"/>
          <w:shd w:val="clear" w:color="auto" w:fill="FFFFFF"/>
          <w:lang w:val="zh-CN"/>
        </w:rPr>
        <w:t>确定评价指标</w:t>
      </w:r>
    </w:p>
    <w:p>
      <w:pPr>
        <w:adjustRightInd w:val="0"/>
        <w:snapToGrid w:val="0"/>
        <w:spacing w:line="578" w:lineRule="exact"/>
        <w:ind w:firstLine="720"/>
        <w:rPr>
          <w:rFonts w:hint="default" w:ascii="Times New Roman" w:hAnsi="Times New Roman" w:eastAsia="仿宋_GB2312" w:cs="Times New Roman"/>
          <w:snapToGrid/>
          <w:spacing w:val="0"/>
          <w:sz w:val="32"/>
          <w:szCs w:val="32"/>
          <w:lang w:eastAsia="zh-CN"/>
        </w:rPr>
      </w:pPr>
      <w:r>
        <w:rPr>
          <w:rFonts w:hint="default" w:ascii="Times New Roman" w:hAnsi="Times New Roman" w:eastAsia="仿宋_GB2312" w:cs="Times New Roman"/>
          <w:sz w:val="32"/>
          <w:szCs w:val="32"/>
        </w:rPr>
        <w:t>攀枝花市2021年第1批次建设用地耕占税及滞纳金，攀枝花市2021年第2批次建设用地耕占税及滞纳金</w:t>
      </w:r>
      <w:r>
        <w:rPr>
          <w:rFonts w:hint="default" w:ascii="Times New Roman" w:hAnsi="Times New Roman" w:eastAsia="仿宋_GB2312" w:cs="Times New Roman"/>
          <w:snapToGrid/>
          <w:spacing w:val="0"/>
          <w:sz w:val="32"/>
          <w:szCs w:val="32"/>
          <w:lang w:eastAsia="zh-CN"/>
        </w:rPr>
        <w:t>。</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2.</w:t>
      </w:r>
      <w:r>
        <w:rPr>
          <w:rFonts w:hint="default" w:ascii="Times New Roman" w:hAnsi="Times New Roman" w:eastAsia="仿宋_GB2312" w:cs="Times New Roman"/>
          <w:kern w:val="0"/>
          <w:sz w:val="32"/>
          <w:szCs w:val="32"/>
          <w:shd w:val="clear" w:color="auto" w:fill="FFFFFF"/>
          <w:lang w:val="zh-CN"/>
        </w:rPr>
        <w:t>收集数据</w:t>
      </w:r>
    </w:p>
    <w:p>
      <w:pPr>
        <w:adjustRightInd w:val="0"/>
        <w:snapToGrid w:val="0"/>
        <w:spacing w:line="578" w:lineRule="exact"/>
        <w:ind w:firstLine="7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根据攀枝花市西区土地储备中心职能职责，税务局测算，</w:t>
      </w:r>
      <w:r>
        <w:rPr>
          <w:rFonts w:hint="default" w:ascii="Times New Roman" w:hAnsi="Times New Roman" w:eastAsia="仿宋_GB2312" w:cs="Times New Roman"/>
          <w:sz w:val="32"/>
          <w:szCs w:val="32"/>
          <w:lang w:eastAsia="zh-CN"/>
        </w:rPr>
        <w:t>缴纳耕地占用税及滞纳金</w:t>
      </w:r>
      <w:r>
        <w:rPr>
          <w:rFonts w:hint="default" w:ascii="Times New Roman" w:hAnsi="Times New Roman" w:eastAsia="仿宋_GB2312" w:cs="Times New Roman"/>
          <w:sz w:val="32"/>
          <w:szCs w:val="32"/>
        </w:rPr>
        <w:t>。</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3.</w:t>
      </w:r>
      <w:r>
        <w:rPr>
          <w:rFonts w:hint="default" w:ascii="Times New Roman" w:hAnsi="Times New Roman" w:eastAsia="仿宋_GB2312" w:cs="Times New Roman"/>
          <w:kern w:val="0"/>
          <w:sz w:val="32"/>
          <w:szCs w:val="32"/>
          <w:shd w:val="clear" w:color="auto" w:fill="FFFFFF"/>
          <w:lang w:val="zh-CN"/>
        </w:rPr>
        <w:t>评估结果</w:t>
      </w:r>
    </w:p>
    <w:p>
      <w:pPr>
        <w:adjustRightInd w:val="0"/>
        <w:snapToGrid w:val="0"/>
        <w:spacing w:line="578" w:lineRule="exact"/>
        <w:ind w:firstLine="720"/>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针对存在的问题和不足之处进行分析，找出原因并提出解决方案。制定相应的改进措施，包括流程优化、资源调整等方面。</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rPr>
        <w:t>4.</w:t>
      </w:r>
      <w:r>
        <w:rPr>
          <w:rFonts w:hint="default" w:ascii="Times New Roman" w:hAnsi="Times New Roman" w:eastAsia="仿宋_GB2312" w:cs="Times New Roman"/>
          <w:kern w:val="0"/>
          <w:sz w:val="32"/>
          <w:szCs w:val="32"/>
          <w:shd w:val="clear" w:color="auto" w:fill="FFFFFF"/>
          <w:lang w:val="zh-CN"/>
        </w:rPr>
        <w:t>实施改进措施</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CN"/>
        </w:rPr>
        <w:t>无</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adjustRightInd w:val="0"/>
        <w:snapToGrid w:val="0"/>
        <w:spacing w:line="600" w:lineRule="exact"/>
        <w:ind w:firstLine="72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本项目资金共计</w:t>
      </w:r>
      <w:r>
        <w:rPr>
          <w:rFonts w:hint="default" w:ascii="Times New Roman" w:hAnsi="Times New Roman" w:eastAsia="仿宋_GB2312" w:cs="Times New Roman"/>
          <w:color w:val="000000"/>
          <w:spacing w:val="-4"/>
          <w:kern w:val="0"/>
          <w:sz w:val="32"/>
          <w:szCs w:val="32"/>
          <w:lang w:val="en-US" w:eastAsia="zh-CN"/>
        </w:rPr>
        <w:t>109.64</w:t>
      </w:r>
      <w:r>
        <w:rPr>
          <w:rFonts w:hint="default" w:ascii="Times New Roman" w:hAnsi="Times New Roman" w:eastAsia="仿宋_GB2312" w:cs="Times New Roman"/>
          <w:kern w:val="0"/>
          <w:sz w:val="32"/>
          <w:szCs w:val="32"/>
          <w:lang w:val="en-US" w:eastAsia="zh-CN"/>
        </w:rPr>
        <w:t>万</w:t>
      </w:r>
      <w:r>
        <w:rPr>
          <w:rFonts w:hint="default" w:ascii="Times New Roman" w:hAnsi="Times New Roman" w:eastAsia="仿宋_GB2312" w:cs="Times New Roman"/>
          <w:kern w:val="0"/>
          <w:sz w:val="32"/>
          <w:szCs w:val="32"/>
        </w:rPr>
        <w:t>元，为</w:t>
      </w:r>
      <w:r>
        <w:rPr>
          <w:rFonts w:hint="default" w:ascii="Times New Roman" w:hAnsi="Times New Roman" w:eastAsia="仿宋_GB2312" w:cs="Times New Roman"/>
          <w:sz w:val="32"/>
          <w:szCs w:val="32"/>
        </w:rPr>
        <w:t>攀枝花市2021年第1批次建设用地耕占税57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5万</w:t>
      </w:r>
      <w:r>
        <w:rPr>
          <w:rFonts w:hint="default" w:ascii="Times New Roman" w:hAnsi="Times New Roman" w:eastAsia="仿宋_GB2312" w:cs="Times New Roman"/>
          <w:sz w:val="32"/>
          <w:szCs w:val="32"/>
        </w:rPr>
        <w:t>元、滞纳金约4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5万</w:t>
      </w:r>
      <w:r>
        <w:rPr>
          <w:rFonts w:hint="default" w:ascii="Times New Roman" w:hAnsi="Times New Roman" w:eastAsia="仿宋_GB2312" w:cs="Times New Roman"/>
          <w:sz w:val="32"/>
          <w:szCs w:val="32"/>
        </w:rPr>
        <w:t>元，攀枝花市2021年第2批次建设用地耕占税43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4万</w:t>
      </w:r>
      <w:r>
        <w:rPr>
          <w:rFonts w:hint="default" w:ascii="Times New Roman" w:hAnsi="Times New Roman" w:eastAsia="仿宋_GB2312" w:cs="Times New Roman"/>
          <w:sz w:val="32"/>
          <w:szCs w:val="32"/>
        </w:rPr>
        <w:t>元、滞纳金约4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41</w:t>
      </w:r>
      <w:r>
        <w:rPr>
          <w:rFonts w:hint="default" w:ascii="Times New Roman" w:hAnsi="Times New Roman" w:eastAsia="仿宋_GB2312" w:cs="Times New Roman"/>
          <w:sz w:val="32"/>
          <w:szCs w:val="32"/>
          <w:lang w:eastAsia="zh-CN"/>
        </w:rPr>
        <w:t>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kern w:val="0"/>
          <w:sz w:val="32"/>
          <w:szCs w:val="32"/>
        </w:rPr>
        <w:t>。</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adjustRightInd w:val="0"/>
        <w:snapToGrid w:val="0"/>
        <w:spacing w:line="600"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1．</w:t>
      </w:r>
      <w:r>
        <w:rPr>
          <w:rFonts w:hint="default" w:ascii="Times New Roman" w:hAnsi="Times New Roman" w:eastAsia="仿宋_GB2312" w:cs="Times New Roman"/>
          <w:sz w:val="32"/>
          <w:szCs w:val="32"/>
          <w:lang w:val="zh-CN"/>
        </w:rPr>
        <w:t>资金计划及到位。本项目资金计划为</w:t>
      </w:r>
      <w:r>
        <w:rPr>
          <w:rFonts w:hint="default" w:ascii="Times New Roman" w:hAnsi="Times New Roman" w:eastAsia="仿宋_GB2312" w:cs="Times New Roman"/>
          <w:sz w:val="32"/>
          <w:szCs w:val="32"/>
          <w:lang w:val="en-US" w:eastAsia="zh-CN"/>
        </w:rPr>
        <w:t>189.06万</w:t>
      </w:r>
      <w:r>
        <w:rPr>
          <w:rFonts w:hint="default" w:ascii="Times New Roman" w:hAnsi="Times New Roman" w:eastAsia="仿宋_GB2312" w:cs="Times New Roman"/>
          <w:sz w:val="32"/>
          <w:szCs w:val="32"/>
          <w:lang w:val="zh-CN"/>
        </w:rPr>
        <w:t>元，截至评价时点，实际到位</w:t>
      </w:r>
      <w:r>
        <w:rPr>
          <w:rFonts w:hint="default" w:ascii="Times New Roman" w:hAnsi="Times New Roman" w:eastAsia="仿宋_GB2312" w:cs="Times New Roman"/>
          <w:sz w:val="32"/>
          <w:szCs w:val="32"/>
          <w:lang w:val="en-US" w:eastAsia="zh-CN"/>
        </w:rPr>
        <w:t>109.18万</w:t>
      </w:r>
      <w:r>
        <w:rPr>
          <w:rFonts w:hint="default" w:ascii="Times New Roman" w:hAnsi="Times New Roman" w:eastAsia="仿宋_GB2312" w:cs="Times New Roman"/>
          <w:sz w:val="32"/>
          <w:szCs w:val="32"/>
          <w:lang w:val="zh-CN"/>
        </w:rPr>
        <w:t>元，资金到位率为</w:t>
      </w:r>
      <w:r>
        <w:rPr>
          <w:rFonts w:hint="default" w:ascii="Times New Roman" w:hAnsi="Times New Roman" w:eastAsia="仿宋_GB2312" w:cs="Times New Roman"/>
          <w:sz w:val="32"/>
          <w:szCs w:val="32"/>
          <w:lang w:val="en-US" w:eastAsia="zh-CN"/>
        </w:rPr>
        <w:t>57.75</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lang w:val="zh-CN"/>
        </w:rPr>
        <w:t>．资金使用。</w:t>
      </w:r>
      <w:r>
        <w:rPr>
          <w:rFonts w:hint="default" w:ascii="Times New Roman" w:hAnsi="Times New Roman" w:eastAsia="仿宋_GB2312" w:cs="Times New Roman"/>
          <w:sz w:val="32"/>
          <w:szCs w:val="32"/>
          <w:lang w:val="zh-CN"/>
        </w:rPr>
        <w:t>截至评价时点，本项目资金的实际支出</w:t>
      </w:r>
      <w:r>
        <w:rPr>
          <w:rFonts w:hint="default" w:ascii="Times New Roman" w:hAnsi="Times New Roman" w:eastAsia="仿宋_GB2312" w:cs="Times New Roman"/>
          <w:sz w:val="32"/>
          <w:szCs w:val="32"/>
          <w:lang w:val="en-US" w:eastAsia="zh-CN"/>
        </w:rPr>
        <w:t>109.18万</w:t>
      </w:r>
      <w:r>
        <w:rPr>
          <w:rFonts w:hint="default" w:ascii="Times New Roman" w:hAnsi="Times New Roman" w:eastAsia="仿宋_GB2312" w:cs="Times New Roman"/>
          <w:sz w:val="32"/>
          <w:szCs w:val="32"/>
          <w:lang w:val="zh-CN"/>
        </w:rPr>
        <w:t>元，资金开支范围为补偿款，支付进度</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zh-CN"/>
        </w:rPr>
        <w:t>%。支付依据合规合法，资金支付与预算相符。</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总体评价各项目实施单位财务管理制度是否健全，是否严格执行财务管理制度，账务处理是否及时，会计核算是否规范等。</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adjustRightInd w:val="0"/>
        <w:snapToGrid w:val="0"/>
        <w:spacing w:line="600" w:lineRule="exact"/>
        <w:ind w:firstLine="720"/>
        <w:rPr>
          <w:rFonts w:hint="default" w:ascii="Times New Roman" w:hAnsi="Times New Roman" w:eastAsia="仿宋_GB2312" w:cs="Times New Roman"/>
          <w:kern w:val="0"/>
          <w:sz w:val="32"/>
          <w:szCs w:val="32"/>
          <w:highlight w:val="yellow"/>
          <w:shd w:val="clear" w:color="auto" w:fill="FFFFFF"/>
          <w:lang w:val="zh-CN"/>
        </w:rPr>
      </w:pPr>
      <w:r>
        <w:rPr>
          <w:rFonts w:hint="default" w:ascii="Times New Roman" w:hAnsi="Times New Roman" w:eastAsia="仿宋_GB2312" w:cs="Times New Roman"/>
          <w:sz w:val="32"/>
          <w:szCs w:val="32"/>
          <w:lang w:val="zh-CN"/>
        </w:rPr>
        <w:t>该项目</w:t>
      </w:r>
      <w:r>
        <w:rPr>
          <w:rFonts w:hint="default" w:ascii="Times New Roman" w:hAnsi="Times New Roman" w:eastAsia="仿宋_GB2312" w:cs="Times New Roman"/>
          <w:kern w:val="2"/>
          <w:sz w:val="32"/>
          <w:szCs w:val="32"/>
          <w:lang w:val="en-US" w:eastAsia="zh-CN" w:bidi="ar-SA"/>
        </w:rPr>
        <w:t>据攀枝花市西区土地储备中心职能职责，由</w:t>
      </w:r>
      <w:r>
        <w:rPr>
          <w:rFonts w:hint="default" w:ascii="Times New Roman" w:hAnsi="Times New Roman" w:eastAsia="仿宋_GB2312" w:cs="Times New Roman"/>
          <w:sz w:val="32"/>
          <w:szCs w:val="32"/>
          <w:lang w:val="zh-CN"/>
        </w:rPr>
        <w:t>攀枝花市西区土地储备中心组织实施，按照职能职责</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rPr>
        <w:t>据《中华人民共和国耕地占用税法》相关规定，申报缴纳耕地占用税及未及时缴税的滞纳金</w:t>
      </w:r>
      <w:r>
        <w:rPr>
          <w:rFonts w:hint="default" w:ascii="Times New Roman" w:hAnsi="Times New Roman" w:eastAsia="仿宋_GB2312" w:cs="Times New Roman"/>
          <w:sz w:val="32"/>
          <w:szCs w:val="32"/>
          <w:lang w:val="zh-CN"/>
        </w:rPr>
        <w:t>。</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截至目前，</w:t>
      </w: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攀枝花市2021年第1批次及第2批次建设用地报件工作，</w:t>
      </w:r>
      <w:r>
        <w:rPr>
          <w:rFonts w:hint="default" w:ascii="Times New Roman" w:hAnsi="Times New Roman" w:eastAsia="仿宋_GB2312" w:cs="Times New Roman"/>
          <w:bCs/>
          <w:sz w:val="32"/>
          <w:szCs w:val="32"/>
          <w:lang w:eastAsia="zh-CN"/>
        </w:rPr>
        <w:t>并缴纳耕地占用税及滞纳金</w:t>
      </w:r>
      <w:r>
        <w:rPr>
          <w:rFonts w:hint="default" w:ascii="Times New Roman" w:hAnsi="Times New Roman" w:eastAsia="仿宋_GB2312" w:cs="Times New Roman"/>
          <w:sz w:val="32"/>
          <w:szCs w:val="32"/>
          <w:lang w:val="zh-CN" w:eastAsia="zh-CN"/>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578" w:lineRule="exact"/>
        <w:ind w:firstLine="7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sz w:val="32"/>
          <w:szCs w:val="32"/>
        </w:rPr>
        <w:t>履行耕地占用税申报纳税义务</w:t>
      </w:r>
      <w:r>
        <w:rPr>
          <w:rFonts w:hint="default" w:ascii="Times New Roman" w:hAnsi="Times New Roman" w:eastAsia="仿宋_GB2312" w:cs="Times New Roman"/>
          <w:bCs/>
          <w:sz w:val="32"/>
          <w:szCs w:val="32"/>
          <w:lang w:eastAsia="zh-CN"/>
        </w:rPr>
        <w:t>。</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根据绩效评价结果，本项目得出了以下结论：(1)土地储备满意度较高；(2)耕地占用税及滞纳金缴费完成。</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zh-CN"/>
        </w:rPr>
        <w:t>无</w:t>
      </w:r>
      <w:r>
        <w:rPr>
          <w:rFonts w:hint="default" w:ascii="Times New Roman" w:hAnsi="Times New Roman" w:eastAsia="仿宋_GB2312" w:cs="Times New Roman"/>
          <w:kern w:val="0"/>
          <w:sz w:val="32"/>
          <w:szCs w:val="32"/>
          <w:shd w:val="clear" w:color="auto" w:fill="FFFFFF"/>
        </w:rPr>
        <w:t>。</w:t>
      </w:r>
    </w:p>
    <w:p>
      <w:pPr>
        <w:adjustRightInd w:val="0"/>
        <w:snapToGrid w:val="0"/>
        <w:spacing w:line="578" w:lineRule="exact"/>
        <w:ind w:firstLine="72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widowControl/>
        <w:adjustRightInd w:val="0"/>
        <w:snapToGrid w:val="0"/>
        <w:spacing w:line="578" w:lineRule="exact"/>
        <w:ind w:firstLine="640" w:firstLineChars="200"/>
        <w:contextualSpacing/>
        <w:jc w:val="left"/>
        <w:rPr>
          <w:rStyle w:val="36"/>
          <w:rFonts w:hint="default" w:ascii="Times New Roman" w:hAnsi="Times New Roman" w:eastAsia="黑体" w:cs="Times New Roman"/>
          <w:b w:val="0"/>
          <w:sz w:val="32"/>
          <w:szCs w:val="32"/>
        </w:rPr>
      </w:pPr>
      <w:r>
        <w:rPr>
          <w:rFonts w:hint="default" w:ascii="Times New Roman" w:hAnsi="Times New Roman" w:eastAsia="仿宋_GB2312" w:cs="Times New Roman"/>
          <w:kern w:val="0"/>
          <w:sz w:val="32"/>
          <w:szCs w:val="32"/>
          <w:shd w:val="clear" w:color="auto" w:fill="FFFFFF"/>
          <w:lang w:val="zh-CN"/>
        </w:rPr>
        <w:t>无。</w:t>
      </w:r>
    </w:p>
    <w:p>
      <w:pPr>
        <w:spacing w:line="600" w:lineRule="exact"/>
        <w:outlineLvl w:val="0"/>
        <w:rPr>
          <w:rStyle w:val="28"/>
          <w:rFonts w:hint="default" w:ascii="Times New Roman" w:hAnsi="Times New Roman" w:eastAsia="黑体" w:cs="Times New Roman"/>
          <w:b w:val="0"/>
        </w:rPr>
      </w:pPr>
    </w:p>
    <w:p>
      <w:pPr>
        <w:spacing w:line="600" w:lineRule="exact"/>
        <w:outlineLvl w:val="0"/>
        <w:rPr>
          <w:rStyle w:val="28"/>
          <w:rFonts w:hint="default" w:ascii="Times New Roman" w:hAnsi="Times New Roman" w:eastAsia="黑体" w:cs="Times New Roman"/>
          <w:b w:val="0"/>
        </w:rPr>
      </w:pPr>
    </w:p>
    <w:p>
      <w:pPr>
        <w:spacing w:line="600" w:lineRule="exact"/>
        <w:jc w:val="center"/>
        <w:outlineLvl w:val="0"/>
        <w:rPr>
          <w:rFonts w:hint="default" w:ascii="Times New Roman" w:hAnsi="Times New Roman" w:eastAsia="黑体" w:cs="Times New Roman"/>
          <w:color w:val="000000"/>
          <w:sz w:val="44"/>
          <w:szCs w:val="44"/>
        </w:rPr>
      </w:pPr>
      <w:bookmarkStart w:id="53" w:name="_Toc15396618"/>
    </w:p>
    <w:p>
      <w:pPr>
        <w:spacing w:line="600" w:lineRule="exact"/>
        <w:jc w:val="center"/>
        <w:outlineLvl w:val="0"/>
        <w:rPr>
          <w:rFonts w:hint="default" w:ascii="Times New Roman" w:hAnsi="Times New Roman" w:eastAsia="仿宋" w:cs="Times New Roman"/>
          <w:b/>
          <w:color w:val="000000"/>
          <w:sz w:val="44"/>
          <w:szCs w:val="44"/>
        </w:rPr>
      </w:pPr>
      <w:r>
        <w:rPr>
          <w:rFonts w:hint="default" w:ascii="Times New Roman" w:hAnsi="Times New Roman" w:eastAsia="黑体" w:cs="Times New Roman"/>
          <w:color w:val="000000"/>
          <w:sz w:val="44"/>
          <w:szCs w:val="44"/>
        </w:rPr>
        <w:t>第</w:t>
      </w:r>
      <w:r>
        <w:rPr>
          <w:rStyle w:val="28"/>
          <w:rFonts w:hint="default" w:ascii="Times New Roman" w:hAnsi="Times New Roman" w:eastAsia="黑体" w:cs="Times New Roman"/>
          <w:b w:val="0"/>
        </w:rPr>
        <w:t>五部分 附表</w:t>
      </w:r>
      <w:bookmarkEnd w:id="49"/>
      <w:bookmarkEnd w:id="53"/>
    </w:p>
    <w:p>
      <w:pPr>
        <w:pStyle w:val="4"/>
        <w:rPr>
          <w:rFonts w:hint="default" w:ascii="Times New Roman" w:hAnsi="Times New Roman" w:eastAsia="仿宋" w:cs="Times New Roman"/>
          <w:color w:val="000000"/>
        </w:rPr>
      </w:pPr>
      <w:bookmarkStart w:id="54" w:name="_Toc15396619"/>
      <w:r>
        <w:rPr>
          <w:rFonts w:hint="default" w:ascii="Times New Roman" w:hAnsi="Times New Roman" w:eastAsia="仿宋" w:cs="Times New Roman"/>
          <w:b w:val="0"/>
          <w:color w:val="000000"/>
        </w:rPr>
        <w:t>一、收</w:t>
      </w:r>
      <w:r>
        <w:rPr>
          <w:rStyle w:val="29"/>
          <w:rFonts w:hint="default" w:ascii="Times New Roman" w:hAnsi="Times New Roman" w:eastAsia="仿宋" w:cs="Times New Roman"/>
          <w:b w:val="0"/>
          <w:bCs w:val="0"/>
        </w:rPr>
        <w:t>入支出决算总表</w:t>
      </w:r>
      <w:bookmarkEnd w:id="54"/>
    </w:p>
    <w:p>
      <w:pPr>
        <w:pStyle w:val="4"/>
        <w:rPr>
          <w:rFonts w:hint="default" w:ascii="Times New Roman" w:hAnsi="Times New Roman" w:eastAsia="仿宋" w:cs="Times New Roman"/>
          <w:color w:val="000000"/>
        </w:rPr>
      </w:pPr>
      <w:bookmarkStart w:id="55" w:name="_Toc15396620"/>
      <w:r>
        <w:rPr>
          <w:rFonts w:hint="default" w:ascii="Times New Roman" w:hAnsi="Times New Roman" w:eastAsia="仿宋" w:cs="Times New Roman"/>
          <w:b w:val="0"/>
          <w:color w:val="000000"/>
        </w:rPr>
        <w:t>二、收</w:t>
      </w:r>
      <w:r>
        <w:rPr>
          <w:rStyle w:val="29"/>
          <w:rFonts w:hint="default" w:ascii="Times New Roman" w:hAnsi="Times New Roman" w:eastAsia="仿宋" w:cs="Times New Roman"/>
          <w:b w:val="0"/>
          <w:bCs w:val="0"/>
        </w:rPr>
        <w:t>入决算表</w:t>
      </w:r>
      <w:bookmarkEnd w:id="55"/>
    </w:p>
    <w:p>
      <w:pPr>
        <w:pStyle w:val="4"/>
        <w:rPr>
          <w:rFonts w:hint="default" w:ascii="Times New Roman" w:hAnsi="Times New Roman" w:eastAsia="仿宋" w:cs="Times New Roman"/>
          <w:color w:val="000000"/>
        </w:rPr>
      </w:pPr>
      <w:bookmarkStart w:id="56" w:name="_Toc15396621"/>
      <w:r>
        <w:rPr>
          <w:rStyle w:val="29"/>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9"/>
          <w:rFonts w:hint="default" w:ascii="Times New Roman" w:hAnsi="Times New Roman" w:eastAsia="仿宋" w:cs="Times New Roman"/>
          <w:b w:val="0"/>
          <w:bCs w:val="0"/>
        </w:rPr>
        <w:t>出决算表</w:t>
      </w:r>
      <w:bookmarkEnd w:id="56"/>
    </w:p>
    <w:p>
      <w:pPr>
        <w:pStyle w:val="4"/>
        <w:rPr>
          <w:rFonts w:hint="default" w:ascii="Times New Roman" w:hAnsi="Times New Roman" w:eastAsia="仿宋" w:cs="Times New Roman"/>
          <w:b w:val="0"/>
          <w:color w:val="000000"/>
        </w:rPr>
      </w:pPr>
      <w:bookmarkStart w:id="57" w:name="_Toc15396622"/>
      <w:r>
        <w:rPr>
          <w:rStyle w:val="29"/>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9"/>
          <w:rFonts w:hint="default" w:ascii="Times New Roman" w:hAnsi="Times New Roman" w:eastAsia="仿宋" w:cs="Times New Roman"/>
          <w:b w:val="0"/>
          <w:bCs w:val="0"/>
        </w:rPr>
        <w:t>政拨款收入支出决算总表</w:t>
      </w:r>
      <w:bookmarkEnd w:id="57"/>
    </w:p>
    <w:p>
      <w:pPr>
        <w:pStyle w:val="4"/>
        <w:rPr>
          <w:rStyle w:val="29"/>
          <w:rFonts w:hint="default" w:ascii="Times New Roman" w:hAnsi="Times New Roman" w:eastAsia="仿宋" w:cs="Times New Roman"/>
          <w:b w:val="0"/>
          <w:bCs w:val="0"/>
        </w:rPr>
      </w:pPr>
      <w:bookmarkStart w:id="58" w:name="_Toc15396623"/>
      <w:r>
        <w:rPr>
          <w:rStyle w:val="29"/>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9"/>
          <w:rFonts w:hint="default" w:ascii="Times New Roman" w:hAnsi="Times New Roman" w:eastAsia="仿宋" w:cs="Times New Roman"/>
          <w:b w:val="0"/>
          <w:bCs w:val="0"/>
        </w:rPr>
        <w:t>政拨款支出决算明细表</w:t>
      </w:r>
      <w:bookmarkEnd w:id="58"/>
      <w:bookmarkStart w:id="59" w:name="_Toc15396624"/>
    </w:p>
    <w:p>
      <w:pPr>
        <w:pStyle w:val="4"/>
        <w:rPr>
          <w:rFonts w:hint="default" w:ascii="Times New Roman" w:hAnsi="Times New Roman" w:eastAsia="仿宋" w:cs="Times New Roman"/>
          <w:color w:val="000000"/>
        </w:rPr>
      </w:pPr>
      <w:r>
        <w:rPr>
          <w:rStyle w:val="29"/>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般公共预算财政拨款支出决算表</w:t>
      </w:r>
      <w:bookmarkEnd w:id="59"/>
    </w:p>
    <w:p>
      <w:pPr>
        <w:pStyle w:val="4"/>
        <w:rPr>
          <w:rFonts w:hint="default" w:ascii="Times New Roman" w:hAnsi="Times New Roman" w:eastAsia="仿宋" w:cs="Times New Roman"/>
          <w:color w:val="000000"/>
        </w:rPr>
      </w:pPr>
      <w:bookmarkStart w:id="60" w:name="_Toc15396625"/>
      <w:r>
        <w:rPr>
          <w:rStyle w:val="29"/>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般公共预算财政拨款支出决算明细表</w:t>
      </w:r>
      <w:bookmarkEnd w:id="60"/>
    </w:p>
    <w:p>
      <w:pPr>
        <w:pStyle w:val="4"/>
        <w:rPr>
          <w:rFonts w:hint="default" w:ascii="Times New Roman" w:hAnsi="Times New Roman" w:eastAsia="仿宋" w:cs="Times New Roman"/>
          <w:color w:val="000000"/>
        </w:rPr>
      </w:pPr>
      <w:bookmarkStart w:id="61" w:name="_Toc15396626"/>
      <w:r>
        <w:rPr>
          <w:rStyle w:val="29"/>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般公共预算财政拨款基本支出决算表</w:t>
      </w:r>
      <w:bookmarkEnd w:id="61"/>
    </w:p>
    <w:p>
      <w:pPr>
        <w:pStyle w:val="4"/>
        <w:rPr>
          <w:rFonts w:hint="default" w:ascii="Times New Roman" w:hAnsi="Times New Roman" w:eastAsia="仿宋" w:cs="Times New Roman"/>
          <w:color w:val="000000"/>
        </w:rPr>
      </w:pPr>
      <w:bookmarkStart w:id="62" w:name="_Toc15396627"/>
      <w:r>
        <w:rPr>
          <w:rStyle w:val="29"/>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般公共预算财政拨款项目支出决算表</w:t>
      </w:r>
      <w:bookmarkEnd w:id="62"/>
    </w:p>
    <w:p>
      <w:pPr>
        <w:pStyle w:val="4"/>
        <w:rPr>
          <w:rFonts w:hint="default" w:ascii="Times New Roman" w:hAnsi="Times New Roman" w:eastAsia="仿宋" w:cs="Times New Roman"/>
          <w:color w:val="000000"/>
        </w:rPr>
      </w:pPr>
      <w:bookmarkStart w:id="63" w:name="_Toc15396628"/>
      <w:r>
        <w:rPr>
          <w:rStyle w:val="29"/>
          <w:rFonts w:hint="default" w:ascii="Times New Roman" w:hAnsi="Times New Roman" w:eastAsia="仿宋" w:cs="Times New Roman"/>
          <w:b w:val="0"/>
          <w:bCs w:val="0"/>
        </w:rPr>
        <w:t>十、</w:t>
      </w:r>
      <w:r>
        <w:rPr>
          <w:rFonts w:hint="default" w:ascii="Times New Roman" w:hAnsi="Times New Roman" w:eastAsia="仿宋" w:cs="Times New Roman"/>
          <w:b w:val="0"/>
          <w:color w:val="000000"/>
        </w:rPr>
        <w:t>一</w:t>
      </w:r>
      <w:r>
        <w:rPr>
          <w:rStyle w:val="29"/>
          <w:rFonts w:hint="default" w:ascii="Times New Roman" w:hAnsi="Times New Roman" w:eastAsia="仿宋" w:cs="Times New Roman"/>
          <w:b w:val="0"/>
          <w:bCs w:val="0"/>
        </w:rPr>
        <w:t>般公共预算财政拨款“三公”经费支出决算表</w:t>
      </w:r>
      <w:bookmarkEnd w:id="63"/>
    </w:p>
    <w:p>
      <w:pPr>
        <w:pStyle w:val="4"/>
        <w:rPr>
          <w:rFonts w:hint="default" w:ascii="Times New Roman" w:hAnsi="Times New Roman" w:eastAsia="仿宋" w:cs="Times New Roman"/>
          <w:color w:val="000000"/>
        </w:rPr>
      </w:pPr>
      <w:bookmarkStart w:id="64" w:name="_Toc15396629"/>
      <w:r>
        <w:rPr>
          <w:rStyle w:val="29"/>
          <w:rFonts w:hint="default" w:ascii="Times New Roman" w:hAnsi="Times New Roman" w:eastAsia="仿宋" w:cs="Times New Roman"/>
          <w:b w:val="0"/>
          <w:bCs w:val="0"/>
        </w:rPr>
        <w:t>十一、</w:t>
      </w:r>
      <w:r>
        <w:rPr>
          <w:rFonts w:hint="default" w:ascii="Times New Roman" w:hAnsi="Times New Roman" w:eastAsia="仿宋" w:cs="Times New Roman"/>
          <w:b w:val="0"/>
          <w:color w:val="000000"/>
        </w:rPr>
        <w:t>政</w:t>
      </w:r>
      <w:r>
        <w:rPr>
          <w:rStyle w:val="29"/>
          <w:rFonts w:hint="default" w:ascii="Times New Roman" w:hAnsi="Times New Roman" w:eastAsia="仿宋" w:cs="Times New Roman"/>
          <w:b w:val="0"/>
          <w:bCs w:val="0"/>
        </w:rPr>
        <w:t>府性基金预算财政拨款收入支出决算表</w:t>
      </w:r>
      <w:bookmarkEnd w:id="64"/>
    </w:p>
    <w:p>
      <w:pPr>
        <w:pStyle w:val="4"/>
        <w:rPr>
          <w:rFonts w:hint="default" w:ascii="Times New Roman" w:hAnsi="Times New Roman" w:eastAsia="仿宋" w:cs="Times New Roman"/>
          <w:color w:val="000000"/>
        </w:rPr>
      </w:pPr>
      <w:bookmarkStart w:id="65" w:name="_Toc15396630"/>
      <w:r>
        <w:rPr>
          <w:rStyle w:val="29"/>
          <w:rFonts w:hint="default" w:ascii="Times New Roman" w:hAnsi="Times New Roman" w:eastAsia="仿宋" w:cs="Times New Roman"/>
          <w:b w:val="0"/>
          <w:bCs w:val="0"/>
        </w:rPr>
        <w:t>十二、</w:t>
      </w:r>
      <w:r>
        <w:rPr>
          <w:rFonts w:hint="default" w:ascii="Times New Roman" w:hAnsi="Times New Roman" w:eastAsia="仿宋" w:cs="Times New Roman"/>
          <w:b w:val="0"/>
          <w:color w:val="000000"/>
        </w:rPr>
        <w:t>政</w:t>
      </w:r>
      <w:r>
        <w:rPr>
          <w:rStyle w:val="29"/>
          <w:rFonts w:hint="default" w:ascii="Times New Roman" w:hAnsi="Times New Roman" w:eastAsia="仿宋" w:cs="Times New Roman"/>
          <w:b w:val="0"/>
          <w:bCs w:val="0"/>
        </w:rPr>
        <w:t>府性基金预算财政拨款“三公”经费支出决算表</w:t>
      </w:r>
      <w:bookmarkEnd w:id="65"/>
    </w:p>
    <w:p>
      <w:pPr>
        <w:pStyle w:val="4"/>
        <w:rPr>
          <w:rFonts w:hint="default" w:ascii="Times New Roman" w:hAnsi="Times New Roman" w:eastAsia="仿宋" w:cs="Times New Roman"/>
          <w:color w:val="000000" w:themeColor="text1"/>
          <w14:textFill>
            <w14:solidFill>
              <w14:schemeClr w14:val="tx1"/>
            </w14:solidFill>
          </w14:textFill>
        </w:rPr>
      </w:pPr>
      <w:bookmarkStart w:id="66" w:name="_Toc15396631"/>
      <w:r>
        <w:rPr>
          <w:rStyle w:val="29"/>
          <w:rFonts w:hint="default" w:ascii="Times New Roman" w:hAnsi="Times New Roman" w:eastAsia="仿宋" w:cs="Times New Roman"/>
          <w:b w:val="0"/>
          <w:bCs w:val="0"/>
        </w:rPr>
        <w:t>十三、</w:t>
      </w:r>
      <w:r>
        <w:rPr>
          <w:rFonts w:hint="default" w:ascii="Times New Roman" w:hAnsi="Times New Roman" w:eastAsia="仿宋" w:cs="Times New Roman"/>
          <w:b w:val="0"/>
          <w:color w:val="000000"/>
        </w:rPr>
        <w:t>国</w:t>
      </w:r>
      <w:r>
        <w:rPr>
          <w:rStyle w:val="29"/>
          <w:rFonts w:hint="default" w:ascii="Times New Roman" w:hAnsi="Times New Roman" w:eastAsia="仿宋" w:cs="Times New Roman"/>
          <w:b w:val="0"/>
          <w:bCs w:val="0"/>
        </w:rPr>
        <w:t>有资本经营预算支出决算表</w:t>
      </w:r>
      <w:bookmarkEnd w:id="66"/>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29</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1283"/>
    </w:sdtPr>
    <w:sdtContent>
      <w:p>
        <w:pPr>
          <w:pStyle w:val="9"/>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74BC"/>
    <w:multiLevelType w:val="singleLevel"/>
    <w:tmpl w:val="FFF674BC"/>
    <w:lvl w:ilvl="0" w:tentative="0">
      <w:start w:val="1"/>
      <w:numFmt w:val="chineseCounting"/>
      <w:suff w:val="nothing"/>
      <w:lvlText w:val="%1、"/>
      <w:lvlJc w:val="left"/>
      <w:rPr>
        <w:rFonts w:hint="eastAsia"/>
      </w:rPr>
    </w:lvl>
  </w:abstractNum>
  <w:abstractNum w:abstractNumId="1">
    <w:nsid w:val="281F89FB"/>
    <w:multiLevelType w:val="singleLevel"/>
    <w:tmpl w:val="281F89F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MGE3MzdmZjE2ZmIzZmFmMmY4OTM2ZGZiOGMyOGEifQ=="/>
  </w:docVars>
  <w:rsids>
    <w:rsidRoot w:val="00F1361C"/>
    <w:rsid w:val="000222C6"/>
    <w:rsid w:val="0002549F"/>
    <w:rsid w:val="000306F7"/>
    <w:rsid w:val="000345E1"/>
    <w:rsid w:val="000468DB"/>
    <w:rsid w:val="00054DE4"/>
    <w:rsid w:val="00063593"/>
    <w:rsid w:val="0006487A"/>
    <w:rsid w:val="00065F8F"/>
    <w:rsid w:val="000700B5"/>
    <w:rsid w:val="00070A43"/>
    <w:rsid w:val="000768F2"/>
    <w:rsid w:val="00080114"/>
    <w:rsid w:val="00081A32"/>
    <w:rsid w:val="00084E2E"/>
    <w:rsid w:val="0009184B"/>
    <w:rsid w:val="00094236"/>
    <w:rsid w:val="0009593C"/>
    <w:rsid w:val="00097322"/>
    <w:rsid w:val="000A6A92"/>
    <w:rsid w:val="000B047F"/>
    <w:rsid w:val="000B16B4"/>
    <w:rsid w:val="000B5923"/>
    <w:rsid w:val="000B5A48"/>
    <w:rsid w:val="000B6FF3"/>
    <w:rsid w:val="000C3467"/>
    <w:rsid w:val="000C3C36"/>
    <w:rsid w:val="000C3CA6"/>
    <w:rsid w:val="000C55E0"/>
    <w:rsid w:val="000D1267"/>
    <w:rsid w:val="000D1D50"/>
    <w:rsid w:val="000D5782"/>
    <w:rsid w:val="000E2C6D"/>
    <w:rsid w:val="000E6613"/>
    <w:rsid w:val="000E7119"/>
    <w:rsid w:val="00114E9B"/>
    <w:rsid w:val="00134E13"/>
    <w:rsid w:val="00142216"/>
    <w:rsid w:val="00144D6A"/>
    <w:rsid w:val="0014729F"/>
    <w:rsid w:val="00157BAB"/>
    <w:rsid w:val="00164619"/>
    <w:rsid w:val="001654D1"/>
    <w:rsid w:val="00170A34"/>
    <w:rsid w:val="00174518"/>
    <w:rsid w:val="0018106D"/>
    <w:rsid w:val="00183696"/>
    <w:rsid w:val="001877A7"/>
    <w:rsid w:val="00191536"/>
    <w:rsid w:val="00196687"/>
    <w:rsid w:val="001A6A86"/>
    <w:rsid w:val="001B3F92"/>
    <w:rsid w:val="001C0962"/>
    <w:rsid w:val="001C0E15"/>
    <w:rsid w:val="001D7531"/>
    <w:rsid w:val="001E737D"/>
    <w:rsid w:val="001F0592"/>
    <w:rsid w:val="001F41A7"/>
    <w:rsid w:val="001F7506"/>
    <w:rsid w:val="002006CD"/>
    <w:rsid w:val="00202B36"/>
    <w:rsid w:val="00204B7A"/>
    <w:rsid w:val="00204CDE"/>
    <w:rsid w:val="0021101A"/>
    <w:rsid w:val="00220536"/>
    <w:rsid w:val="002337C6"/>
    <w:rsid w:val="00234CAA"/>
    <w:rsid w:val="00235629"/>
    <w:rsid w:val="00244EBD"/>
    <w:rsid w:val="00252B19"/>
    <w:rsid w:val="0025316D"/>
    <w:rsid w:val="00260C38"/>
    <w:rsid w:val="002616C0"/>
    <w:rsid w:val="00265372"/>
    <w:rsid w:val="002662AA"/>
    <w:rsid w:val="00270E0C"/>
    <w:rsid w:val="00280496"/>
    <w:rsid w:val="00294DC9"/>
    <w:rsid w:val="00295495"/>
    <w:rsid w:val="002A095E"/>
    <w:rsid w:val="002A31DE"/>
    <w:rsid w:val="002B2613"/>
    <w:rsid w:val="002C2CD9"/>
    <w:rsid w:val="002D0C79"/>
    <w:rsid w:val="002D19B0"/>
    <w:rsid w:val="002D6D05"/>
    <w:rsid w:val="002F1818"/>
    <w:rsid w:val="002F567B"/>
    <w:rsid w:val="002F67B3"/>
    <w:rsid w:val="00310E79"/>
    <w:rsid w:val="00313C6F"/>
    <w:rsid w:val="003216A9"/>
    <w:rsid w:val="00330757"/>
    <w:rsid w:val="00335A74"/>
    <w:rsid w:val="00341721"/>
    <w:rsid w:val="0036561B"/>
    <w:rsid w:val="0036630B"/>
    <w:rsid w:val="0037013F"/>
    <w:rsid w:val="00370F3F"/>
    <w:rsid w:val="00371614"/>
    <w:rsid w:val="00380C92"/>
    <w:rsid w:val="003855CF"/>
    <w:rsid w:val="003A02FC"/>
    <w:rsid w:val="003A484F"/>
    <w:rsid w:val="003A4883"/>
    <w:rsid w:val="003A702F"/>
    <w:rsid w:val="003B0BE0"/>
    <w:rsid w:val="003B0C1B"/>
    <w:rsid w:val="003B688C"/>
    <w:rsid w:val="003C0291"/>
    <w:rsid w:val="003C39AE"/>
    <w:rsid w:val="003C7B60"/>
    <w:rsid w:val="003D0C0F"/>
    <w:rsid w:val="003D1FB2"/>
    <w:rsid w:val="003D66DA"/>
    <w:rsid w:val="003E1310"/>
    <w:rsid w:val="003E6F55"/>
    <w:rsid w:val="00406254"/>
    <w:rsid w:val="00412116"/>
    <w:rsid w:val="00416CD4"/>
    <w:rsid w:val="004223DE"/>
    <w:rsid w:val="00434489"/>
    <w:rsid w:val="00437085"/>
    <w:rsid w:val="00443880"/>
    <w:rsid w:val="004464F4"/>
    <w:rsid w:val="00452E4F"/>
    <w:rsid w:val="00471401"/>
    <w:rsid w:val="00473F31"/>
    <w:rsid w:val="0048263A"/>
    <w:rsid w:val="00487E5D"/>
    <w:rsid w:val="00493322"/>
    <w:rsid w:val="004A711F"/>
    <w:rsid w:val="004B0DC7"/>
    <w:rsid w:val="004B199D"/>
    <w:rsid w:val="004B2BFB"/>
    <w:rsid w:val="004B4690"/>
    <w:rsid w:val="004C24CD"/>
    <w:rsid w:val="004C3D4B"/>
    <w:rsid w:val="004D078A"/>
    <w:rsid w:val="004D432E"/>
    <w:rsid w:val="004E0A2D"/>
    <w:rsid w:val="004E1E80"/>
    <w:rsid w:val="004E206B"/>
    <w:rsid w:val="004E6DF7"/>
    <w:rsid w:val="004F0FBD"/>
    <w:rsid w:val="004F403E"/>
    <w:rsid w:val="004F4BA6"/>
    <w:rsid w:val="00501106"/>
    <w:rsid w:val="00505A47"/>
    <w:rsid w:val="00512FDA"/>
    <w:rsid w:val="00520DA0"/>
    <w:rsid w:val="00533B60"/>
    <w:rsid w:val="00536812"/>
    <w:rsid w:val="00536A68"/>
    <w:rsid w:val="005664BB"/>
    <w:rsid w:val="00566FFA"/>
    <w:rsid w:val="0057481D"/>
    <w:rsid w:val="00575F0B"/>
    <w:rsid w:val="0057775A"/>
    <w:rsid w:val="005815A4"/>
    <w:rsid w:val="0058486E"/>
    <w:rsid w:val="00585B33"/>
    <w:rsid w:val="0059014D"/>
    <w:rsid w:val="005B5C64"/>
    <w:rsid w:val="005C6BD0"/>
    <w:rsid w:val="005C6C4C"/>
    <w:rsid w:val="005D1C8B"/>
    <w:rsid w:val="005D468D"/>
    <w:rsid w:val="005D5CED"/>
    <w:rsid w:val="005E66E9"/>
    <w:rsid w:val="005F1A4C"/>
    <w:rsid w:val="005F5267"/>
    <w:rsid w:val="00605688"/>
    <w:rsid w:val="006070AF"/>
    <w:rsid w:val="00607E6C"/>
    <w:rsid w:val="006101B1"/>
    <w:rsid w:val="00614E44"/>
    <w:rsid w:val="0062270A"/>
    <w:rsid w:val="00622830"/>
    <w:rsid w:val="00623DA0"/>
    <w:rsid w:val="00630AEF"/>
    <w:rsid w:val="006325F8"/>
    <w:rsid w:val="00633463"/>
    <w:rsid w:val="00634C9A"/>
    <w:rsid w:val="006440E4"/>
    <w:rsid w:val="00653E1D"/>
    <w:rsid w:val="00662E5D"/>
    <w:rsid w:val="0066343B"/>
    <w:rsid w:val="006640B5"/>
    <w:rsid w:val="00664777"/>
    <w:rsid w:val="006748A4"/>
    <w:rsid w:val="00681A31"/>
    <w:rsid w:val="00683E73"/>
    <w:rsid w:val="006A3141"/>
    <w:rsid w:val="006A5E34"/>
    <w:rsid w:val="006B2422"/>
    <w:rsid w:val="006B2B9A"/>
    <w:rsid w:val="006B54A4"/>
    <w:rsid w:val="006B612A"/>
    <w:rsid w:val="006C1937"/>
    <w:rsid w:val="006E22FF"/>
    <w:rsid w:val="006F020C"/>
    <w:rsid w:val="006F1A95"/>
    <w:rsid w:val="007127B7"/>
    <w:rsid w:val="00717103"/>
    <w:rsid w:val="0071798E"/>
    <w:rsid w:val="00725F39"/>
    <w:rsid w:val="00727533"/>
    <w:rsid w:val="007416B6"/>
    <w:rsid w:val="00746F48"/>
    <w:rsid w:val="0075404D"/>
    <w:rsid w:val="00754109"/>
    <w:rsid w:val="0076182A"/>
    <w:rsid w:val="00767B7E"/>
    <w:rsid w:val="007718CE"/>
    <w:rsid w:val="007723BD"/>
    <w:rsid w:val="007770C3"/>
    <w:rsid w:val="00782F54"/>
    <w:rsid w:val="00784D24"/>
    <w:rsid w:val="00785FBA"/>
    <w:rsid w:val="00786E4A"/>
    <w:rsid w:val="007875EB"/>
    <w:rsid w:val="0079426B"/>
    <w:rsid w:val="007A1613"/>
    <w:rsid w:val="007A7A25"/>
    <w:rsid w:val="007B722D"/>
    <w:rsid w:val="007D1682"/>
    <w:rsid w:val="007D312A"/>
    <w:rsid w:val="007D3F19"/>
    <w:rsid w:val="007D5A86"/>
    <w:rsid w:val="007E23B0"/>
    <w:rsid w:val="007F1991"/>
    <w:rsid w:val="007F2756"/>
    <w:rsid w:val="007F2C2F"/>
    <w:rsid w:val="007F50BE"/>
    <w:rsid w:val="007F55FC"/>
    <w:rsid w:val="007F5665"/>
    <w:rsid w:val="007F7747"/>
    <w:rsid w:val="00800112"/>
    <w:rsid w:val="0080583C"/>
    <w:rsid w:val="00813348"/>
    <w:rsid w:val="008220EE"/>
    <w:rsid w:val="00822C4F"/>
    <w:rsid w:val="008253BB"/>
    <w:rsid w:val="00833962"/>
    <w:rsid w:val="0083706E"/>
    <w:rsid w:val="008408F6"/>
    <w:rsid w:val="008423A5"/>
    <w:rsid w:val="00842596"/>
    <w:rsid w:val="00850625"/>
    <w:rsid w:val="00853718"/>
    <w:rsid w:val="00854C4D"/>
    <w:rsid w:val="00855152"/>
    <w:rsid w:val="00855221"/>
    <w:rsid w:val="00860645"/>
    <w:rsid w:val="0087170E"/>
    <w:rsid w:val="00871F71"/>
    <w:rsid w:val="00872A8B"/>
    <w:rsid w:val="00872FD8"/>
    <w:rsid w:val="00883A60"/>
    <w:rsid w:val="00885AF4"/>
    <w:rsid w:val="00886D3E"/>
    <w:rsid w:val="008939CD"/>
    <w:rsid w:val="008941F1"/>
    <w:rsid w:val="008B505D"/>
    <w:rsid w:val="008B768C"/>
    <w:rsid w:val="008C4C60"/>
    <w:rsid w:val="008C4DB1"/>
    <w:rsid w:val="008C4EAF"/>
    <w:rsid w:val="008C5176"/>
    <w:rsid w:val="008C7003"/>
    <w:rsid w:val="008C7FD0"/>
    <w:rsid w:val="008D6C33"/>
    <w:rsid w:val="008E1DE7"/>
    <w:rsid w:val="008E3C81"/>
    <w:rsid w:val="008E707C"/>
    <w:rsid w:val="008F6409"/>
    <w:rsid w:val="008F7768"/>
    <w:rsid w:val="00900B08"/>
    <w:rsid w:val="00902155"/>
    <w:rsid w:val="00902FA3"/>
    <w:rsid w:val="00914651"/>
    <w:rsid w:val="00916C11"/>
    <w:rsid w:val="00923564"/>
    <w:rsid w:val="0092392E"/>
    <w:rsid w:val="009315F9"/>
    <w:rsid w:val="00933499"/>
    <w:rsid w:val="00935C98"/>
    <w:rsid w:val="009409B1"/>
    <w:rsid w:val="00946945"/>
    <w:rsid w:val="0094740D"/>
    <w:rsid w:val="009474C2"/>
    <w:rsid w:val="00951248"/>
    <w:rsid w:val="0095152F"/>
    <w:rsid w:val="00954C49"/>
    <w:rsid w:val="00955E37"/>
    <w:rsid w:val="0097099F"/>
    <w:rsid w:val="00971997"/>
    <w:rsid w:val="00971FFC"/>
    <w:rsid w:val="00983ECA"/>
    <w:rsid w:val="0098660A"/>
    <w:rsid w:val="009931C3"/>
    <w:rsid w:val="009A5CC9"/>
    <w:rsid w:val="009A6406"/>
    <w:rsid w:val="009B2C43"/>
    <w:rsid w:val="009B4EAE"/>
    <w:rsid w:val="009B7573"/>
    <w:rsid w:val="009C22F4"/>
    <w:rsid w:val="009C2E98"/>
    <w:rsid w:val="009C37FB"/>
    <w:rsid w:val="009C667E"/>
    <w:rsid w:val="009D3447"/>
    <w:rsid w:val="009D4711"/>
    <w:rsid w:val="009D6B4F"/>
    <w:rsid w:val="009D7674"/>
    <w:rsid w:val="009F1185"/>
    <w:rsid w:val="009F18CD"/>
    <w:rsid w:val="009F2A13"/>
    <w:rsid w:val="009F631B"/>
    <w:rsid w:val="009F7527"/>
    <w:rsid w:val="00A039ED"/>
    <w:rsid w:val="00A04EB0"/>
    <w:rsid w:val="00A13CC1"/>
    <w:rsid w:val="00A16847"/>
    <w:rsid w:val="00A237D8"/>
    <w:rsid w:val="00A23EC3"/>
    <w:rsid w:val="00A268C4"/>
    <w:rsid w:val="00A307CD"/>
    <w:rsid w:val="00A331C8"/>
    <w:rsid w:val="00A34B08"/>
    <w:rsid w:val="00A35117"/>
    <w:rsid w:val="00A40A00"/>
    <w:rsid w:val="00A4142F"/>
    <w:rsid w:val="00A422EB"/>
    <w:rsid w:val="00A45BB7"/>
    <w:rsid w:val="00A56DF2"/>
    <w:rsid w:val="00A56E6E"/>
    <w:rsid w:val="00A67AB5"/>
    <w:rsid w:val="00A733B2"/>
    <w:rsid w:val="00A741C2"/>
    <w:rsid w:val="00A91760"/>
    <w:rsid w:val="00A93B00"/>
    <w:rsid w:val="00A93C21"/>
    <w:rsid w:val="00AA18E8"/>
    <w:rsid w:val="00AA5512"/>
    <w:rsid w:val="00AA5851"/>
    <w:rsid w:val="00AB64C9"/>
    <w:rsid w:val="00AC3C6A"/>
    <w:rsid w:val="00AC77DD"/>
    <w:rsid w:val="00AD0F83"/>
    <w:rsid w:val="00AD1668"/>
    <w:rsid w:val="00AD5620"/>
    <w:rsid w:val="00AD656B"/>
    <w:rsid w:val="00AD7C1B"/>
    <w:rsid w:val="00AE16BA"/>
    <w:rsid w:val="00AE176A"/>
    <w:rsid w:val="00AE1EBE"/>
    <w:rsid w:val="00B03C9D"/>
    <w:rsid w:val="00B060AE"/>
    <w:rsid w:val="00B10517"/>
    <w:rsid w:val="00B129B6"/>
    <w:rsid w:val="00B14E76"/>
    <w:rsid w:val="00B161B8"/>
    <w:rsid w:val="00B2048C"/>
    <w:rsid w:val="00B2153A"/>
    <w:rsid w:val="00B310B9"/>
    <w:rsid w:val="00B352A9"/>
    <w:rsid w:val="00B35F3F"/>
    <w:rsid w:val="00B36CBB"/>
    <w:rsid w:val="00B425E0"/>
    <w:rsid w:val="00B440AA"/>
    <w:rsid w:val="00B44B70"/>
    <w:rsid w:val="00B51096"/>
    <w:rsid w:val="00B53C56"/>
    <w:rsid w:val="00B57DAF"/>
    <w:rsid w:val="00B77EA6"/>
    <w:rsid w:val="00B81598"/>
    <w:rsid w:val="00B841F1"/>
    <w:rsid w:val="00B85E50"/>
    <w:rsid w:val="00B92783"/>
    <w:rsid w:val="00B944D6"/>
    <w:rsid w:val="00BB4DF0"/>
    <w:rsid w:val="00BB62A7"/>
    <w:rsid w:val="00BC1184"/>
    <w:rsid w:val="00BC289F"/>
    <w:rsid w:val="00BC2D50"/>
    <w:rsid w:val="00BC5361"/>
    <w:rsid w:val="00BC5460"/>
    <w:rsid w:val="00BC6122"/>
    <w:rsid w:val="00BC6B50"/>
    <w:rsid w:val="00BD0E25"/>
    <w:rsid w:val="00BE62B3"/>
    <w:rsid w:val="00BF5BD6"/>
    <w:rsid w:val="00C03E31"/>
    <w:rsid w:val="00C05ACB"/>
    <w:rsid w:val="00C30E69"/>
    <w:rsid w:val="00C33E72"/>
    <w:rsid w:val="00C354B2"/>
    <w:rsid w:val="00C35554"/>
    <w:rsid w:val="00C42709"/>
    <w:rsid w:val="00C533CC"/>
    <w:rsid w:val="00C5751C"/>
    <w:rsid w:val="00C61BFC"/>
    <w:rsid w:val="00C62B85"/>
    <w:rsid w:val="00C64CDF"/>
    <w:rsid w:val="00C65438"/>
    <w:rsid w:val="00C91CBB"/>
    <w:rsid w:val="00C965AD"/>
    <w:rsid w:val="00CB4E70"/>
    <w:rsid w:val="00CC09B6"/>
    <w:rsid w:val="00CC2BD5"/>
    <w:rsid w:val="00CC666F"/>
    <w:rsid w:val="00CD1E3F"/>
    <w:rsid w:val="00CE44F6"/>
    <w:rsid w:val="00CE49DA"/>
    <w:rsid w:val="00CE5744"/>
    <w:rsid w:val="00CE7B61"/>
    <w:rsid w:val="00CF1F9A"/>
    <w:rsid w:val="00CF3DA3"/>
    <w:rsid w:val="00CF5658"/>
    <w:rsid w:val="00D00095"/>
    <w:rsid w:val="00D114F0"/>
    <w:rsid w:val="00D15661"/>
    <w:rsid w:val="00D20620"/>
    <w:rsid w:val="00D254F7"/>
    <w:rsid w:val="00D26091"/>
    <w:rsid w:val="00D2685C"/>
    <w:rsid w:val="00D337F6"/>
    <w:rsid w:val="00D34E7C"/>
    <w:rsid w:val="00D35489"/>
    <w:rsid w:val="00D36AFE"/>
    <w:rsid w:val="00D51276"/>
    <w:rsid w:val="00D66B86"/>
    <w:rsid w:val="00D7035F"/>
    <w:rsid w:val="00D92E8F"/>
    <w:rsid w:val="00D94C4F"/>
    <w:rsid w:val="00DA068C"/>
    <w:rsid w:val="00DA634F"/>
    <w:rsid w:val="00DA65AC"/>
    <w:rsid w:val="00DB1913"/>
    <w:rsid w:val="00DC410D"/>
    <w:rsid w:val="00DC5A81"/>
    <w:rsid w:val="00DC67D5"/>
    <w:rsid w:val="00DC68CA"/>
    <w:rsid w:val="00DC7CBA"/>
    <w:rsid w:val="00DD73B7"/>
    <w:rsid w:val="00DF28BC"/>
    <w:rsid w:val="00DF34B9"/>
    <w:rsid w:val="00E01053"/>
    <w:rsid w:val="00E07ACF"/>
    <w:rsid w:val="00E331A1"/>
    <w:rsid w:val="00E33202"/>
    <w:rsid w:val="00E336A9"/>
    <w:rsid w:val="00E472B1"/>
    <w:rsid w:val="00E50624"/>
    <w:rsid w:val="00E5640F"/>
    <w:rsid w:val="00E568DF"/>
    <w:rsid w:val="00E608AD"/>
    <w:rsid w:val="00E64269"/>
    <w:rsid w:val="00E645C8"/>
    <w:rsid w:val="00E66797"/>
    <w:rsid w:val="00E739CF"/>
    <w:rsid w:val="00E82267"/>
    <w:rsid w:val="00E853CE"/>
    <w:rsid w:val="00E867B6"/>
    <w:rsid w:val="00E87F08"/>
    <w:rsid w:val="00E94D54"/>
    <w:rsid w:val="00EA010F"/>
    <w:rsid w:val="00EA7032"/>
    <w:rsid w:val="00EB5F2D"/>
    <w:rsid w:val="00ED1B63"/>
    <w:rsid w:val="00ED1F57"/>
    <w:rsid w:val="00ED33D2"/>
    <w:rsid w:val="00ED3C1F"/>
    <w:rsid w:val="00ED4085"/>
    <w:rsid w:val="00ED420E"/>
    <w:rsid w:val="00ED6FBE"/>
    <w:rsid w:val="00EE2F57"/>
    <w:rsid w:val="00EF4C34"/>
    <w:rsid w:val="00EF77C6"/>
    <w:rsid w:val="00F05438"/>
    <w:rsid w:val="00F1361C"/>
    <w:rsid w:val="00F156F0"/>
    <w:rsid w:val="00F160C7"/>
    <w:rsid w:val="00F16C1F"/>
    <w:rsid w:val="00F2408F"/>
    <w:rsid w:val="00F240E9"/>
    <w:rsid w:val="00F36D8F"/>
    <w:rsid w:val="00F40667"/>
    <w:rsid w:val="00F40EE3"/>
    <w:rsid w:val="00F417B1"/>
    <w:rsid w:val="00F45853"/>
    <w:rsid w:val="00F53CF0"/>
    <w:rsid w:val="00F602DF"/>
    <w:rsid w:val="00F60608"/>
    <w:rsid w:val="00F72436"/>
    <w:rsid w:val="00F73DFB"/>
    <w:rsid w:val="00F754A1"/>
    <w:rsid w:val="00F81FD9"/>
    <w:rsid w:val="00F841AA"/>
    <w:rsid w:val="00F84A94"/>
    <w:rsid w:val="00F87E96"/>
    <w:rsid w:val="00F94F79"/>
    <w:rsid w:val="00FA23E8"/>
    <w:rsid w:val="00FD3CC1"/>
    <w:rsid w:val="00FD585F"/>
    <w:rsid w:val="00FD7AA4"/>
    <w:rsid w:val="00FF1E02"/>
    <w:rsid w:val="00FF30B4"/>
    <w:rsid w:val="049321CE"/>
    <w:rsid w:val="052027CE"/>
    <w:rsid w:val="05754429"/>
    <w:rsid w:val="065272D0"/>
    <w:rsid w:val="07902E55"/>
    <w:rsid w:val="10C055FF"/>
    <w:rsid w:val="12ED4031"/>
    <w:rsid w:val="16BB723D"/>
    <w:rsid w:val="1CF33F27"/>
    <w:rsid w:val="1D957A67"/>
    <w:rsid w:val="1D9C5AAE"/>
    <w:rsid w:val="1F2D7D27"/>
    <w:rsid w:val="20CC6826"/>
    <w:rsid w:val="215F5141"/>
    <w:rsid w:val="217C2535"/>
    <w:rsid w:val="21FB2E67"/>
    <w:rsid w:val="240371BF"/>
    <w:rsid w:val="29FD04D3"/>
    <w:rsid w:val="2D7E3C87"/>
    <w:rsid w:val="2DE74BA5"/>
    <w:rsid w:val="30E83747"/>
    <w:rsid w:val="319F7F4E"/>
    <w:rsid w:val="31BE64FF"/>
    <w:rsid w:val="33571D82"/>
    <w:rsid w:val="33706030"/>
    <w:rsid w:val="34AE7401"/>
    <w:rsid w:val="3513327F"/>
    <w:rsid w:val="35C375B2"/>
    <w:rsid w:val="372679C7"/>
    <w:rsid w:val="385B2419"/>
    <w:rsid w:val="38603A2E"/>
    <w:rsid w:val="3B7B77BB"/>
    <w:rsid w:val="3E12118B"/>
    <w:rsid w:val="3F9568D6"/>
    <w:rsid w:val="41434CA1"/>
    <w:rsid w:val="45AF1178"/>
    <w:rsid w:val="476C678C"/>
    <w:rsid w:val="481E0DE2"/>
    <w:rsid w:val="497F525C"/>
    <w:rsid w:val="4AB96933"/>
    <w:rsid w:val="4B723B26"/>
    <w:rsid w:val="4ECE2238"/>
    <w:rsid w:val="53911988"/>
    <w:rsid w:val="56EA1CC0"/>
    <w:rsid w:val="61921A6C"/>
    <w:rsid w:val="6CC96C67"/>
    <w:rsid w:val="70A226B1"/>
    <w:rsid w:val="7142074B"/>
    <w:rsid w:val="72734D90"/>
    <w:rsid w:val="74045906"/>
    <w:rsid w:val="75366D33"/>
    <w:rsid w:val="75AF57DE"/>
    <w:rsid w:val="75D95322"/>
    <w:rsid w:val="7613307D"/>
    <w:rsid w:val="771E0AD6"/>
    <w:rsid w:val="77692515"/>
    <w:rsid w:val="78B95961"/>
    <w:rsid w:val="7AD465AB"/>
    <w:rsid w:val="7C83749B"/>
    <w:rsid w:val="7FBD0B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800080" w:themeColor="followedHyperlink"/>
      <w:u w:val="single"/>
      <w14:textFill>
        <w14:solidFill>
          <w14:schemeClr w14:val="folHlink"/>
        </w14:solidFill>
      </w14:textFill>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16"/>
    <w:basedOn w:val="16"/>
    <w:qFormat/>
    <w:uiPriority w:val="0"/>
    <w:rPr>
      <w:rFonts w:hint="default" w:ascii="Times New Roman" w:hAnsi="Times New Roman" w:eastAsia="楷体_GB2312" w:cs="楷体_GB2312"/>
      <w:sz w:val="28"/>
      <w:szCs w:val="28"/>
    </w:rPr>
  </w:style>
  <w:style w:type="character" w:customStyle="1" w:styleId="35">
    <w:name w:val="fontstyle01"/>
    <w:basedOn w:val="16"/>
    <w:qFormat/>
    <w:uiPriority w:val="0"/>
    <w:rPr>
      <w:rFonts w:hint="eastAsia" w:ascii="仿宋_GB2312" w:eastAsia="仿宋_GB2312"/>
      <w:color w:val="000000"/>
      <w:sz w:val="32"/>
      <w:szCs w:val="32"/>
    </w:rPr>
  </w:style>
  <w:style w:type="character" w:customStyle="1" w:styleId="36">
    <w:name w:val="标题 1 字符"/>
    <w:basedOn w:val="16"/>
    <w:link w:val="3"/>
    <w:qFormat/>
    <w:uiPriority w:val="9"/>
    <w:rPr>
      <w:rFonts w:ascii="Times New Roman" w:hAnsi="Times New Roman"/>
      <w:b/>
      <w:bCs/>
      <w:kern w:val="44"/>
      <w:sz w:val="44"/>
      <w:szCs w:val="44"/>
    </w:rPr>
  </w:style>
  <w:style w:type="paragraph" w:customStyle="1" w:styleId="37">
    <w:name w:val="默认"/>
    <w:next w:val="1"/>
    <w:qFormat/>
    <w:uiPriority w:val="0"/>
    <w:pPr>
      <w:widowControl/>
      <w:jc w:val="both"/>
    </w:pPr>
    <w:rPr>
      <w:rFonts w:ascii="Helvetica Neue" w:hAnsi="Helvetica Neue" w:eastAsia="宋体" w:cs="Arial Unicode MS"/>
      <w:color w:val="000000"/>
      <w:kern w:val="2"/>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0952934003081"/>
          <c:y val="0.0759578544061304"/>
          <c:w val="0.626535626535628"/>
          <c:h val="0.724137931034484"/>
        </c:manualLayout>
      </c:layout>
      <c:barChart>
        <c:barDir val="col"/>
        <c:grouping val="clustered"/>
        <c:varyColors val="0"/>
        <c:ser>
          <c:idx val="0"/>
          <c:order val="0"/>
          <c:tx>
            <c:strRef>
              <c:f>Sheet1!$A$2</c:f>
              <c:strCache>
                <c:ptCount val="1"/>
                <c:pt idx="0">
                  <c:v>2021年</c:v>
                </c:pt>
              </c:strCache>
            </c:strRef>
          </c:tx>
          <c:spPr>
            <a:solidFill>
              <a:srgbClr val="9999FF"/>
            </a:solidFill>
            <a:ln w="12730">
              <a:solidFill>
                <a:srgbClr val="000000"/>
              </a:solidFill>
              <a:prstDash val="solid"/>
            </a:ln>
          </c:spPr>
          <c:invertIfNegative val="0"/>
          <c:dLbls>
            <c:delete val="1"/>
          </c:dLbls>
          <c:cat>
            <c:strRef>
              <c:f>Sheet1!$B$1:$C$1</c:f>
              <c:strCache>
                <c:ptCount val="2"/>
                <c:pt idx="0">
                  <c:v>收入</c:v>
                </c:pt>
                <c:pt idx="1">
                  <c:v>支出</c:v>
                </c:pt>
              </c:strCache>
            </c:strRef>
          </c:cat>
          <c:val>
            <c:numRef>
              <c:f>Sheet1!$B$2:$C$2</c:f>
              <c:numCache>
                <c:formatCode>General</c:formatCode>
                <c:ptCount val="2"/>
                <c:pt idx="0">
                  <c:v>2303.5</c:v>
                </c:pt>
                <c:pt idx="1">
                  <c:v>2303.5</c:v>
                </c:pt>
              </c:numCache>
            </c:numRef>
          </c:val>
        </c:ser>
        <c:ser>
          <c:idx val="1"/>
          <c:order val="1"/>
          <c:tx>
            <c:strRef>
              <c:f>Sheet1!$A$3</c:f>
              <c:strCache>
                <c:ptCount val="1"/>
                <c:pt idx="0">
                  <c:v>2022年</c:v>
                </c:pt>
              </c:strCache>
            </c:strRef>
          </c:tx>
          <c:spPr>
            <a:solidFill>
              <a:srgbClr val="993366"/>
            </a:solidFill>
            <a:ln w="12730">
              <a:solidFill>
                <a:srgbClr val="000000"/>
              </a:solidFill>
              <a:prstDash val="solid"/>
            </a:ln>
          </c:spPr>
          <c:invertIfNegative val="0"/>
          <c:dLbls>
            <c:delete val="1"/>
          </c:dLbls>
          <c:cat>
            <c:strRef>
              <c:f>Sheet1!$B$1:$C$1</c:f>
              <c:strCache>
                <c:ptCount val="2"/>
                <c:pt idx="0">
                  <c:v>收入</c:v>
                </c:pt>
                <c:pt idx="1">
                  <c:v>支出</c:v>
                </c:pt>
              </c:strCache>
            </c:strRef>
          </c:cat>
          <c:val>
            <c:numRef>
              <c:f>Sheet1!$B$3:$C$3</c:f>
              <c:numCache>
                <c:formatCode>General</c:formatCode>
                <c:ptCount val="2"/>
                <c:pt idx="0">
                  <c:v>643.62</c:v>
                </c:pt>
                <c:pt idx="1">
                  <c:v>643.62</c:v>
                </c:pt>
              </c:numCache>
            </c:numRef>
          </c:val>
        </c:ser>
        <c:dLbls>
          <c:showLegendKey val="0"/>
          <c:showVal val="0"/>
          <c:showCatName val="0"/>
          <c:showSerName val="0"/>
          <c:showPercent val="0"/>
          <c:showBubbleSize val="0"/>
        </c:dLbls>
        <c:gapWidth val="150"/>
        <c:axId val="111215744"/>
        <c:axId val="111222144"/>
      </c:barChart>
      <c:catAx>
        <c:axId val="111215744"/>
        <c:scaling>
          <c:orientation val="minMax"/>
        </c:scaling>
        <c:delete val="0"/>
        <c:axPos val="b"/>
        <c:numFmt formatCode="General" sourceLinked="1"/>
        <c:majorTickMark val="in"/>
        <c:minorTickMark val="none"/>
        <c:tickLblPos val="low"/>
        <c:spPr>
          <a:ln w="3183"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1222144"/>
        <c:crosses val="autoZero"/>
        <c:auto val="1"/>
        <c:lblAlgn val="ctr"/>
        <c:lblOffset val="100"/>
        <c:tickLblSkip val="1"/>
        <c:noMultiLvlLbl val="0"/>
      </c:catAx>
      <c:valAx>
        <c:axId val="111222144"/>
        <c:scaling>
          <c:orientation val="minMax"/>
        </c:scaling>
        <c:delete val="0"/>
        <c:axPos val="l"/>
        <c:majorGridlines>
          <c:spPr>
            <a:ln w="3183" cap="flat" cmpd="sng" algn="ctr">
              <a:solidFill>
                <a:srgbClr val="000000"/>
              </a:solidFill>
              <a:prstDash val="solid"/>
              <a:round/>
            </a:ln>
          </c:spPr>
        </c:majorGridlines>
        <c:numFmt formatCode="General" sourceLinked="1"/>
        <c:majorTickMark val="in"/>
        <c:minorTickMark val="none"/>
        <c:tickLblPos val="nextTo"/>
        <c:spPr>
          <a:ln w="3183"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1215744"/>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59950859950861"/>
          <c:y val="0.386206896551724"/>
          <c:w val="0.13022113022113"/>
          <c:h val="0.227586206896552"/>
        </c:manualLayout>
      </c:layout>
      <c:overlay val="0"/>
      <c:spPr>
        <a:noFill/>
        <a:ln w="3183">
          <a:solidFill>
            <a:srgbClr val="000000"/>
          </a:solidFill>
          <a:prstDash val="solid"/>
        </a:ln>
      </c:spPr>
      <c:txPr>
        <a:bodyPr rot="0" spcFirstLastPara="0" vertOverflow="ellipsis" vert="horz" wrap="square" anchor="ctr" anchorCtr="1"/>
        <a:lstStyle/>
        <a:p>
          <a:pPr>
            <a:defRPr lang="zh-CN" sz="73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0"/>
    </c:view3D>
    <c:floor>
      <c:thickness val="0"/>
    </c:floor>
    <c:sideWall>
      <c:thickness val="0"/>
    </c:sideWall>
    <c:backWall>
      <c:thickness val="0"/>
    </c:backWall>
    <c:plotArea>
      <c:layout>
        <c:manualLayout>
          <c:layoutTarget val="inner"/>
          <c:xMode val="edge"/>
          <c:yMode val="edge"/>
          <c:x val="0.054976933987381"/>
          <c:y val="0.158088742844153"/>
          <c:w val="0.468003433872644"/>
          <c:h val="0.83189865046397"/>
        </c:manualLayout>
      </c:layout>
      <c:pie3DChart>
        <c:varyColors val="1"/>
        <c:ser>
          <c:idx val="0"/>
          <c:order val="0"/>
          <c:tx>
            <c:strRef>
              <c:f>Sheet1!$A$2</c:f>
              <c:strCache>
                <c:ptCount val="1"/>
                <c:pt idx="0">
                  <c:v>收入</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9999FF"/>
              </a:solidFill>
              <a:ln w="12700">
                <a:solidFill>
                  <a:srgbClr val="000000"/>
                </a:solidFill>
                <a:prstDash val="solid"/>
              </a:ln>
            </c:spPr>
          </c:dPt>
          <c:dLbls>
            <c:delete val="1"/>
          </c:dLbls>
          <c:cat>
            <c:strRef>
              <c:f>Sheet1!$B$1:$D$1</c:f>
              <c:strCache>
                <c:ptCount val="3"/>
                <c:pt idx="0">
                  <c:v>一般公共预算财政拨款</c:v>
                </c:pt>
                <c:pt idx="1">
                  <c:v>政府性基金预算财政拨款</c:v>
                </c:pt>
              </c:strCache>
            </c:strRef>
          </c:cat>
          <c:val>
            <c:numRef>
              <c:f>Sheet1!$B$2:$D$2</c:f>
              <c:numCache>
                <c:formatCode>General</c:formatCode>
                <c:ptCount val="3"/>
                <c:pt idx="0">
                  <c:v>117.3</c:v>
                </c:pt>
                <c:pt idx="1">
                  <c:v>1494.81</c:v>
                </c:pt>
              </c:numCache>
            </c:numRef>
          </c:val>
        </c:ser>
        <c:dLbls>
          <c:showLegendKey val="0"/>
          <c:showVal val="0"/>
          <c:showCatName val="0"/>
          <c:showSerName val="0"/>
          <c:showPercent val="0"/>
          <c:showBubbleSize val="0"/>
        </c:dLbls>
      </c:pie3DChart>
      <c:spPr>
        <a:solidFill>
          <a:srgbClr val="C0C0C0"/>
        </a:solidFill>
        <a:ln w="12700">
          <a:solidFill>
            <a:srgbClr val="808080"/>
          </a:solidFill>
          <a:prstDash val="solid"/>
        </a:ln>
      </c:spPr>
    </c:plotArea>
    <c:legend>
      <c:legendPos val="r"/>
      <c:layout>
        <c:manualLayout>
          <c:xMode val="edge"/>
          <c:yMode val="edge"/>
          <c:x val="0.644016454855173"/>
          <c:y val="0.34996672660012"/>
          <c:w val="0.266490181270412"/>
          <c:h val="0.490172980345962"/>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0"/>
    </c:view3D>
    <c:floor>
      <c:thickness val="0"/>
    </c:floor>
    <c:sideWall>
      <c:thickness val="0"/>
    </c:sideWall>
    <c:backWall>
      <c:thickness val="0"/>
    </c:backWall>
    <c:plotArea>
      <c:layout>
        <c:manualLayout>
          <c:layoutTarget val="inner"/>
          <c:xMode val="edge"/>
          <c:yMode val="edge"/>
          <c:x val="0.0236831750828644"/>
          <c:y val="0.124860892388451"/>
          <c:w val="0.525485931391443"/>
          <c:h val="0.859754492226934"/>
        </c:manualLayout>
      </c:layout>
      <c:pie3DChart>
        <c:varyColors val="1"/>
        <c:ser>
          <c:idx val="0"/>
          <c:order val="0"/>
          <c:tx>
            <c:strRef>
              <c:f>Sheet1!$A$2</c:f>
              <c:strCache>
                <c:ptCount val="1"/>
                <c:pt idx="0">
                  <c:v>支出</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delete val="1"/>
          </c:dLbls>
          <c:cat>
            <c:strRef>
              <c:f>Sheet1!$B$1:$C$1</c:f>
              <c:strCache>
                <c:ptCount val="2"/>
                <c:pt idx="0">
                  <c:v>基本支出</c:v>
                </c:pt>
                <c:pt idx="1">
                  <c:v>项目支出</c:v>
                </c:pt>
              </c:strCache>
            </c:strRef>
          </c:cat>
          <c:val>
            <c:numRef>
              <c:f>Sheet1!$B$2:$C$2</c:f>
              <c:numCache>
                <c:formatCode>General</c:formatCode>
                <c:ptCount val="2"/>
                <c:pt idx="0">
                  <c:v>117.3</c:v>
                </c:pt>
                <c:pt idx="1">
                  <c:v>2186.26</c:v>
                </c:pt>
              </c:numCache>
            </c:numRef>
          </c:val>
        </c:ser>
        <c:dLbls>
          <c:showLegendKey val="0"/>
          <c:showVal val="0"/>
          <c:showCatName val="0"/>
          <c:showSerName val="0"/>
          <c:showPercent val="0"/>
          <c:showBubbleSize val="0"/>
        </c:dLbls>
      </c:pie3DChart>
      <c:spPr>
        <a:solidFill>
          <a:srgbClr val="C0C0C0"/>
        </a:solidFill>
        <a:ln w="12700">
          <a:solidFill>
            <a:srgbClr val="808080"/>
          </a:solidFill>
          <a:prstDash val="solid"/>
        </a:ln>
      </c:spPr>
    </c:plotArea>
    <c:legend>
      <c:legendPos val="r"/>
      <c:layout>
        <c:manualLayout>
          <c:xMode val="edge"/>
          <c:yMode val="edge"/>
          <c:x val="0.665606561820977"/>
          <c:y val="0.225975368463557"/>
          <c:w val="0.304984264675362"/>
          <c:h val="0.435841712093681"/>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45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4402772021918"/>
          <c:y val="0.234942870947102"/>
          <c:w val="0.670133733283341"/>
          <c:h val="0.601265065747379"/>
        </c:manualLayout>
      </c:layout>
      <c:barChart>
        <c:barDir val="col"/>
        <c:grouping val="clustered"/>
        <c:varyColors val="0"/>
        <c:ser>
          <c:idx val="0"/>
          <c:order val="0"/>
          <c:tx>
            <c:strRef>
              <c:f>Sheet1!$A$2</c:f>
              <c:strCache>
                <c:ptCount val="1"/>
                <c:pt idx="0">
                  <c:v>收入</c:v>
                </c:pt>
              </c:strCache>
            </c:strRef>
          </c:tx>
          <c:spPr>
            <a:solidFill>
              <a:srgbClr val="9999FF"/>
            </a:solidFill>
            <a:ln w="12699">
              <a:solidFill>
                <a:srgbClr val="000000"/>
              </a:solidFill>
              <a:prstDash val="solid"/>
            </a:ln>
          </c:spPr>
          <c:invertIfNegative val="0"/>
          <c:dLbls>
            <c:delete val="1"/>
          </c:dLbls>
          <c:cat>
            <c:strRef>
              <c:f>Sheet1!$B$1:$C$1</c:f>
              <c:strCache>
                <c:ptCount val="2"/>
                <c:pt idx="0">
                  <c:v>2021年</c:v>
                </c:pt>
                <c:pt idx="1">
                  <c:v>2022年</c:v>
                </c:pt>
              </c:strCache>
            </c:strRef>
          </c:cat>
          <c:val>
            <c:numRef>
              <c:f>Sheet1!$B$2:$C$2</c:f>
              <c:numCache>
                <c:formatCode>General</c:formatCode>
                <c:ptCount val="2"/>
                <c:pt idx="0">
                  <c:v>643.62</c:v>
                </c:pt>
                <c:pt idx="1">
                  <c:v>2303.55</c:v>
                </c:pt>
              </c:numCache>
            </c:numRef>
          </c:val>
        </c:ser>
        <c:ser>
          <c:idx val="1"/>
          <c:order val="1"/>
          <c:tx>
            <c:strRef>
              <c:f>Sheet1!$A$3</c:f>
              <c:strCache>
                <c:ptCount val="1"/>
                <c:pt idx="0">
                  <c:v>支出</c:v>
                </c:pt>
              </c:strCache>
            </c:strRef>
          </c:tx>
          <c:spPr>
            <a:solidFill>
              <a:srgbClr val="993366"/>
            </a:solidFill>
            <a:ln w="12699">
              <a:solidFill>
                <a:srgbClr val="000000"/>
              </a:solidFill>
              <a:prstDash val="solid"/>
            </a:ln>
          </c:spPr>
          <c:invertIfNegative val="0"/>
          <c:dLbls>
            <c:delete val="1"/>
          </c:dLbls>
          <c:cat>
            <c:strRef>
              <c:f>Sheet1!$B$1:$C$1</c:f>
              <c:strCache>
                <c:ptCount val="2"/>
                <c:pt idx="0">
                  <c:v>2021年</c:v>
                </c:pt>
                <c:pt idx="1">
                  <c:v>2022年</c:v>
                </c:pt>
              </c:strCache>
            </c:strRef>
          </c:cat>
          <c:val>
            <c:numRef>
              <c:f>Sheet1!$B$3:$C$3</c:f>
              <c:numCache>
                <c:formatCode>General</c:formatCode>
                <c:ptCount val="2"/>
                <c:pt idx="0">
                  <c:v>643.62</c:v>
                </c:pt>
                <c:pt idx="1">
                  <c:v>2303.55</c:v>
                </c:pt>
              </c:numCache>
            </c:numRef>
          </c:val>
        </c:ser>
        <c:dLbls>
          <c:showLegendKey val="0"/>
          <c:showVal val="0"/>
          <c:showCatName val="0"/>
          <c:showSerName val="0"/>
          <c:showPercent val="0"/>
          <c:showBubbleSize val="0"/>
        </c:dLbls>
        <c:gapWidth val="150"/>
        <c:axId val="151276928"/>
        <c:axId val="117036160"/>
      </c:barChart>
      <c:catAx>
        <c:axId val="151276928"/>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17036160"/>
        <c:crosses val="autoZero"/>
        <c:auto val="1"/>
        <c:lblAlgn val="ctr"/>
        <c:lblOffset val="100"/>
        <c:tickLblSkip val="1"/>
        <c:noMultiLvlLbl val="0"/>
      </c:catAx>
      <c:valAx>
        <c:axId val="117036160"/>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51276928"/>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791018265573946"/>
          <c:y val="0.38353690863269"/>
          <c:w val="0.103063009980895"/>
          <c:h val="0.370326321150156"/>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5812277196695"/>
          <c:y val="0.106560134726126"/>
          <c:w val="0.70679241587339"/>
          <c:h val="0.711074823370792"/>
        </c:manualLayout>
      </c:layout>
      <c:barChart>
        <c:barDir val="col"/>
        <c:grouping val="clustered"/>
        <c:varyColors val="0"/>
        <c:ser>
          <c:idx val="0"/>
          <c:order val="0"/>
          <c:tx>
            <c:strRef>
              <c:f>Sheet1!$A$2</c:f>
              <c:strCache>
                <c:ptCount val="1"/>
                <c:pt idx="0">
                  <c:v>支出</c:v>
                </c:pt>
              </c:strCache>
            </c:strRef>
          </c:tx>
          <c:spPr>
            <a:solidFill>
              <a:srgbClr val="9999FF"/>
            </a:solidFill>
            <a:ln w="12700">
              <a:solidFill>
                <a:srgbClr val="000000"/>
              </a:solidFill>
              <a:prstDash val="solid"/>
            </a:ln>
          </c:spPr>
          <c:invertIfNegative val="0"/>
          <c:dLbls>
            <c:delete val="1"/>
          </c:dLbls>
          <c:cat>
            <c:strRef>
              <c:f>Sheet1!$B$1:$C$1</c:f>
              <c:strCache>
                <c:ptCount val="2"/>
                <c:pt idx="0">
                  <c:v>2021年</c:v>
                </c:pt>
                <c:pt idx="1">
                  <c:v>2022年</c:v>
                </c:pt>
              </c:strCache>
            </c:strRef>
          </c:cat>
          <c:val>
            <c:numRef>
              <c:f>Sheet1!$B$2:$C$2</c:f>
              <c:numCache>
                <c:formatCode>General</c:formatCode>
                <c:ptCount val="2"/>
                <c:pt idx="0">
                  <c:v>84.82</c:v>
                </c:pt>
                <c:pt idx="1">
                  <c:v>117.3</c:v>
                </c:pt>
              </c:numCache>
            </c:numRef>
          </c:val>
        </c:ser>
        <c:dLbls>
          <c:showLegendKey val="0"/>
          <c:showVal val="0"/>
          <c:showCatName val="0"/>
          <c:showSerName val="0"/>
          <c:showPercent val="0"/>
          <c:showBubbleSize val="0"/>
        </c:dLbls>
        <c:gapWidth val="150"/>
        <c:axId val="60727680"/>
        <c:axId val="60729216"/>
      </c:barChart>
      <c:catAx>
        <c:axId val="60727680"/>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60729216"/>
        <c:crosses val="autoZero"/>
        <c:auto val="1"/>
        <c:lblAlgn val="ctr"/>
        <c:lblOffset val="100"/>
        <c:tickLblSkip val="1"/>
        <c:noMultiLvlLbl val="0"/>
      </c:catAx>
      <c:valAx>
        <c:axId val="60729216"/>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6072768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44679946723081"/>
          <c:y val="0.266129887610203"/>
          <c:w val="0.100100090100678"/>
          <c:h val="0.328940574735852"/>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4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0"/>
    </c:view3D>
    <c:floor>
      <c:thickness val="0"/>
    </c:floor>
    <c:sideWall>
      <c:thickness val="0"/>
    </c:sideWall>
    <c:backWall>
      <c:thickness val="0"/>
    </c:backWall>
    <c:plotArea>
      <c:layout>
        <c:manualLayout>
          <c:layoutTarget val="inner"/>
          <c:xMode val="edge"/>
          <c:yMode val="edge"/>
          <c:x val="0.134216798026662"/>
          <c:y val="0.124087591240876"/>
          <c:w val="0.517957230424454"/>
          <c:h val="0.832632890585647"/>
        </c:manualLayout>
      </c:layout>
      <c:pie3DChart>
        <c:varyColors val="1"/>
        <c:ser>
          <c:idx val="0"/>
          <c:order val="0"/>
          <c:tx>
            <c:strRef>
              <c:f>Sheet1!$A$2</c:f>
              <c:strCache>
                <c:ptCount val="1"/>
                <c:pt idx="0">
                  <c:v>支出</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elete val="1"/>
          </c:dLbls>
          <c:cat>
            <c:strRef>
              <c:f>Sheet1!$B$1:$E$1</c:f>
              <c:strCache>
                <c:ptCount val="4"/>
                <c:pt idx="0">
                  <c:v>社会保障和就业支出</c:v>
                </c:pt>
                <c:pt idx="1">
                  <c:v>卫生健康支出</c:v>
                </c:pt>
                <c:pt idx="2">
                  <c:v>自然资源海洋气象等支出</c:v>
                </c:pt>
                <c:pt idx="3">
                  <c:v>住房保障支出</c:v>
                </c:pt>
              </c:strCache>
            </c:strRef>
          </c:cat>
          <c:val>
            <c:numRef>
              <c:f>Sheet1!$B$2:$E$2</c:f>
              <c:numCache>
                <c:formatCode>General</c:formatCode>
                <c:ptCount val="4"/>
                <c:pt idx="0">
                  <c:v>9.83</c:v>
                </c:pt>
                <c:pt idx="1">
                  <c:v>5.26</c:v>
                </c:pt>
                <c:pt idx="2">
                  <c:v>92.04</c:v>
                </c:pt>
                <c:pt idx="3">
                  <c:v>10.17</c:v>
                </c:pt>
              </c:numCache>
            </c:numRef>
          </c:val>
        </c:ser>
        <c:ser>
          <c:idx val="1"/>
          <c:order val="1"/>
          <c:tx>
            <c:strRef>
              <c:f>Sheet1!$A$3</c:f>
              <c:strCache>
                <c:ptCount val="1"/>
                <c:pt idx="0">
                  <c:v/>
                </c:pt>
              </c:strCache>
            </c:strRef>
          </c:tx>
          <c:spPr>
            <a:solidFill>
              <a:srgbClr val="993366"/>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elete val="1"/>
          </c:dLbls>
          <c:cat>
            <c:strRef>
              <c:f>Sheet1!$B$1:$E$1</c:f>
              <c:strCache>
                <c:ptCount val="4"/>
                <c:pt idx="0">
                  <c:v>社会保障和就业支出</c:v>
                </c:pt>
                <c:pt idx="1">
                  <c:v>卫生健康支出</c:v>
                </c:pt>
                <c:pt idx="2">
                  <c:v>自然资源海洋气象等支出</c:v>
                </c:pt>
                <c:pt idx="3">
                  <c:v>住房保障支出</c:v>
                </c:pt>
              </c:strCache>
            </c:strRef>
          </c:cat>
          <c:val>
            <c:numRef>
              <c:f>Sheet1!$B$3:$E$3</c:f>
              <c:numCache>
                <c:formatCode>General</c:formatCode>
                <c:ptCount val="4"/>
              </c:numCache>
            </c:numRef>
          </c:val>
        </c:ser>
        <c:ser>
          <c:idx val="2"/>
          <c:order val="2"/>
          <c:tx>
            <c:strRef>
              <c:f>Sheet1!$A$4</c:f>
              <c:strCache>
                <c:ptCount val="1"/>
                <c:pt idx="0">
                  <c:v/>
                </c:pt>
              </c:strCache>
            </c:strRef>
          </c:tx>
          <c:spPr>
            <a:solidFill>
              <a:srgbClr val="FFFFCC"/>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delete val="1"/>
          </c:dLbls>
          <c:cat>
            <c:strRef>
              <c:f>Sheet1!$B$1:$E$1</c:f>
              <c:strCache>
                <c:ptCount val="4"/>
                <c:pt idx="0">
                  <c:v>社会保障和就业支出</c:v>
                </c:pt>
                <c:pt idx="1">
                  <c:v>卫生健康支出</c:v>
                </c:pt>
                <c:pt idx="2">
                  <c:v>自然资源海洋气象等支出</c:v>
                </c:pt>
                <c:pt idx="3">
                  <c:v>住房保障支出</c:v>
                </c:pt>
              </c:strCache>
            </c:strRef>
          </c:cat>
          <c:val>
            <c:numRef>
              <c:f>Sheet1!$B$4:$E$4</c:f>
              <c:numCache>
                <c:formatCode>General</c:formatCode>
                <c:ptCount val="4"/>
              </c:numCache>
            </c:numRef>
          </c:val>
        </c:ser>
        <c:dLbls>
          <c:showLegendKey val="0"/>
          <c:showVal val="0"/>
          <c:showCatName val="0"/>
          <c:showSerName val="0"/>
          <c:showPercent val="0"/>
          <c:showBubbleSize val="0"/>
        </c:dLbls>
      </c:pie3DChart>
      <c:spPr>
        <a:solidFill>
          <a:srgbClr val="C0C0C0"/>
        </a:solidFill>
        <a:ln w="12700">
          <a:solidFill>
            <a:srgbClr val="808080"/>
          </a:solidFill>
          <a:prstDash val="solid"/>
        </a:ln>
      </c:spPr>
    </c:plotArea>
    <c:legend>
      <c:legendPos val="r"/>
      <c:layout>
        <c:manualLayout>
          <c:xMode val="edge"/>
          <c:yMode val="edge"/>
          <c:x val="0.775566472202051"/>
          <c:y val="0.224581775762878"/>
          <c:w val="0.152173913043478"/>
          <c:h val="0.591240875912409"/>
        </c:manualLayout>
      </c:layout>
      <c:overlay val="0"/>
      <c:spPr>
        <a:noFill/>
        <a:ln w="3175">
          <a:solidFill>
            <a:srgbClr val="000000"/>
          </a:solidFill>
          <a:prstDash val="soli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8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9D9B-BF92-43DD-8B67-E3BE169829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10267</Words>
  <Characters>10928</Characters>
  <Lines>89</Lines>
  <Paragraphs>25</Paragraphs>
  <TotalTime>4</TotalTime>
  <ScaleCrop>false</ScaleCrop>
  <LinksUpToDate>false</LinksUpToDate>
  <CharactersWithSpaces>11006</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2020-11-07T10:44:00Z</dcterms:created>
  <dc:creator>曹颖</dc:creator>
  <cp:lastModifiedBy>TDCB01</cp:lastModifiedBy>
  <cp:lastPrinted>2023-11-01T07:11:00Z</cp:lastPrinted>
  <dcterms:modified xsi:type="dcterms:W3CDTF">2024-06-27T07:57:50Z</dcterms:modified>
  <dc:title>四川省***</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7D6A5B3C1E92471AB0DDC9A6F46A047B</vt:lpwstr>
  </property>
</Properties>
</file>