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2016年省级尖山生态脆弱区植被恢复造林示范项目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(二期）</w:t>
      </w:r>
      <w:r>
        <w:rPr>
          <w:rFonts w:hint="eastAsia" w:ascii="方正小标宋简体" w:hAnsi="宋体" w:eastAsia="方正小标宋简体"/>
          <w:sz w:val="44"/>
          <w:szCs w:val="44"/>
        </w:rPr>
        <w:t>资金支出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绩效自评报告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firstLine="640" w:firstLineChars="200"/>
        <w:jc w:val="left"/>
        <w:textAlignment w:val="auto"/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2015年</w:t>
      </w:r>
      <w:r>
        <w:rPr>
          <w:rFonts w:hint="eastAsia" w:ascii="仿宋_GB2312"/>
          <w:spacing w:val="-4"/>
          <w:sz w:val="32"/>
          <w:szCs w:val="32"/>
          <w:lang w:eastAsia="zh-CN"/>
        </w:rPr>
        <w:t>市财政局提前</w:t>
      </w:r>
      <w:r>
        <w:rPr>
          <w:rFonts w:hint="eastAsia" w:ascii="仿宋_GB2312" w:eastAsia="仿宋_GB2312"/>
          <w:spacing w:val="-4"/>
          <w:sz w:val="32"/>
          <w:szCs w:val="32"/>
        </w:rPr>
        <w:t>下达</w:t>
      </w:r>
      <w:r>
        <w:rPr>
          <w:rFonts w:hint="eastAsia" w:ascii="仿宋_GB2312"/>
          <w:spacing w:val="-4"/>
          <w:sz w:val="32"/>
          <w:szCs w:val="32"/>
          <w:lang w:eastAsia="zh-CN"/>
        </w:rPr>
        <w:t>西区</w:t>
      </w:r>
      <w:r>
        <w:rPr>
          <w:rFonts w:hint="eastAsia" w:ascii="仿宋_GB2312" w:eastAsia="仿宋_GB2312"/>
          <w:spacing w:val="-4"/>
          <w:sz w:val="32"/>
          <w:szCs w:val="32"/>
        </w:rPr>
        <w:t>201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4"/>
          <w:sz w:val="32"/>
          <w:szCs w:val="32"/>
        </w:rPr>
        <w:t>年省级重点生态功能区转移支付资金700万元</w:t>
      </w:r>
      <w:r>
        <w:rPr>
          <w:rFonts w:hint="eastAsia" w:ascii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-4"/>
          <w:sz w:val="32"/>
          <w:szCs w:val="32"/>
        </w:rPr>
        <w:t>攀财农〔2015〕5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pacing w:val="-4"/>
          <w:sz w:val="32"/>
          <w:szCs w:val="32"/>
        </w:rPr>
        <w:t>号</w:t>
      </w:r>
      <w:r>
        <w:rPr>
          <w:rFonts w:hint="eastAsia" w:ascii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-4"/>
          <w:sz w:val="32"/>
          <w:szCs w:val="32"/>
        </w:rPr>
        <w:t>，</w:t>
      </w:r>
      <w:r>
        <w:rPr>
          <w:rFonts w:hint="eastAsia" w:ascii="仿宋_GB2312"/>
          <w:spacing w:val="-4"/>
          <w:sz w:val="32"/>
          <w:szCs w:val="32"/>
          <w:lang w:eastAsia="zh-CN"/>
        </w:rPr>
        <w:t>原区农林畜牧局上报区政府申请将该资金</w:t>
      </w:r>
      <w:r>
        <w:rPr>
          <w:rFonts w:hint="eastAsia" w:ascii="仿宋_GB2312" w:eastAsia="仿宋_GB2312"/>
          <w:spacing w:val="-4"/>
          <w:sz w:val="32"/>
          <w:szCs w:val="32"/>
        </w:rPr>
        <w:t>用于西区</w:t>
      </w:r>
      <w:r>
        <w:rPr>
          <w:rFonts w:hint="eastAsia" w:ascii="仿宋_GB2312" w:eastAsia="仿宋_GB2312"/>
          <w:sz w:val="32"/>
          <w:szCs w:val="32"/>
        </w:rPr>
        <w:t>尖山生态脆弱区植被恢复项目（</w:t>
      </w:r>
      <w:r>
        <w:rPr>
          <w:rFonts w:hint="eastAsia" w:ascii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期）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负责和组织对项目的监督和管理工作。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lang w:val="zh-CN"/>
        </w:rPr>
        <w:t>2.</w:t>
      </w:r>
      <w:r>
        <w:rPr>
          <w:rFonts w:hint="eastAsia"/>
          <w:color w:val="auto"/>
          <w:lang w:val="en-US" w:eastAsia="zh-CN"/>
        </w:rPr>
        <w:t>根据上级主管部门下达任务进行项目预算和执行。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color w:val="auto"/>
          <w:lang w:val="en-US" w:eastAsia="zh-CN"/>
        </w:rPr>
        <w:t>严格项目资金管理，结合项目特点不断完善资金监管措施，完善相关资金管理办法，保障项目资金的安全运行、合规使用、合理使用，促进项目资金使用效益的充分发挥。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1.</w:t>
      </w:r>
      <w:r>
        <w:rPr>
          <w:lang w:val="zh-CN"/>
        </w:rPr>
        <w:t>项目主要内容</w:t>
      </w:r>
      <w:r>
        <w:rPr>
          <w:rFonts w:hint="eastAsia"/>
          <w:lang w:val="zh-CN"/>
        </w:rPr>
        <w:t>：</w:t>
      </w:r>
      <w:r>
        <w:rPr>
          <w:rFonts w:hint="eastAsia" w:ascii="仿宋_GB2312"/>
          <w:sz w:val="32"/>
          <w:szCs w:val="32"/>
          <w:lang w:eastAsia="zh-CN"/>
        </w:rPr>
        <w:t>总投资</w:t>
      </w:r>
      <w:r>
        <w:rPr>
          <w:rFonts w:hint="eastAsia" w:ascii="仿宋_GB2312" w:eastAsia="仿宋_GB2312"/>
          <w:sz w:val="32"/>
          <w:szCs w:val="32"/>
        </w:rPr>
        <w:t>700万元，实施地点新庄村尖山，该项目山体森林植被恢复502余亩，栽植树种以滇榄仁、三角梅、凤凰树、蓝花楹等树种3万余株，修建200m³水池1口、修建防火瞭望亭2座、防火车道778米。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lang w:val="zh-CN"/>
        </w:rPr>
        <w:t xml:space="preserve">2. </w:t>
      </w:r>
      <w:r>
        <w:rPr>
          <w:rFonts w:hint="eastAsia"/>
          <w:color w:val="auto"/>
          <w:lang w:val="en-US" w:eastAsia="zh-CN"/>
        </w:rPr>
        <w:t>项目设立依据充分，进度安排合理，具有良好的社会效益，可持续影响明显，工作开展成效明显。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黑体" w:hAnsi="宋体" w:eastAsia="黑体"/>
        </w:rPr>
      </w:pPr>
      <w:r>
        <w:rPr>
          <w:rFonts w:hint="eastAsia"/>
          <w:color w:val="auto"/>
          <w:lang w:val="zh-CN"/>
        </w:rPr>
        <w:t>该项目</w:t>
      </w:r>
      <w:r>
        <w:rPr>
          <w:color w:val="auto"/>
          <w:lang w:val="zh-CN"/>
        </w:rPr>
        <w:t>申报内容与实际相符，申报目标合理可行。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 w:val="0"/>
          <w:lang w:val="zh-CN"/>
        </w:rPr>
      </w:pPr>
      <w:r>
        <w:rPr>
          <w:rFonts w:hint="eastAsia" w:ascii="仿宋_GB2312" w:hAnsi="宋体"/>
          <w:b w:val="0"/>
          <w:bCs w:val="0"/>
          <w:lang w:val="zh-CN"/>
        </w:rPr>
        <w:tab/>
      </w:r>
      <w:r>
        <w:rPr>
          <w:rFonts w:hint="eastAsia" w:ascii="楷体_GB2312" w:hAnsi="宋体" w:eastAsia="楷体_GB2312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3" w:firstLineChars="200"/>
        <w:jc w:val="left"/>
        <w:textAlignment w:val="auto"/>
        <w:rPr>
          <w:rFonts w:ascii="仿宋_GB2312" w:hAnsi="宋体"/>
          <w:color w:val="auto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1．资金计划及到位。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2015年</w:t>
      </w:r>
      <w:r>
        <w:rPr>
          <w:rFonts w:hint="eastAsia" w:ascii="仿宋_GB2312"/>
          <w:spacing w:val="-4"/>
          <w:sz w:val="32"/>
          <w:szCs w:val="32"/>
          <w:lang w:eastAsia="zh-CN"/>
        </w:rPr>
        <w:t>市财政局提前</w:t>
      </w:r>
      <w:r>
        <w:rPr>
          <w:rFonts w:hint="eastAsia" w:ascii="仿宋_GB2312" w:eastAsia="仿宋_GB2312"/>
          <w:spacing w:val="-4"/>
          <w:sz w:val="32"/>
          <w:szCs w:val="32"/>
        </w:rPr>
        <w:t>下达</w:t>
      </w:r>
      <w:r>
        <w:rPr>
          <w:rFonts w:hint="eastAsia" w:ascii="仿宋_GB2312"/>
          <w:spacing w:val="-4"/>
          <w:sz w:val="32"/>
          <w:szCs w:val="32"/>
          <w:lang w:eastAsia="zh-CN"/>
        </w:rPr>
        <w:t>西区</w:t>
      </w:r>
      <w:r>
        <w:rPr>
          <w:rFonts w:hint="eastAsia" w:ascii="仿宋_GB2312" w:eastAsia="仿宋_GB2312"/>
          <w:spacing w:val="-4"/>
          <w:sz w:val="32"/>
          <w:szCs w:val="32"/>
        </w:rPr>
        <w:t>201</w:t>
      </w:r>
      <w:r>
        <w:rPr>
          <w:rFonts w:hint="eastAsia" w:ascii="仿宋_GB2312"/>
          <w:spacing w:val="-4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4"/>
          <w:sz w:val="32"/>
          <w:szCs w:val="32"/>
        </w:rPr>
        <w:t>年省级重点生态功能区转移支付资金700万元</w:t>
      </w:r>
      <w:r>
        <w:rPr>
          <w:rFonts w:hint="eastAsia" w:ascii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-4"/>
          <w:sz w:val="32"/>
          <w:szCs w:val="32"/>
        </w:rPr>
        <w:t>攀财农〔2015〕57号</w:t>
      </w:r>
      <w:r>
        <w:rPr>
          <w:rFonts w:hint="eastAsia" w:ascii="仿宋_GB2312"/>
          <w:spacing w:val="-4"/>
          <w:sz w:val="32"/>
          <w:szCs w:val="32"/>
          <w:lang w:eastAsia="zh-CN"/>
        </w:rPr>
        <w:t>），原区农林畜牧局将该项资金用于</w:t>
      </w:r>
      <w:r>
        <w:rPr>
          <w:rFonts w:hint="eastAsia" w:ascii="仿宋_GB2312" w:eastAsia="仿宋_GB2312"/>
          <w:spacing w:val="-4"/>
          <w:sz w:val="32"/>
          <w:szCs w:val="32"/>
        </w:rPr>
        <w:t>西区</w:t>
      </w:r>
      <w:r>
        <w:rPr>
          <w:rFonts w:hint="eastAsia" w:ascii="仿宋_GB2312" w:eastAsia="仿宋_GB2312"/>
          <w:sz w:val="32"/>
          <w:szCs w:val="32"/>
        </w:rPr>
        <w:t>尖山生态脆弱区植被恢复项目（</w:t>
      </w:r>
      <w:r>
        <w:rPr>
          <w:rFonts w:hint="eastAsia" w:ascii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期）</w:t>
      </w:r>
      <w:r>
        <w:rPr>
          <w:rFonts w:hint="eastAsia" w:ascii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2023年该项目追加资金55万元，实际到位资金55万元，支付55万元</w:t>
      </w:r>
      <w:r>
        <w:rPr>
          <w:rFonts w:hint="eastAsia" w:ascii="仿宋_GB2312" w:hAnsi="仿宋_GB2312" w:eastAsia="仿宋_GB2312"/>
          <w:color w:val="auto"/>
          <w:spacing w:val="-4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53" w:lineRule="auto"/>
        <w:ind w:firstLine="643" w:firstLineChars="200"/>
        <w:textAlignment w:val="auto"/>
        <w:rPr>
          <w:rFonts w:hint="eastAsia" w:ascii="仿宋_GB2312" w:eastAsia="仿宋_GB2312"/>
          <w:color w:val="FF000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  <w:t>2．资金使用。</w:t>
      </w:r>
      <w:r>
        <w:rPr>
          <w:rFonts w:hint="eastAsia" w:ascii="仿宋_GB2312" w:hAnsi="仿宋_GB2312" w:eastAsia="仿宋_GB2312" w:cs="仿宋_GB2312"/>
          <w:b w:val="0"/>
          <w:bCs/>
          <w:lang w:val="zh-CN"/>
        </w:rPr>
        <w:t>项目资金</w:t>
      </w:r>
      <w:r>
        <w:rPr>
          <w:rFonts w:hint="eastAsia" w:ascii="仿宋_GB2312" w:hAnsi="仿宋_GB2312" w:eastAsia="仿宋_GB2312" w:cs="仿宋_GB2312"/>
          <w:b w:val="0"/>
          <w:bCs/>
          <w:spacing w:val="-4"/>
          <w:kern w:val="0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省财政厅关于印发《四川省国家重点生态功能区转移支付资金管理办法》的通知的相关规定进行管理，实行专帐管理，专款专用，专项核算，严格使用范围，严禁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挪作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用</w:t>
      </w:r>
      <w:bookmarkEnd w:id="0"/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，定期检查资金活动情况，发现问题及时处理，确保专项资金使用合理，以求达到最大的投资效益，确保资金使用无重大违规违纪问题。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截至目前，累计支付项目资金474.11万元，其中2023年支付资金55万元。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40" w:firstLineChars="200"/>
        <w:jc w:val="left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根据财政资金管理办法的有关规定，项目</w:t>
      </w:r>
      <w:r>
        <w:rPr>
          <w:lang w:val="zh-CN"/>
        </w:rPr>
        <w:t>项目实施单位财务管理制度是健全</w:t>
      </w:r>
      <w:r>
        <w:rPr>
          <w:rFonts w:hint="eastAsia"/>
          <w:lang w:val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资金严格执行财务制度和考核制度，实行报账制，层层审核。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项目由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农林畜牧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局会同区财政局、格里坪镇通过研究协商和实地调查，由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农林畜牧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局向市林业局和省林草局提出项目申请，指标下达后由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农林畜牧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局牵头组织实施，格里坪镇和村社协助项目实施，由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区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zh-CN"/>
        </w:rPr>
        <w:t>农林畜牧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局负责项目质量管理和检查验收，项目竣工验收后区财政局负责资金拨付。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宋体"/>
          <w:lang w:val="zh-CN"/>
        </w:rPr>
        <w:t>总投资</w:t>
      </w:r>
      <w:r>
        <w:rPr>
          <w:rFonts w:hint="eastAsia" w:ascii="仿宋_GB2312" w:hAnsi="宋体"/>
          <w:lang w:val="en-US" w:eastAsia="zh-CN"/>
        </w:rPr>
        <w:t>700万元，</w:t>
      </w:r>
      <w:r>
        <w:rPr>
          <w:rFonts w:hint="eastAsia" w:ascii="仿宋_GB2312" w:eastAsia="仿宋_GB2312"/>
          <w:sz w:val="32"/>
          <w:szCs w:val="32"/>
        </w:rPr>
        <w:t>山体森林植被恢复502余亩，栽植树种以滇榄仁、三角梅、凤凰树、蓝花楹等树种3万余株，修建200m³水池1口、修建防火瞭望亭2座、防火车道778米。</w:t>
      </w:r>
      <w:r>
        <w:rPr>
          <w:rFonts w:hint="eastAsia" w:ascii="仿宋_GB2312" w:hAnsi="宋体"/>
          <w:lang w:val="zh-CN"/>
        </w:rPr>
        <w:t>该项目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设计单位为攀枝花原之景园林工程有限公司，中标价为25万元，项目监理单位为四川力嘉工程项目管理有限公司，中标价为9.8万元，</w:t>
      </w:r>
      <w:r>
        <w:rPr>
          <w:rFonts w:hint="eastAsia" w:ascii="仿宋_GB2312" w:hAnsi="宋体" w:eastAsia="仿宋_GB2312"/>
          <w:sz w:val="32"/>
          <w:szCs w:val="32"/>
        </w:rPr>
        <w:t>项目施工单位为四川长江生态景观建设有限公司，中标价556万。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于2017年10月开工，于2018年11月项目全部完工，现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该项目已全部完工并已进行竣工结算，结算价为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>550.4727万元。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left="640"/>
        <w:textAlignment w:val="auto"/>
        <w:rPr>
          <w:rFonts w:ascii="仿宋_GB2312" w:hAnsi="楷体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1</w:t>
      </w: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4" w:firstLineChars="200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通过项目</w:t>
      </w:r>
      <w:r>
        <w:rPr>
          <w:rFonts w:hint="eastAsia" w:ascii="仿宋_GB2312"/>
          <w:spacing w:val="-4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spacing w:val="-4"/>
          <w:sz w:val="32"/>
          <w:szCs w:val="32"/>
        </w:rPr>
        <w:t>，新增城郊森林面积500余亩，增加森林覆盖率0.3%，有效保持水土1000余立方米，每年减少水体流失1100立方米。同时还具有调节气候、涵养水源、改良土壤、防沙固土、降尘减污等方面作用，改善区域生态和人居环境，提高人居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7" w:firstLineChars="200"/>
        <w:textAlignment w:val="auto"/>
        <w:rPr>
          <w:rFonts w:ascii="仿宋_GB2312" w:hAnsi="楷体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2</w:t>
      </w: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用于支付该项目进度款，巩固了项目建设成效，保障了社会稳定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7" w:firstLineChars="200"/>
        <w:textAlignment w:val="auto"/>
        <w:rPr>
          <w:rFonts w:ascii="仿宋_GB2312" w:hAnsi="楷体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3</w:t>
      </w:r>
      <w:r>
        <w:rPr>
          <w:rFonts w:hint="eastAsia" w:ascii="仿宋_GB2312" w:hAnsi="楷体"/>
          <w:b/>
          <w:bCs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/>
          <w:b/>
          <w:bCs/>
          <w:spacing w:val="-4"/>
          <w:sz w:val="32"/>
          <w:szCs w:val="32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4" w:firstLineChars="200"/>
        <w:textAlignment w:val="auto"/>
        <w:rPr>
          <w:rFonts w:hint="eastAsia" w:ascii="黑体" w:hAnsi="宋体" w:eastAsia="黑体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尖山地处清香坪主城视野区，通过生态恢复和景观打造，恢复项目区地表植被，增加绿地面积，促进自然生态系统的恢复，使其逐步向良性循环发展，可有效改善西区主城近景观，同时健身步道、观光瞭望亭、廊参与性和互动性极强，和金沙水库相互映衬，形成整体效应，对西区社会经济发展、对外引资、创业，特别是房地产、阳光康养旅游带来间接的潜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1040" w:firstLineChars="325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val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zh-CN"/>
        </w:rPr>
        <w:t>资金支付滞后。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720" w:firstLineChars="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53" w:lineRule="auto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val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zh-CN"/>
        </w:rPr>
        <w:t>积极与区财政协调，加快项目资金支付进度。</w:t>
      </w:r>
    </w:p>
    <w:p>
      <w:pPr>
        <w:pStyle w:val="2"/>
        <w:numPr>
          <w:ilvl w:val="0"/>
          <w:numId w:val="0"/>
        </w:numPr>
        <w:ind w:left="720" w:leftChars="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1A633"/>
    <w:multiLevelType w:val="singleLevel"/>
    <w:tmpl w:val="67E1A6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2875C16"/>
    <w:rsid w:val="0EDB478C"/>
    <w:rsid w:val="16151E50"/>
    <w:rsid w:val="26DE78CA"/>
    <w:rsid w:val="274D3E1C"/>
    <w:rsid w:val="291C455A"/>
    <w:rsid w:val="2CAA7C52"/>
    <w:rsid w:val="36926D0C"/>
    <w:rsid w:val="45946160"/>
    <w:rsid w:val="4A091ED0"/>
    <w:rsid w:val="4A2A1418"/>
    <w:rsid w:val="4D9D38CE"/>
    <w:rsid w:val="4DAF2BCF"/>
    <w:rsid w:val="4DDB6F66"/>
    <w:rsid w:val="584E0BB4"/>
    <w:rsid w:val="59CB07DA"/>
    <w:rsid w:val="65473A89"/>
    <w:rsid w:val="68127C23"/>
    <w:rsid w:val="792F2AEE"/>
    <w:rsid w:val="7F897C8B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260" w:after="260" w:line="416" w:lineRule="auto"/>
      <w:outlineLvl w:val="1"/>
    </w:pPr>
    <w:rPr>
      <w:rFonts w:asci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办公室（发文）</cp:lastModifiedBy>
  <dcterms:modified xsi:type="dcterms:W3CDTF">2024-06-11T08:55:48Z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