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rPr>
          <w:rFonts w:ascii="宋体" w:hAnsi="宋体" w:eastAsia="宋体"/>
          <w:sz w:val="30"/>
          <w:szCs w:val="30"/>
        </w:rPr>
      </w:pPr>
    </w:p>
    <w:p>
      <w:pPr>
        <w:pStyle w:val="5"/>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2023年</w:t>
      </w:r>
      <w:r>
        <w:rPr>
          <w:rFonts w:hint="eastAsia" w:ascii="方正小标宋简体" w:hAnsi="宋体" w:eastAsia="方正小标宋简体"/>
          <w:sz w:val="44"/>
          <w:szCs w:val="44"/>
        </w:rPr>
        <w:t>生猪屠宰环节无害化处理补贴</w:t>
      </w:r>
    </w:p>
    <w:p>
      <w:pPr>
        <w:pStyle w:val="5"/>
        <w:spacing w:line="560" w:lineRule="exact"/>
        <w:ind w:firstLine="1320" w:firstLineChars="300"/>
        <w:jc w:val="both"/>
        <w:rPr>
          <w:rFonts w:ascii="宋体" w:hAnsi="宋体"/>
          <w:color w:val="auto"/>
          <w:kern w:val="2"/>
          <w:sz w:val="32"/>
          <w:szCs w:val="32"/>
        </w:rPr>
      </w:pPr>
      <w:r>
        <w:rPr>
          <w:rFonts w:hint="eastAsia" w:ascii="方正小标宋简体" w:hAnsi="宋体" w:eastAsia="方正小标宋简体"/>
          <w:sz w:val="44"/>
          <w:szCs w:val="44"/>
        </w:rPr>
        <w:t>专项预算项目支出绩效自评报告</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hint="eastAsia" w:ascii="黑体" w:hAnsi="宋体" w:eastAsia="黑体"/>
          <w:lang w:val="zh-CN"/>
        </w:rPr>
      </w:pPr>
      <w:r>
        <w:rPr>
          <w:rFonts w:hint="eastAsia" w:ascii="黑体" w:hAnsi="宋体" w:eastAsia="黑体"/>
        </w:rPr>
        <w:t>一、</w:t>
      </w:r>
      <w:r>
        <w:rPr>
          <w:rFonts w:hint="eastAsia" w:ascii="黑体" w:hAnsi="宋体" w:eastAsia="黑体"/>
          <w:lang w:val="zh-CN"/>
        </w:rPr>
        <w:t>项目概况</w:t>
      </w:r>
      <w:bookmarkStart w:id="0" w:name="_GoBack"/>
      <w:bookmarkEnd w:id="0"/>
    </w:p>
    <w:p>
      <w:pPr>
        <w:adjustRightInd w:val="0"/>
        <w:snapToGrid w:val="0"/>
        <w:spacing w:line="560" w:lineRule="exact"/>
        <w:ind w:firstLine="720"/>
        <w:rPr>
          <w:rFonts w:ascii="仿宋_GB2312" w:hAnsi="微软雅黑" w:cs="宋体"/>
          <w:bCs/>
          <w:color w:val="333333"/>
          <w:kern w:val="36"/>
        </w:rPr>
      </w:pPr>
      <w:r>
        <w:rPr>
          <w:rFonts w:hint="eastAsia" w:ascii="仿宋_GB2312" w:hAnsi="微软雅黑" w:cs="宋体"/>
          <w:bCs/>
          <w:color w:val="333333"/>
          <w:kern w:val="36"/>
        </w:rPr>
        <w:t>根据《四川省财政厅四川省农业厅关于做好生猪屠宰环节无害化处理经费保障及相关工作的通知》（川财农〔2016〕209 号）《四川省农业厅、四川省财政厅关于做好屠宰环节病害猪无害化处理工作的通知》（川农业函〔2018〕361 号）和《攀枝花市农牧局 攀枝花市财政局关于做好生猪屠宰环节病害猪无害化处理相关工作的通知》（攀农牧发〔2018〕133 号）文件,</w:t>
      </w:r>
      <w:r>
        <w:rPr>
          <w:rFonts w:hint="eastAsia" w:cs="宋体"/>
          <w:bCs/>
        </w:rPr>
        <w:t xml:space="preserve"> </w:t>
      </w:r>
      <w:r>
        <w:rPr>
          <w:rFonts w:hint="eastAsia" w:ascii="仿宋_GB2312" w:hAnsi="微软雅黑" w:cs="宋体"/>
          <w:bCs/>
          <w:color w:val="333333"/>
          <w:kern w:val="36"/>
        </w:rPr>
        <w:t>市级下达专项资金保障生猪屠宰环节无害化处理的实施，现就202</w:t>
      </w:r>
      <w:r>
        <w:rPr>
          <w:rFonts w:hint="eastAsia" w:ascii="仿宋_GB2312" w:hAnsi="微软雅黑" w:cs="宋体"/>
          <w:bCs/>
          <w:color w:val="333333"/>
          <w:kern w:val="36"/>
          <w:lang w:val="en-US" w:eastAsia="zh-CN"/>
        </w:rPr>
        <w:t>3</w:t>
      </w:r>
      <w:r>
        <w:rPr>
          <w:rFonts w:hint="eastAsia" w:ascii="仿宋_GB2312" w:hAnsi="微软雅黑" w:cs="宋体"/>
          <w:bCs/>
          <w:color w:val="333333"/>
          <w:kern w:val="36"/>
        </w:rPr>
        <w:t>年生猪屠宰环节无害化处理补助资金专项预算项目支出绩效自评工作的有关事项报告如下：</w:t>
      </w:r>
    </w:p>
    <w:p>
      <w:pPr>
        <w:adjustRightInd w:val="0"/>
        <w:snapToGrid w:val="0"/>
        <w:spacing w:line="560" w:lineRule="exact"/>
        <w:ind w:firstLine="720"/>
        <w:rPr>
          <w:rFonts w:hint="eastAsia" w:ascii="仿宋_GB2312" w:hAnsi="微软雅黑" w:cs="宋体"/>
          <w:bCs/>
          <w:color w:val="333333"/>
          <w:kern w:val="36"/>
        </w:rPr>
      </w:pPr>
      <w:r>
        <w:rPr>
          <w:rFonts w:hint="eastAsia" w:ascii="楷体_GB2312" w:hAnsi="宋体" w:eastAsia="楷体_GB2312"/>
          <w:b/>
          <w:lang w:val="zh-CN"/>
        </w:rPr>
        <w:t>（一）项目资金申报及批复情况。</w:t>
      </w:r>
      <w:r>
        <w:rPr>
          <w:rFonts w:hint="eastAsia" w:ascii="仿宋_GB2312" w:hAnsi="微软雅黑" w:cs="宋体"/>
          <w:bCs/>
          <w:color w:val="333333"/>
          <w:kern w:val="36"/>
        </w:rPr>
        <w:t>该项目为市级资金6.</w:t>
      </w:r>
      <w:r>
        <w:rPr>
          <w:rFonts w:hint="eastAsia" w:ascii="仿宋_GB2312" w:hAnsi="微软雅黑" w:cs="宋体"/>
          <w:bCs/>
          <w:color w:val="333333"/>
          <w:kern w:val="36"/>
          <w:lang w:val="en-US" w:eastAsia="zh-CN"/>
        </w:rPr>
        <w:t>072</w:t>
      </w:r>
      <w:r>
        <w:rPr>
          <w:rFonts w:hint="eastAsia" w:ascii="仿宋_GB2312" w:hAnsi="微软雅黑" w:cs="宋体"/>
          <w:bCs/>
          <w:color w:val="333333"/>
          <w:kern w:val="36"/>
        </w:rPr>
        <w:t>万元，资金已全面下达。</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（二）项目绩效目标。</w:t>
      </w:r>
      <w:r>
        <w:rPr>
          <w:rFonts w:hint="eastAsia" w:ascii="仿宋_GB2312" w:hAnsi="微软雅黑" w:cs="宋体"/>
          <w:bCs/>
          <w:color w:val="333333"/>
          <w:kern w:val="36"/>
        </w:rPr>
        <w:t>对进行病死病害猪及产品无害化处理的货主和屠宰场无害化费用进行补助。促进我区生猪生产健康发展，有效防控重大动物疾病，减少随意抛弃病死猪而出现的环境污染，保障畜产品质量安全</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微软雅黑" w:cs="宋体"/>
          <w:bCs/>
          <w:color w:val="333333"/>
          <w:kern w:val="36"/>
        </w:rPr>
        <w:t>生猪屠宰环节无害化处理补助项目与具体实施内容相符、申报目标合理可行。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widowControl/>
        <w:shd w:val="clear" w:color="auto" w:fill="FFFFFF"/>
        <w:spacing w:line="504" w:lineRule="atLeast"/>
        <w:ind w:firstLine="640" w:firstLineChars="200"/>
        <w:jc w:val="left"/>
        <w:outlineLvl w:val="1"/>
        <w:rPr>
          <w:rFonts w:ascii="仿宋_GB2312" w:hAnsi="微软雅黑" w:cs="宋体"/>
          <w:bCs/>
          <w:color w:val="333333"/>
          <w:kern w:val="36"/>
        </w:rPr>
      </w:pPr>
      <w:r>
        <w:rPr>
          <w:rFonts w:hint="eastAsia" w:ascii="仿宋_GB2312" w:hAnsi="微软雅黑" w:cs="宋体"/>
          <w:bCs/>
          <w:color w:val="333333"/>
          <w:kern w:val="36"/>
        </w:rPr>
        <w:t>1.资金到位情况。该补助项目资金已全部到位。</w:t>
      </w:r>
    </w:p>
    <w:p>
      <w:pPr>
        <w:widowControl/>
        <w:shd w:val="clear" w:color="auto" w:fill="FFFFFF"/>
        <w:spacing w:line="504" w:lineRule="atLeast"/>
        <w:ind w:firstLine="640" w:firstLineChars="200"/>
        <w:jc w:val="left"/>
        <w:outlineLvl w:val="1"/>
        <w:rPr>
          <w:rFonts w:ascii="仿宋_GB2312" w:hAnsi="微软雅黑" w:cs="宋体"/>
          <w:bCs/>
          <w:color w:val="333333"/>
          <w:kern w:val="36"/>
        </w:rPr>
      </w:pPr>
      <w:r>
        <w:rPr>
          <w:rFonts w:hint="eastAsia" w:ascii="仿宋_GB2312" w:hAnsi="微软雅黑" w:cs="宋体"/>
          <w:bCs/>
          <w:color w:val="333333"/>
          <w:kern w:val="36"/>
        </w:rPr>
        <w:t>2.资金使用情况。项目支出共计6.</w:t>
      </w:r>
      <w:r>
        <w:rPr>
          <w:rFonts w:hint="eastAsia" w:ascii="仿宋_GB2312" w:hAnsi="微软雅黑" w:cs="宋体"/>
          <w:bCs/>
          <w:color w:val="333333"/>
          <w:kern w:val="36"/>
          <w:lang w:val="en-US" w:eastAsia="zh-CN"/>
        </w:rPr>
        <w:t>072</w:t>
      </w:r>
      <w:r>
        <w:rPr>
          <w:rFonts w:hint="eastAsia" w:ascii="仿宋_GB2312" w:hAnsi="微软雅黑" w:cs="宋体"/>
          <w:bCs/>
          <w:color w:val="333333"/>
          <w:kern w:val="36"/>
        </w:rPr>
        <w:t>万元，支付依据合规合法，资金支付与预算相符。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widowControl/>
        <w:shd w:val="clear" w:color="auto" w:fill="FFFFFF"/>
        <w:spacing w:line="504" w:lineRule="atLeast"/>
        <w:ind w:firstLine="480"/>
        <w:jc w:val="left"/>
        <w:outlineLvl w:val="1"/>
        <w:rPr>
          <w:rFonts w:ascii="仿宋_GB2312" w:hAnsi="微软雅黑" w:cs="宋体"/>
          <w:bCs/>
          <w:color w:val="333333"/>
          <w:kern w:val="36"/>
        </w:rPr>
      </w:pPr>
      <w:r>
        <w:rPr>
          <w:rFonts w:hint="eastAsia" w:ascii="仿宋_GB2312" w:hAnsi="微软雅黑" w:cs="宋体"/>
          <w:bCs/>
          <w:color w:val="333333"/>
          <w:kern w:val="36"/>
        </w:rPr>
        <w:t>生猪屠宰环节无害化处理补助项目采取授权支付形式，由区农业农村和交通运输局申请补助资金，区财政局严格按照项目资金管理办法，对项目资金进行划拨、监管使用，区农业农村和交通运输局及时对项目资金进行计划申请，规范的对收支进行账务处理和会计核算，严格加强项目资金管理。</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widowControl/>
        <w:shd w:val="clear" w:color="auto" w:fill="FFFFFF"/>
        <w:spacing w:line="504" w:lineRule="atLeast"/>
        <w:ind w:firstLine="640" w:firstLineChars="200"/>
        <w:jc w:val="left"/>
        <w:outlineLvl w:val="1"/>
        <w:rPr>
          <w:rFonts w:ascii="仿宋_GB2312" w:hAnsi="微软雅黑" w:cs="宋体"/>
          <w:bCs/>
          <w:color w:val="333333"/>
          <w:kern w:val="36"/>
        </w:rPr>
      </w:pPr>
      <w:r>
        <w:rPr>
          <w:rFonts w:hint="eastAsia" w:ascii="仿宋_GB2312" w:hAnsi="微软雅黑" w:cs="宋体"/>
          <w:bCs/>
          <w:color w:val="333333"/>
          <w:kern w:val="36"/>
        </w:rPr>
        <w:t>生猪屠宰环节无害化处理补助项目用于货主的病害猪损失补贴和无害化处理费用补贴，病害猪损失补贴 800 元/头，无害化处理费用补贴 80 元/头，经检疫或肉品品质检疫确认为不可食用的生猪产品，按 90 公斤折算 1 头的标准享受补贴。屠宰环节发现的病害生猪及产品在动物检疫员的监督下进行无害化处理，生猪屠宰企业把损失补贴先行垫付给货主，屠宰企业向我局申报兑现补贴资金，经过审核和公示，无异议后将损失补贴和处理费用补贴资金进行拨付。</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widowControl/>
        <w:shd w:val="clear" w:color="auto" w:fill="FFFFFF"/>
        <w:spacing w:line="504" w:lineRule="atLeast"/>
        <w:ind w:firstLine="480"/>
        <w:jc w:val="left"/>
        <w:outlineLvl w:val="1"/>
        <w:rPr>
          <w:rFonts w:ascii="仿宋_GB2312" w:hAnsi="微软雅黑" w:cs="宋体"/>
          <w:bCs/>
          <w:color w:val="333333"/>
          <w:kern w:val="36"/>
        </w:rPr>
      </w:pPr>
      <w:r>
        <w:rPr>
          <w:rFonts w:hint="eastAsia" w:ascii="楷体_GB2312" w:hAnsi="宋体" w:eastAsia="楷体_GB2312"/>
          <w:b/>
          <w:lang w:val="zh-CN"/>
        </w:rPr>
        <w:t>（一）项目完成情况。</w:t>
      </w:r>
      <w:r>
        <w:rPr>
          <w:rFonts w:hint="eastAsia" w:ascii="仿宋_GB2312" w:hAnsi="微软雅黑" w:cs="宋体"/>
          <w:bCs/>
          <w:color w:val="333333"/>
          <w:kern w:val="36"/>
        </w:rPr>
        <w:t>依法实施生猪屠宰环节无害化处理相关工作，屠宰前经检疫检验，确认为国家规定的病害活猪、病死或死因不明的生猪，屠宰过程中经检疫或肉品品质检验确认为不可食用的生猪产品，100%进行了无害化处理，保障了生猪产品质量安全。</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r>
        <w:rPr>
          <w:rFonts w:hint="eastAsia" w:ascii="仿宋_GB2312" w:hAnsi="微软雅黑" w:cs="宋体"/>
          <w:bCs/>
          <w:color w:val="333333"/>
          <w:kern w:val="36"/>
        </w:rPr>
        <w:t>对屠宰环节病死病害猪无害化处理，促进我区生猪生产健康发展，有效防控重大动物疾病，减少随意抛弃病死猪而出现的环境污染，保障畜了产品质量安全。</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（一）存在的问题。无</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（二）相关建议。</w:t>
      </w:r>
      <w:r>
        <w:rPr>
          <w:rFonts w:hint="eastAsia" w:ascii="仿宋_GB2312" w:hAnsi="宋体"/>
          <w:lang w:val="zh-CN"/>
        </w:rPr>
        <w:t>无</w:t>
      </w:r>
    </w:p>
    <w:p>
      <w:pPr>
        <w:adjustRightInd w:val="0"/>
        <w:snapToGrid w:val="0"/>
        <w:spacing w:line="560" w:lineRule="exact"/>
        <w:ind w:firstLine="720"/>
        <w:rPr>
          <w:rFonts w:ascii="仿宋_GB2312" w:hAnsi="宋体"/>
          <w:lang w:val="zh-CN"/>
        </w:rPr>
      </w:pPr>
    </w:p>
    <w:p>
      <w:pPr>
        <w:adjustRightInd w:val="0"/>
        <w:snapToGrid w:val="0"/>
        <w:spacing w:line="560" w:lineRule="exact"/>
        <w:ind w:firstLine="720"/>
      </w:pPr>
    </w:p>
    <w:p>
      <w:pPr>
        <w:adjustRightInd w:val="0"/>
        <w:snapToGrid w:val="0"/>
        <w:spacing w:line="560" w:lineRule="exact"/>
        <w:ind w:firstLine="3040" w:firstLineChars="950"/>
      </w:pPr>
      <w:r>
        <w:rPr>
          <w:rFonts w:hint="eastAsia"/>
        </w:rPr>
        <w:t>攀枝花市西区农业农村和交通运输局</w:t>
      </w:r>
    </w:p>
    <w:p>
      <w:pPr>
        <w:adjustRightInd w:val="0"/>
        <w:snapToGrid w:val="0"/>
        <w:spacing w:line="560" w:lineRule="exact"/>
        <w:ind w:firstLine="4800" w:firstLineChars="1500"/>
      </w:pPr>
      <w:r>
        <w:rPr>
          <w:rFonts w:hint="eastAsia"/>
        </w:rPr>
        <w:t>202</w:t>
      </w:r>
      <w:r>
        <w:rPr>
          <w:rFonts w:hint="eastAsia"/>
          <w:lang w:val="en-US" w:eastAsia="zh-CN"/>
        </w:rPr>
        <w:t>4</w:t>
      </w:r>
      <w:r>
        <w:rPr>
          <w:rFonts w:hint="eastAsia"/>
        </w:rPr>
        <w:t>年5月</w:t>
      </w:r>
      <w:r>
        <w:rPr>
          <w:rFonts w:hint="eastAsia"/>
          <w:lang w:val="en-US" w:eastAsia="zh-CN"/>
        </w:rPr>
        <w:t>11</w:t>
      </w:r>
      <w:r>
        <w:rPr>
          <w:rFonts w:hint="eastAsia"/>
        </w:rPr>
        <w:t>日</w:t>
      </w:r>
    </w:p>
    <w:p>
      <w:pPr>
        <w:adjustRightInd w:val="0"/>
        <w:snapToGrid w:val="0"/>
        <w:spacing w:line="560" w:lineRule="exact"/>
        <w:ind w:firstLine="4320" w:firstLineChars="13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A7B741B"/>
    <w:rsid w:val="274D3E1C"/>
    <w:rsid w:val="291C455A"/>
    <w:rsid w:val="36926D0C"/>
    <w:rsid w:val="3D36720A"/>
    <w:rsid w:val="4A091ED0"/>
    <w:rsid w:val="4B795D97"/>
    <w:rsid w:val="4DAF2BCF"/>
    <w:rsid w:val="4DDB6F66"/>
    <w:rsid w:val="58F8593C"/>
    <w:rsid w:val="5AC71F19"/>
    <w:rsid w:val="695979F4"/>
    <w:rsid w:val="70920253"/>
    <w:rsid w:val="76B83CE5"/>
    <w:rsid w:val="792F2AEE"/>
    <w:rsid w:val="7E6C761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 w:type="paragraph" w:customStyle="1" w:styleId="6">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1</TotalTime>
  <ScaleCrop>false</ScaleCrop>
  <LinksUpToDate>false</LinksUpToDate>
  <CharactersWithSpaces>894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姜泽附</cp:lastModifiedBy>
  <dcterms:modified xsi:type="dcterms:W3CDTF">2024-05-11T23:50:27Z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3AF4434700FF427EBFB304769EB6290A</vt:lpwstr>
  </property>
</Properties>
</file>