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攀西战略资源创新开发专项资金预算</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600" w:lineRule="exact"/>
        <w:ind w:firstLine="7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color w:val="000000" w:themeColor="text1"/>
          <w:lang w:val="en-US" w:eastAsia="zh-CN"/>
          <w14:textFill>
            <w14:solidFill>
              <w14:schemeClr w14:val="tx1"/>
            </w14:solidFill>
          </w14:textFill>
        </w:rPr>
        <w:t>川发改投资〔2021〕475号、攀西发改〔2021〕95号文件。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color w:val="000000" w:themeColor="text1"/>
          <w:lang w:val="en-US" w:eastAsia="zh-CN"/>
          <w14:textFill>
            <w14:solidFill>
              <w14:schemeClr w14:val="tx1"/>
            </w14:solidFill>
          </w14:textFill>
        </w:rPr>
        <w:t>川发改投资〔2021〕475号、攀西发改〔2021〕95号</w:t>
      </w:r>
      <w:r>
        <w:rPr>
          <w:rFonts w:hint="eastAsia" w:cs="Times New Roman"/>
          <w:color w:val="000000" w:themeColor="text1"/>
          <w:sz w:val="32"/>
          <w:szCs w:val="32"/>
          <w:lang w:val="en-US" w:eastAsia="zh-CN"/>
          <w14:textFill>
            <w14:solidFill>
              <w14:schemeClr w14:val="tx1"/>
            </w14:solidFill>
          </w14:textFill>
        </w:rPr>
        <w:t>文件制定。</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lang w:val="zh-CN"/>
          <w14:textFill>
            <w14:solidFill>
              <w14:schemeClr w14:val="tx1"/>
            </w14:solidFill>
          </w14:textFill>
        </w:rPr>
        <w:t>. 资金分配的原则及考虑因素。</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w:t>
      </w:r>
      <w:r>
        <w:rPr>
          <w:rFonts w:hint="eastAsia"/>
          <w:color w:val="000000" w:themeColor="text1"/>
          <w:lang w:val="en-US" w:eastAsia="zh-CN"/>
          <w14:textFill>
            <w14:solidFill>
              <w14:schemeClr w14:val="tx1"/>
            </w14:solidFill>
          </w14:textFill>
        </w:rPr>
        <w:t>川发改投资〔2021〕475号、攀西发改〔2021〕95号文件，以及项目建设实际情况和西区财政实际情况分配资金。</w:t>
      </w:r>
    </w:p>
    <w:p>
      <w:pPr>
        <w:adjustRightInd w:val="0"/>
        <w:snapToGrid w:val="0"/>
        <w:spacing w:line="600" w:lineRule="exact"/>
        <w:ind w:firstLine="720"/>
        <w:rPr>
          <w:rFonts w:eastAsia="楷体_GB2312"/>
          <w:b/>
          <w:color w:val="000000" w:themeColor="text1"/>
          <w:lang w:val="zh-CN"/>
          <w14:textFill>
            <w14:solidFill>
              <w14:schemeClr w14:val="tx1"/>
            </w14:solidFill>
          </w14:textFill>
        </w:rPr>
      </w:pPr>
      <w:r>
        <w:rPr>
          <w:rFonts w:eastAsia="楷体_GB2312"/>
          <w:b/>
          <w:color w:val="000000" w:themeColor="text1"/>
          <w:lang w:val="zh-CN"/>
          <w14:textFill>
            <w14:solidFill>
              <w14:schemeClr w14:val="tx1"/>
            </w14:solidFill>
          </w14:textFill>
        </w:rPr>
        <w:t>（二）项目绩效目标。</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1. 项目主要内容。</w:t>
      </w:r>
    </w:p>
    <w:p>
      <w:pPr>
        <w:adjustRightInd w:val="0"/>
        <w:snapToGrid w:val="0"/>
        <w:spacing w:line="600" w:lineRule="exact"/>
        <w:ind w:firstLine="720"/>
        <w:rPr>
          <w:rFonts w:hint="default" w:eastAsia="仿宋_GB2312"/>
          <w:color w:val="000000" w:themeColor="text1"/>
          <w:lang w:val="en-US" w:eastAsia="zh-CN"/>
          <w14:textFill>
            <w14:solidFill>
              <w14:schemeClr w14:val="tx1"/>
            </w14:solidFill>
          </w14:textFill>
        </w:rPr>
      </w:pPr>
      <w:r>
        <w:rPr>
          <w:rFonts w:hint="default" w:ascii="Times New Roman" w:hAnsi="Times New Roman" w:eastAsia="仿宋_GB2312" w:cs="Times New Roman"/>
          <w:sz w:val="32"/>
          <w:szCs w:val="32"/>
        </w:rPr>
        <w:t>本项目采用攀钢原创、具有独立知识产权的核心技术—高炉渣提钛技术，利用攀钢钒公司高炉产生的高钛型炉渣为原料并依托攀枝花市西区区位优势，于2017年8月19日在攀枝花西区巴关河区域开工建设。本项目主要装备包括</w:t>
      </w:r>
      <w:r>
        <w:rPr>
          <w:rFonts w:hint="default" w:ascii="Times New Roman" w:hAnsi="Times New Roman" w:eastAsia="仿宋" w:cs="Times New Roman"/>
          <w:sz w:val="32"/>
          <w:szCs w:val="32"/>
          <w:lang w:eastAsia="zh-CN"/>
        </w:rPr>
        <w:t>新增一台圆形密闭碳化炉、一套水淬粒化装置、一套成品立磨系统、煤气净化回收系统以及配套的公辅系统，是配套完整的生产单元，碳化渣生产能力10万吨/年。本项目于2018年</w:t>
      </w:r>
      <w:r>
        <w:rPr>
          <w:rFonts w:hint="default" w:ascii="Times New Roman" w:hAnsi="Times New Roman" w:eastAsia="仿宋_GB2312" w:cs="Times New Roman"/>
          <w:sz w:val="32"/>
          <w:szCs w:val="32"/>
        </w:rPr>
        <w:t>7月建成投产，成为世界上第一条采用高炉渣提钛高温碳化工艺的钛资源利用生产线。</w:t>
      </w:r>
    </w:p>
    <w:p>
      <w:pPr>
        <w:numPr>
          <w:ilvl w:val="0"/>
          <w:numId w:val="1"/>
        </w:num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color w:val="000000" w:themeColor="text1"/>
          <w:kern w:val="2"/>
          <w:sz w:val="32"/>
          <w:szCs w:val="32"/>
          <w:lang w:eastAsia="zh-CN"/>
          <w14:textFill>
            <w14:solidFill>
              <w14:schemeClr w14:val="tx1"/>
            </w14:solidFill>
          </w14:textFill>
        </w:rPr>
      </w:pPr>
      <w:bookmarkStart w:id="0" w:name="_GoBack"/>
      <w:bookmarkEnd w:id="0"/>
      <w:r>
        <w:rPr>
          <w:rFonts w:hint="eastAsia"/>
          <w:color w:val="000000" w:themeColor="text1"/>
          <w:lang w:val="en-US" w:eastAsia="zh-CN"/>
          <w14:textFill>
            <w14:solidFill>
              <w14:schemeClr w14:val="tx1"/>
            </w14:solidFill>
          </w14:textFill>
        </w:rPr>
        <w:t>项目已完成。成功获得</w:t>
      </w:r>
      <w:r>
        <w:rPr>
          <w:rFonts w:hint="eastAsia" w:ascii="Times New Roman" w:hAnsi="Times New Roman" w:eastAsia="仿宋_GB2312"/>
          <w:color w:val="000000" w:themeColor="text1"/>
          <w:kern w:val="2"/>
          <w:sz w:val="32"/>
          <w:szCs w:val="32"/>
          <w14:textFill>
            <w14:solidFill>
              <w14:schemeClr w14:val="tx1"/>
            </w14:solidFill>
          </w14:textFill>
        </w:rPr>
        <w:t>2021年攀西战略资源创新开发专项资金（2021年攀西战略资源创新开发专项资金</w:t>
      </w:r>
      <w:r>
        <w:rPr>
          <w:rFonts w:hint="eastAsia"/>
          <w:color w:val="000000" w:themeColor="text1"/>
          <w:kern w:val="2"/>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2023年收到攀西战略资源创新开发专项资金预算820万元，到位率100%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截止评价时点，支出</w:t>
      </w:r>
      <w:r>
        <w:rPr>
          <w:rFonts w:hint="eastAsia" w:ascii="Times New Roman" w:hAnsi="Times New Roman" w:cs="Times New Roman"/>
          <w:color w:val="auto"/>
          <w:kern w:val="2"/>
          <w:sz w:val="32"/>
          <w:szCs w:val="32"/>
          <w:lang w:val="en-US" w:eastAsia="zh-CN" w:bidi="ar-SA"/>
        </w:rPr>
        <w:t>资金80</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AE0BD"/>
    <w:multiLevelType w:val="singleLevel"/>
    <w:tmpl w:val="03AAE0B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2003DFB"/>
    <w:rsid w:val="274D3E1C"/>
    <w:rsid w:val="291C455A"/>
    <w:rsid w:val="36926D0C"/>
    <w:rsid w:val="4A091ED0"/>
    <w:rsid w:val="4DAF2BCF"/>
    <w:rsid w:val="4DDB6F66"/>
    <w:rsid w:val="54EA310D"/>
    <w:rsid w:val="599D630C"/>
    <w:rsid w:val="5D0B701C"/>
    <w:rsid w:val="616D55C9"/>
    <w:rsid w:val="655B398A"/>
    <w:rsid w:val="792F2AEE"/>
    <w:rsid w:val="7A236D15"/>
    <w:rsid w:val="BFFE83F2"/>
    <w:rsid w:val="D7FDD76B"/>
    <w:rsid w:val="FFEEB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2024-05-21T16:26:08Z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E549A749170143209A9D7B37E7556A64</vt:lpwstr>
  </property>
</Properties>
</file>