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参与四川省制造企业“制惠贷”</w:t>
      </w:r>
    </w:p>
    <w:p>
      <w:pPr>
        <w:pStyle w:val="5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融资试点工作经费项目支出绩效自评报告</w:t>
      </w:r>
    </w:p>
    <w:p>
      <w:pPr>
        <w:pStyle w:val="5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该项目实施单位为</w:t>
      </w:r>
      <w:r>
        <w:rPr>
          <w:rFonts w:hint="eastAsia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攀枝花市西区经济和信息化局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，由我局统一编制预算、统一制定绩效目标、统一项目资金管理、统一资金安排使用，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按照相关资金管理办法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对资金使用进行监督管理与审核、审批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项目立项、资金申报的依据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为《攀枝花市经济和信息化局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攀枝花市财政局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中国人民银行攀枝花市中心支行关于印发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攀枝花市制造业企业“制惠贷”管理办法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的通知》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（攀经信〔2023〕52号）、《攀枝花市财政局关于制造业企业“制惠贷”融资出资的通知》，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文件要求西区出资150万元设立融资风险资金补偿池。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color w:val="auto"/>
          <w:highlight w:val="none"/>
        </w:rPr>
      </w:pPr>
      <w:r>
        <w:rPr>
          <w:rFonts w:hint="eastAsia" w:ascii="仿宋_GB2312" w:hAnsi="宋体"/>
          <w:color w:val="auto"/>
          <w:highlight w:val="none"/>
          <w:lang w:val="zh-CN"/>
        </w:rPr>
        <w:t>此项资金金额及用途经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2023年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市政府第</w:t>
      </w:r>
      <w:r>
        <w:rPr>
          <w:rFonts w:ascii="Times_New_Roman" w:hAnsi="Times_New_Roman" w:eastAsia="Times_New_Roman" w:cs="Times_New_Roman"/>
          <w:color w:val="auto"/>
          <w:kern w:val="0"/>
          <w:sz w:val="31"/>
          <w:szCs w:val="31"/>
          <w:highlight w:val="none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次常务会审议</w:t>
      </w:r>
      <w:r>
        <w:rPr>
          <w:rFonts w:hint="eastAsia" w:ascii="仿宋_GB2312" w:hAnsi="宋体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通过，用于建立攀枝花市融资风险资金补偿池。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2023年收到参与四川省制造企业“制惠贷”融资试点工作经费150万元，到位率100%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en-US" w:eastAsia="zh-CN"/>
        </w:rPr>
        <w:t>2.</w:t>
      </w: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截止评价时点，支出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企业“制惠贷”融资试点工作经费75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该项目组织架构与内控管理组织架构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一致，主要责任人为单位主要负责人，分管责任人为财务分管领导和业务分管领导，项目实施责任人为业务股室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。实施流程由业务股室进行相关资料收集审核，分管领导复核，单位主要负责人终审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，并报分管区领导审阅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由西区出资150万元，与其他区县共同出资设立融资风险补偿资金池，支持企业融资，维持正常生产经营，帮助企业拓宽融资渠道。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TQyYjcxY2UwZTk1YTE4YjJjMWJlZTI2ZmIxNWEifQ=="/>
  </w:docVars>
  <w:rsids>
    <w:rsidRoot w:val="291C455A"/>
    <w:rsid w:val="003414A3"/>
    <w:rsid w:val="00515A0C"/>
    <w:rsid w:val="00866E99"/>
    <w:rsid w:val="0BD35D2F"/>
    <w:rsid w:val="0EDB478C"/>
    <w:rsid w:val="1B412C98"/>
    <w:rsid w:val="1C3C4FAF"/>
    <w:rsid w:val="1E0775E1"/>
    <w:rsid w:val="22003DFB"/>
    <w:rsid w:val="274D3E1C"/>
    <w:rsid w:val="291C455A"/>
    <w:rsid w:val="36926D0C"/>
    <w:rsid w:val="4A091ED0"/>
    <w:rsid w:val="4DAF2BCF"/>
    <w:rsid w:val="4DDB6F66"/>
    <w:rsid w:val="54EA310D"/>
    <w:rsid w:val="5D0B701C"/>
    <w:rsid w:val="616D55C9"/>
    <w:rsid w:val="68133331"/>
    <w:rsid w:val="792F2AEE"/>
    <w:rsid w:val="7A236D1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1024</Words>
  <Characters>1047</Characters>
  <Lines>6</Lines>
  <Paragraphs>1</Paragraphs>
  <TotalTime>0</TotalTime>
  <ScaleCrop>false</ScaleCrop>
  <LinksUpToDate>false</LinksUpToDate>
  <CharactersWithSpaces>1049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2024-06-07T08:26:01Z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BEA1762CC35D4179AE799B785016DD9D</vt:lpwstr>
  </property>
</Properties>
</file>