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5"/>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2022年省级工业发展资金</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ascii="仿宋_GB2312" w:hAnsi="宋体"/>
          <w:lang w:val="zh-CN"/>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default" w:ascii="Times New Roman" w:hAnsi="Times New Roman" w:eastAsia="仿宋_GB2312" w:cs="Times New Roman"/>
          <w:b w:val="0"/>
          <w:bCs w:val="0"/>
          <w:sz w:val="32"/>
          <w:szCs w:val="32"/>
        </w:rPr>
        <w:t>川财建〔2022〕57号</w:t>
      </w:r>
      <w:r>
        <w:rPr>
          <w:rFonts w:hint="eastAsia" w:ascii="Times New Roman" w:hAnsi="Times New Roman" w:cs="Times New Roman"/>
          <w:b w:val="0"/>
          <w:bCs w:val="0"/>
          <w:sz w:val="32"/>
          <w:szCs w:val="32"/>
          <w:lang w:eastAsia="zh-CN"/>
        </w:rPr>
        <w:t>、攀财资建〔2022〕27号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川财建〔2022〕101号</w:t>
      </w:r>
      <w:r>
        <w:rPr>
          <w:rFonts w:hint="eastAsia" w:cs="Times New Roman"/>
          <w:b w:val="0"/>
          <w:bCs w:val="0"/>
          <w:sz w:val="32"/>
          <w:szCs w:val="32"/>
          <w:lang w:val="en-US" w:eastAsia="zh-CN"/>
        </w:rPr>
        <w:t>、攀财资建〔2022〕72号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hint="eastAsia" w:ascii="Times New Roman" w:hAnsi="Times New Roman" w:eastAsia="仿宋_GB2312" w:cs="Times New Roman"/>
          <w:b w:val="0"/>
          <w:bCs w:val="0"/>
          <w:sz w:val="32"/>
          <w:szCs w:val="32"/>
          <w:lang w:val="zh-CN"/>
        </w:rPr>
      </w:pPr>
      <w:r>
        <w:rPr>
          <w:rFonts w:hint="eastAsia" w:ascii="Times New Roman" w:hAnsi="Times New Roman" w:eastAsia="仿宋_GB2312" w:cs="Times New Roman"/>
          <w:b w:val="0"/>
          <w:bCs w:val="0"/>
          <w:sz w:val="32"/>
          <w:szCs w:val="32"/>
          <w:lang w:val="en-US" w:eastAsia="zh-CN"/>
        </w:rPr>
        <w:t>1.主要内容。1.在现有水泥粉磨系统前新增加一套立磨预粉磨系统，含配套辅机设施、供配电系统和控制系统。包括：立磨、烘干、V选、组合选粉机、旋风筒、袋式收尘器、收尘器风机、入磨斗提、输送斜槽等。 2.对原2#水泥磨（管式球磨机）同步实施技术改造，与新增立磨预粉磨系统组成半终粉磨系统。 3.系统投运后，停用原1#水泥磨（管式球磨机）。 4.建设规模：技改后，2#水泥磨设计台产可达180t/h以上。系统投运后，停用原1#水泥磨（管式球磨机）。</w:t>
      </w:r>
      <w:r>
        <w:rPr>
          <w:rFonts w:hint="eastAsia" w:ascii="Times New Roman" w:hAnsi="Times New Roman" w:eastAsia="仿宋_GB2312" w:cs="Times New Roman"/>
          <w:b w:val="0"/>
          <w:bCs w:val="0"/>
          <w:sz w:val="32"/>
          <w:szCs w:val="32"/>
          <w:lang w:val="zh-CN"/>
        </w:rPr>
        <w:t>说明项目主要内容，计划实现的具体绩效目标（定性和定量目标）以及项目实施进度计划等。</w:t>
      </w:r>
    </w:p>
    <w:p>
      <w:pPr>
        <w:ind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2.项目已</w:t>
      </w:r>
      <w:r>
        <w:rPr>
          <w:rFonts w:hint="eastAsia" w:ascii="Times New Roman" w:hAnsi="Times New Roman" w:cs="Times New Roman"/>
          <w:b w:val="0"/>
          <w:bCs w:val="0"/>
          <w:sz w:val="32"/>
          <w:szCs w:val="32"/>
          <w:lang w:val="en-US" w:eastAsia="zh-CN"/>
        </w:rPr>
        <w:t>按主要建设内容建设完毕，正在等待市专家组组织验收。</w:t>
      </w:r>
      <w:bookmarkStart w:id="0" w:name="_GoBack"/>
      <w:bookmarkEnd w:id="0"/>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项目资金申报相符性。</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hint="eastAsia" w:ascii="仿宋_GB2312" w:hAnsi="宋体"/>
          <w:lang w:val="en-US" w:eastAsia="zh-CN"/>
        </w:rPr>
        <w:t>2023年收到省级工业发展资金122万元，到位率100%</w:t>
      </w:r>
      <w:r>
        <w:rPr>
          <w:rFonts w:hint="eastAsia" w:ascii="仿宋_GB2312" w:hAnsi="宋体"/>
          <w:lang w:val="zh-CN"/>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w:t>
      </w:r>
      <w:r>
        <w:rPr>
          <w:rFonts w:hint="eastAsia" w:ascii="仿宋_GB2312" w:hAnsi="宋体"/>
          <w:lang w:val="en-US" w:eastAsia="zh-CN"/>
        </w:rPr>
        <w:t>2022年省级工业发展资金未支付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9AB59"/>
    <w:multiLevelType w:val="singleLevel"/>
    <w:tmpl w:val="23A9AB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2003DFB"/>
    <w:rsid w:val="233757F9"/>
    <w:rsid w:val="274D3E1C"/>
    <w:rsid w:val="291C455A"/>
    <w:rsid w:val="36926D0C"/>
    <w:rsid w:val="4A091ED0"/>
    <w:rsid w:val="4DAF2BCF"/>
    <w:rsid w:val="4DDB6F66"/>
    <w:rsid w:val="78C98C55"/>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4</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HUAWEI</cp:lastModifiedBy>
  <dcterms:modified xsi:type="dcterms:W3CDTF">2024-05-21T16:37:46Z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34190D2B5ECE4D8B9D8E0EBA73DC9326</vt:lpwstr>
  </property>
</Properties>
</file>