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pStyle w:val="5"/>
        <w:spacing w:line="56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2022年第一批省级工业发展专项资金</w:t>
      </w:r>
    </w:p>
    <w:p>
      <w:pPr>
        <w:pStyle w:val="5"/>
        <w:spacing w:line="56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（水泥磨系统节能降耗和环境综合治理工程--攀枝花瑞峰水泥有限公司）</w:t>
      </w:r>
    </w:p>
    <w:p>
      <w:pPr>
        <w:pStyle w:val="5"/>
        <w:spacing w:line="560" w:lineRule="exact"/>
        <w:jc w:val="center"/>
        <w:rPr>
          <w:rFonts w:ascii="仿宋_GB2312" w:hAnsi="宋体" w:eastAsia="仿宋_GB2312"/>
          <w:color w:val="auto"/>
          <w:kern w:val="2"/>
          <w:sz w:val="32"/>
          <w:szCs w:val="32"/>
        </w:rPr>
      </w:pPr>
      <w:r>
        <w:rPr>
          <w:rFonts w:hint="eastAsia" w:ascii="方正小标宋简体" w:hAnsi="宋体" w:eastAsia="方正小标宋简体"/>
          <w:sz w:val="44"/>
          <w:szCs w:val="44"/>
        </w:rPr>
        <w:t>项目支出绩效自评报告</w:t>
      </w:r>
    </w:p>
    <w:p>
      <w:pPr>
        <w:pStyle w:val="5"/>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该项目实施单位为</w:t>
      </w:r>
      <w:r>
        <w:rPr>
          <w:rFonts w:hint="eastAsia"/>
          <w:color w:val="000000" w:themeColor="text1"/>
          <w:kern w:val="2"/>
          <w:sz w:val="32"/>
          <w:szCs w:val="32"/>
          <w:lang w:eastAsia="zh-CN"/>
          <w14:textFill>
            <w14:solidFill>
              <w14:schemeClr w14:val="tx1"/>
            </w14:solidFill>
          </w14:textFill>
        </w:rPr>
        <w:t>攀枝花市西区经济和信息化局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，由我局统一编制预算、统一制定绩效目标、统一项目资金管理、统一资金安排使用，</w:t>
      </w:r>
      <w:r>
        <w:rPr>
          <w:rFonts w:hint="eastAsia" w:cs="Times New Roman"/>
          <w:color w:val="000000" w:themeColor="text1"/>
          <w:sz w:val="32"/>
          <w:szCs w:val="32"/>
          <w:lang w:eastAsia="zh-CN"/>
          <w14:textFill>
            <w14:solidFill>
              <w14:schemeClr w14:val="tx1"/>
            </w14:solidFill>
          </w14:textFill>
        </w:rPr>
        <w:t>按照相关资金管理办法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对资金使用进行监督管理与审核、审批</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600" w:lineRule="exact"/>
        <w:ind w:firstLine="72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color w:val="000000" w:themeColor="text1"/>
          <w:highlight w:val="yellow"/>
          <w:lang w:val="zh-CN"/>
          <w14:textFill>
            <w14:solidFill>
              <w14:schemeClr w14:val="tx1"/>
            </w14:solidFill>
          </w14:textFill>
        </w:rPr>
        <w:t>项目立项、资金申报的依据</w:t>
      </w:r>
      <w:r>
        <w:rPr>
          <w:rFonts w:hint="eastAsia"/>
          <w:color w:val="000000" w:themeColor="text1"/>
          <w:highlight w:val="yellow"/>
          <w:lang w:val="zh-CN"/>
          <w14:textFill>
            <w14:solidFill>
              <w14:schemeClr w14:val="tx1"/>
            </w14:solidFill>
          </w14:textFill>
        </w:rPr>
        <w:t>为</w:t>
      </w:r>
      <w:r>
        <w:rPr>
          <w:rFonts w:hint="eastAsia" w:ascii="Times New Roman" w:hAnsi="Times New Roman" w:cs="Times New Roman"/>
          <w:b w:val="0"/>
          <w:bCs w:val="0"/>
          <w:sz w:val="32"/>
          <w:szCs w:val="32"/>
          <w:highlight w:val="yellow"/>
          <w:lang w:val="en-US" w:eastAsia="zh-CN"/>
        </w:rPr>
        <w:t>攀经合〔2023〕29 号</w:t>
      </w:r>
      <w:r>
        <w:rPr>
          <w:rFonts w:hint="eastAsia" w:cs="Times New Roman"/>
          <w:b w:val="0"/>
          <w:bCs w:val="0"/>
          <w:sz w:val="32"/>
          <w:szCs w:val="32"/>
          <w:highlight w:val="yellow"/>
          <w:lang w:val="en-US" w:eastAsia="zh-CN"/>
        </w:rPr>
        <w:t>、</w:t>
      </w:r>
      <w:r>
        <w:rPr>
          <w:rFonts w:hint="eastAsia" w:ascii="仿宋_GB2312" w:eastAsia="仿宋_GB2312"/>
          <w:sz w:val="32"/>
          <w:szCs w:val="32"/>
          <w:highlight w:val="yellow"/>
        </w:rPr>
        <w:t>《</w:t>
      </w:r>
      <w:r>
        <w:rPr>
          <w:rFonts w:hint="eastAsia" w:ascii="仿宋_GB2312" w:eastAsia="仿宋_GB2312"/>
          <w:sz w:val="32"/>
          <w:szCs w:val="32"/>
          <w:highlight w:val="yellow"/>
          <w:lang w:val="en-US" w:eastAsia="zh-CN"/>
        </w:rPr>
        <w:t>攀枝花市西区人民政府关于印发</w:t>
      </w:r>
      <w:r>
        <w:rPr>
          <w:rFonts w:hint="eastAsia" w:ascii="仿宋_GB2312" w:hAnsi="仿宋_GB2312" w:eastAsia="仿宋_GB2312" w:cs="仿宋_GB2312"/>
          <w:sz w:val="32"/>
          <w:szCs w:val="32"/>
          <w:highlight w:val="yellow"/>
          <w:lang w:val="en-US" w:eastAsia="zh-CN"/>
        </w:rPr>
        <w:t>&lt;攀枝花市西区产业发展引导资金管理办法（试行）&gt;</w:t>
      </w:r>
      <w:r>
        <w:rPr>
          <w:rFonts w:hint="eastAsia" w:ascii="仿宋_GB2312" w:eastAsia="仿宋_GB2312"/>
          <w:sz w:val="32"/>
          <w:szCs w:val="32"/>
          <w:highlight w:val="yellow"/>
          <w:lang w:val="en-US" w:eastAsia="zh-CN"/>
        </w:rPr>
        <w:t xml:space="preserve"> 的通知</w:t>
      </w:r>
      <w:r>
        <w:rPr>
          <w:rFonts w:hint="eastAsia" w:ascii="仿宋_GB2312" w:eastAsia="仿宋_GB2312"/>
          <w:sz w:val="32"/>
          <w:szCs w:val="32"/>
          <w:highlight w:val="yellow"/>
        </w:rPr>
        <w:t>》（攀</w:t>
      </w:r>
      <w:r>
        <w:rPr>
          <w:rFonts w:hint="eastAsia" w:ascii="仿宋_GB2312" w:eastAsia="仿宋_GB2312"/>
          <w:sz w:val="32"/>
          <w:szCs w:val="32"/>
          <w:highlight w:val="yellow"/>
          <w:lang w:val="en-US" w:eastAsia="zh-CN"/>
        </w:rPr>
        <w:t>西府办</w:t>
      </w:r>
      <w:r>
        <w:rPr>
          <w:rFonts w:hint="eastAsia" w:ascii="仿宋_GB2312" w:eastAsia="仿宋_GB2312"/>
          <w:sz w:val="32"/>
          <w:szCs w:val="32"/>
          <w:highlight w:val="yellow"/>
        </w:rPr>
        <w:t>〔20</w:t>
      </w:r>
      <w:r>
        <w:rPr>
          <w:rFonts w:hint="eastAsia" w:ascii="仿宋_GB2312" w:eastAsia="仿宋_GB2312"/>
          <w:sz w:val="32"/>
          <w:szCs w:val="32"/>
          <w:highlight w:val="yellow"/>
          <w:lang w:val="en-US" w:eastAsia="zh-CN"/>
        </w:rPr>
        <w:t>16</w:t>
      </w:r>
      <w:r>
        <w:rPr>
          <w:rFonts w:hint="eastAsia" w:ascii="仿宋_GB2312" w:eastAsia="仿宋_GB2312"/>
          <w:sz w:val="32"/>
          <w:szCs w:val="32"/>
          <w:highlight w:val="yellow"/>
        </w:rPr>
        <w:t>〕</w:t>
      </w:r>
      <w:r>
        <w:rPr>
          <w:rFonts w:hint="eastAsia" w:ascii="仿宋_GB2312" w:eastAsia="仿宋_GB2312"/>
          <w:sz w:val="32"/>
          <w:szCs w:val="32"/>
          <w:highlight w:val="yellow"/>
          <w:lang w:val="en-US" w:eastAsia="zh-CN"/>
        </w:rPr>
        <w:t>55</w:t>
      </w:r>
      <w:r>
        <w:rPr>
          <w:rFonts w:hint="eastAsia" w:ascii="仿宋_GB2312" w:eastAsia="仿宋_GB2312"/>
          <w:sz w:val="32"/>
          <w:szCs w:val="32"/>
          <w:highlight w:val="yellow"/>
        </w:rPr>
        <w:t>号）</w:t>
      </w:r>
      <w:r>
        <w:rPr>
          <w:rFonts w:hint="eastAsia"/>
          <w:color w:val="000000" w:themeColor="text1"/>
          <w:highlight w:val="yellow"/>
          <w:lang w:val="en-US" w:eastAsia="zh-CN"/>
          <w14:textFill>
            <w14:solidFill>
              <w14:schemeClr w14:val="tx1"/>
            </w14:solidFill>
          </w14:textFill>
        </w:rPr>
        <w:t>文件。</w:t>
      </w:r>
    </w:p>
    <w:p>
      <w:p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lang w:val="zh-CN"/>
          <w14:textFill>
            <w14:solidFill>
              <w14:schemeClr w14:val="tx1"/>
            </w14:solidFill>
          </w14:textFill>
        </w:rPr>
        <w:t>资金管理办法制定情况，资金支持具体项目的条件、范围与支持方式概况。</w:t>
      </w:r>
    </w:p>
    <w:p>
      <w:pPr>
        <w:adjustRightInd w:val="0"/>
        <w:snapToGrid w:val="0"/>
        <w:spacing w:line="600" w:lineRule="exact"/>
        <w:ind w:firstLine="72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制度制定情况。为加强对财政资金的管理，不断提高使用绩效，按照内部控制建设要求，制定了财务管理制度，在资金使用上，严格按照资金使用用途进行审核审批，项目管理规范有序，确保资金使用安全。</w:t>
      </w:r>
    </w:p>
    <w:p>
      <w:pPr>
        <w:adjustRightInd w:val="0"/>
        <w:snapToGrid w:val="0"/>
        <w:spacing w:line="600" w:lineRule="exact"/>
        <w:ind w:firstLine="720"/>
        <w:rPr>
          <w:rFonts w:ascii="仿宋_GB2312" w:hAnsi="宋体"/>
          <w:highlight w:val="yellow"/>
          <w:lang w:val="zh-CN"/>
        </w:rPr>
      </w:pPr>
      <w:r>
        <w:rPr>
          <w:rFonts w:hint="eastAsia" w:cs="Times New Roman"/>
          <w:color w:val="000000" w:themeColor="text1"/>
          <w:sz w:val="32"/>
          <w:szCs w:val="32"/>
          <w:lang w:val="en-US" w:eastAsia="zh-CN"/>
          <w14:textFill>
            <w14:solidFill>
              <w14:schemeClr w14:val="tx1"/>
            </w14:solidFill>
          </w14:textFill>
        </w:rPr>
        <w:t>（2）</w:t>
      </w:r>
      <w:r>
        <w:rPr>
          <w:color w:val="000000" w:themeColor="text1"/>
          <w:highlight w:val="yellow"/>
          <w:lang w:val="zh-CN"/>
          <w14:textFill>
            <w14:solidFill>
              <w14:schemeClr w14:val="tx1"/>
            </w14:solidFill>
          </w14:textFill>
        </w:rPr>
        <w:t>资金支持具体项目的条件、范围与支持方式概况</w:t>
      </w:r>
      <w:r>
        <w:rPr>
          <w:rFonts w:hint="eastAsia"/>
          <w:color w:val="000000" w:themeColor="text1"/>
          <w:highlight w:val="yellow"/>
          <w:lang w:val="zh-CN"/>
          <w14:textFill>
            <w14:solidFill>
              <w14:schemeClr w14:val="tx1"/>
            </w14:solidFill>
          </w14:textFill>
        </w:rPr>
        <w:t>。根据</w:t>
      </w:r>
      <w:r>
        <w:rPr>
          <w:rFonts w:hint="eastAsia" w:ascii="Times New Roman" w:hAnsi="Times New Roman" w:cs="Times New Roman"/>
          <w:b w:val="0"/>
          <w:bCs w:val="0"/>
          <w:sz w:val="32"/>
          <w:szCs w:val="32"/>
          <w:highlight w:val="yellow"/>
          <w:lang w:val="en-US" w:eastAsia="zh-CN"/>
        </w:rPr>
        <w:t>攀经合〔2023〕29 号</w:t>
      </w:r>
      <w:r>
        <w:rPr>
          <w:rFonts w:hint="eastAsia" w:cs="Times New Roman"/>
          <w:b w:val="0"/>
          <w:bCs w:val="0"/>
          <w:sz w:val="32"/>
          <w:szCs w:val="32"/>
          <w:highlight w:val="yellow"/>
          <w:lang w:val="en-US" w:eastAsia="zh-CN"/>
        </w:rPr>
        <w:t>、</w:t>
      </w:r>
      <w:r>
        <w:rPr>
          <w:rFonts w:hint="eastAsia" w:ascii="仿宋_GB2312" w:eastAsia="仿宋_GB2312"/>
          <w:sz w:val="32"/>
          <w:szCs w:val="32"/>
          <w:highlight w:val="yellow"/>
        </w:rPr>
        <w:t>《</w:t>
      </w:r>
      <w:r>
        <w:rPr>
          <w:rFonts w:hint="eastAsia" w:ascii="仿宋_GB2312" w:eastAsia="仿宋_GB2312"/>
          <w:sz w:val="32"/>
          <w:szCs w:val="32"/>
          <w:highlight w:val="yellow"/>
          <w:lang w:val="en-US" w:eastAsia="zh-CN"/>
        </w:rPr>
        <w:t>攀枝花市西区人民政府关于印发</w:t>
      </w:r>
      <w:r>
        <w:rPr>
          <w:rFonts w:hint="eastAsia" w:ascii="仿宋_GB2312" w:hAnsi="仿宋_GB2312" w:eastAsia="仿宋_GB2312" w:cs="仿宋_GB2312"/>
          <w:sz w:val="32"/>
          <w:szCs w:val="32"/>
          <w:highlight w:val="yellow"/>
          <w:lang w:val="en-US" w:eastAsia="zh-CN"/>
        </w:rPr>
        <w:t>&lt;攀枝花市西区产业发展引导资金管理办法（试行）&gt;</w:t>
      </w:r>
      <w:r>
        <w:rPr>
          <w:rFonts w:hint="eastAsia" w:ascii="仿宋_GB2312" w:eastAsia="仿宋_GB2312"/>
          <w:sz w:val="32"/>
          <w:szCs w:val="32"/>
          <w:highlight w:val="yellow"/>
          <w:lang w:val="en-US" w:eastAsia="zh-CN"/>
        </w:rPr>
        <w:t xml:space="preserve"> 的通知</w:t>
      </w:r>
      <w:r>
        <w:rPr>
          <w:rFonts w:hint="eastAsia" w:ascii="仿宋_GB2312" w:eastAsia="仿宋_GB2312"/>
          <w:sz w:val="32"/>
          <w:szCs w:val="32"/>
          <w:highlight w:val="yellow"/>
        </w:rPr>
        <w:t>》（攀</w:t>
      </w:r>
      <w:r>
        <w:rPr>
          <w:rFonts w:hint="eastAsia" w:ascii="仿宋_GB2312" w:eastAsia="仿宋_GB2312"/>
          <w:sz w:val="32"/>
          <w:szCs w:val="32"/>
          <w:highlight w:val="yellow"/>
          <w:lang w:val="en-US" w:eastAsia="zh-CN"/>
        </w:rPr>
        <w:t>西府办</w:t>
      </w:r>
      <w:r>
        <w:rPr>
          <w:rFonts w:hint="eastAsia" w:ascii="仿宋_GB2312" w:eastAsia="仿宋_GB2312"/>
          <w:sz w:val="32"/>
          <w:szCs w:val="32"/>
          <w:highlight w:val="yellow"/>
        </w:rPr>
        <w:t>〔20</w:t>
      </w:r>
      <w:r>
        <w:rPr>
          <w:rFonts w:hint="eastAsia" w:ascii="仿宋_GB2312" w:eastAsia="仿宋_GB2312"/>
          <w:sz w:val="32"/>
          <w:szCs w:val="32"/>
          <w:highlight w:val="yellow"/>
          <w:lang w:val="en-US" w:eastAsia="zh-CN"/>
        </w:rPr>
        <w:t>16</w:t>
      </w:r>
      <w:r>
        <w:rPr>
          <w:rFonts w:hint="eastAsia" w:ascii="仿宋_GB2312" w:eastAsia="仿宋_GB2312"/>
          <w:sz w:val="32"/>
          <w:szCs w:val="32"/>
          <w:highlight w:val="yellow"/>
        </w:rPr>
        <w:t>〕</w:t>
      </w:r>
      <w:r>
        <w:rPr>
          <w:rFonts w:hint="eastAsia" w:ascii="仿宋_GB2312" w:eastAsia="仿宋_GB2312"/>
          <w:sz w:val="32"/>
          <w:szCs w:val="32"/>
          <w:highlight w:val="yellow"/>
          <w:lang w:val="en-US" w:eastAsia="zh-CN"/>
        </w:rPr>
        <w:t>55</w:t>
      </w:r>
      <w:r>
        <w:rPr>
          <w:rFonts w:hint="eastAsia" w:ascii="仿宋_GB2312" w:eastAsia="仿宋_GB2312"/>
          <w:sz w:val="32"/>
          <w:szCs w:val="32"/>
          <w:highlight w:val="yellow"/>
        </w:rPr>
        <w:t>号）</w:t>
      </w:r>
      <w:r>
        <w:rPr>
          <w:rFonts w:hint="eastAsia"/>
          <w:color w:val="000000" w:themeColor="text1"/>
          <w:highlight w:val="yellow"/>
          <w:lang w:val="en-US" w:eastAsia="zh-CN"/>
          <w14:textFill>
            <w14:solidFill>
              <w14:schemeClr w14:val="tx1"/>
            </w14:solidFill>
          </w14:textFill>
        </w:rPr>
        <w:t>文件</w:t>
      </w:r>
      <w:r>
        <w:rPr>
          <w:rFonts w:hint="eastAsia" w:cs="Times New Roman"/>
          <w:color w:val="000000" w:themeColor="text1"/>
          <w:sz w:val="32"/>
          <w:szCs w:val="32"/>
          <w:highlight w:val="yellow"/>
          <w:lang w:val="en-US" w:eastAsia="zh-CN"/>
          <w14:textFill>
            <w14:solidFill>
              <w14:schemeClr w14:val="tx1"/>
            </w14:solidFill>
          </w14:textFill>
        </w:rPr>
        <w:t>制定。</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pStyle w:val="6"/>
        <w:keepNext w:val="0"/>
        <w:keepLines w:val="0"/>
        <w:pageBreakBefore w:val="0"/>
        <w:kinsoku/>
        <w:wordWrap/>
        <w:overflowPunct/>
        <w:topLinePunct w:val="0"/>
        <w:bidi w:val="0"/>
        <w:snapToGrid/>
        <w:spacing w:line="353" w:lineRule="auto"/>
        <w:ind w:firstLine="640" w:firstLineChars="200"/>
        <w:textAlignment w:val="auto"/>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1.主要内容。*****************************。</w:t>
      </w:r>
    </w:p>
    <w:p>
      <w:pPr>
        <w:ind w:firstLine="640" w:firstLineChars="200"/>
        <w:rPr>
          <w:rFonts w:hint="default"/>
          <w:lang w:val="en-US" w:eastAsia="zh-CN"/>
        </w:rPr>
      </w:pPr>
      <w:r>
        <w:rPr>
          <w:rFonts w:hint="eastAsia" w:ascii="Times New Roman" w:hAnsi="Times New Roman" w:cs="Times New Roman"/>
          <w:color w:val="auto"/>
          <w:spacing w:val="0"/>
          <w:sz w:val="32"/>
          <w:szCs w:val="32"/>
          <w:lang w:val="en-US" w:eastAsia="zh-CN"/>
        </w:rPr>
        <w:t>2.</w:t>
      </w:r>
      <w:r>
        <w:rPr>
          <w:rFonts w:hint="eastAsia" w:cs="Times New Roman"/>
          <w:color w:val="auto"/>
          <w:spacing w:val="0"/>
          <w:sz w:val="32"/>
          <w:szCs w:val="32"/>
          <w:lang w:val="en-US" w:eastAsia="zh-CN"/>
        </w:rPr>
        <w:t>完成情况******************</w:t>
      </w:r>
      <w:r>
        <w:rPr>
          <w:rFonts w:hint="eastAsia" w:ascii="Times New Roman" w:hAnsi="Times New Roman" w:cs="Times New Roman"/>
          <w:color w:val="auto"/>
          <w:spacing w:val="0"/>
          <w:sz w:val="32"/>
          <w:szCs w:val="32"/>
          <w:lang w:val="en-US" w:eastAsia="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该项目的设立依据充分，符合政策文件</w:t>
      </w:r>
      <w:r>
        <w:rPr>
          <w:rFonts w:hint="default" w:ascii="Times New Roman" w:hAnsi="Times New Roman" w:cs="Times New Roman"/>
          <w:sz w:val="32"/>
          <w:szCs w:val="32"/>
          <w:lang w:val="en-US" w:eastAsia="zh-CN"/>
        </w:rPr>
        <w:t>有</w:t>
      </w:r>
      <w:r>
        <w:rPr>
          <w:rFonts w:hint="default" w:ascii="Times New Roman" w:hAnsi="Times New Roman" w:eastAsia="仿宋_GB2312" w:cs="Times New Roman"/>
          <w:sz w:val="32"/>
          <w:szCs w:val="32"/>
          <w:lang w:val="en-US" w:eastAsia="zh-CN"/>
        </w:rPr>
        <w:t>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pStyle w:val="5"/>
        <w:spacing w:line="560" w:lineRule="exact"/>
        <w:ind w:firstLine="640" w:firstLineChars="200"/>
        <w:jc w:val="both"/>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2023年收到水泥磨系统节能降耗和环境综合治理工程—攀枝花瑞峰水泥有限公司122万元，到位率100%</w:t>
      </w:r>
      <w:r>
        <w:rPr>
          <w:rFonts w:hint="eastAsia" w:ascii="Times New Roman" w:hAnsi="Times New Roman" w:eastAsia="仿宋_GB2312" w:cs="Times New Roman"/>
          <w:color w:val="auto"/>
          <w:kern w:val="2"/>
          <w:sz w:val="32"/>
          <w:szCs w:val="32"/>
          <w:lang w:val="zh-CN" w:eastAsia="zh-CN" w:bidi="ar-SA"/>
        </w:rPr>
        <w:t>。</w:t>
      </w:r>
    </w:p>
    <w:p>
      <w:pPr>
        <w:numPr>
          <w:ilvl w:val="0"/>
          <w:numId w:val="0"/>
        </w:numPr>
        <w:adjustRightInd w:val="0"/>
        <w:snapToGrid w:val="0"/>
        <w:spacing w:line="560" w:lineRule="exact"/>
        <w:ind w:firstLine="640" w:firstLineChars="200"/>
        <w:rPr>
          <w:rFonts w:hint="eastAsia" w:ascii="楷体_GB2312" w:hAnsi="宋体" w:eastAsia="楷体_GB2312"/>
          <w:lang w:val="zh-CN"/>
        </w:rPr>
      </w:pPr>
      <w:r>
        <w:rPr>
          <w:rFonts w:hint="eastAsia" w:ascii="楷体_GB2312" w:hAnsi="宋体" w:eastAsia="楷体_GB2312"/>
          <w:lang w:val="en-US" w:eastAsia="zh-CN"/>
        </w:rPr>
        <w:t>2.</w:t>
      </w: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截止评价时点，</w:t>
      </w:r>
      <w:r>
        <w:rPr>
          <w:rFonts w:hint="eastAsia" w:cs="Times New Roman"/>
          <w:sz w:val="32"/>
          <w:szCs w:val="32"/>
          <w:lang w:val="en-US" w:eastAsia="zh-CN"/>
        </w:rPr>
        <w:t>该项目资金未支付</w:t>
      </w:r>
      <w:bookmarkStart w:id="0" w:name="_GoBack"/>
      <w:bookmarkEnd w:id="0"/>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Times New Roman" w:hAnsi="Times New Roman" w:eastAsia="楷体_GB2312" w:cs="Times New Roman"/>
          <w:color w:val="000000" w:themeColor="text1"/>
          <w:sz w:val="32"/>
          <w:szCs w:val="32"/>
          <w:lang w:eastAsia="zh-CN"/>
          <w14:textFill>
            <w14:solidFill>
              <w14:schemeClr w14:val="tx1"/>
            </w14:solidFill>
          </w14:textFill>
        </w:rPr>
        <w:t>该项目组织架构与内控管理组织架构</w:t>
      </w:r>
      <w:r>
        <w:rPr>
          <w:rFonts w:hint="eastAsia" w:eastAsia="楷体_GB2312" w:cs="Times New Roman"/>
          <w:color w:val="000000" w:themeColor="text1"/>
          <w:sz w:val="32"/>
          <w:szCs w:val="32"/>
          <w:lang w:eastAsia="zh-CN"/>
          <w14:textFill>
            <w14:solidFill>
              <w14:schemeClr w14:val="tx1"/>
            </w14:solidFill>
          </w14:textFill>
        </w:rPr>
        <w:t>基本</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一致，主要责任人为单位主要负责人，分管责任人为财务分管领导和业务分管领导，项目实施责任人为业务股室</w:t>
      </w:r>
      <w:r>
        <w:rPr>
          <w:rFonts w:hint="eastAsia" w:eastAsia="楷体_GB2312" w:cs="Times New Roman"/>
          <w:color w:val="000000" w:themeColor="text1"/>
          <w:sz w:val="32"/>
          <w:szCs w:val="32"/>
          <w:lang w:eastAsia="zh-CN"/>
          <w14:textFill>
            <w14:solidFill>
              <w14:schemeClr w14:val="tx1"/>
            </w14:solidFill>
          </w14:textFill>
        </w:rPr>
        <w:t>同志</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。实施流程由业务股室进行相关资料收集审核，分管领导复核，单位主要负责人终审</w:t>
      </w:r>
      <w:r>
        <w:rPr>
          <w:rFonts w:hint="eastAsia" w:eastAsia="楷体_GB2312" w:cs="Times New Roman"/>
          <w:color w:val="000000" w:themeColor="text1"/>
          <w:sz w:val="32"/>
          <w:szCs w:val="32"/>
          <w:lang w:eastAsia="zh-CN"/>
          <w14:textFill>
            <w14:solidFill>
              <w14:schemeClr w14:val="tx1"/>
            </w14:solidFill>
          </w14:textFill>
        </w:rPr>
        <w:t>，并报分管区领导审阅</w:t>
      </w:r>
      <w:r>
        <w:rPr>
          <w:rFonts w:hint="eastAsia" w:ascii="仿宋_GB2312" w:hAnsi="宋体"/>
          <w:lang w:val="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ind w:firstLine="640" w:firstLineChars="200"/>
        <w:rPr>
          <w:rFonts w:ascii="楷体_GB2312" w:hAnsi="宋体" w:eastAsia="楷体_GB2312"/>
          <w:b/>
          <w:lang w:val="zh-CN"/>
        </w:rPr>
      </w:pPr>
      <w:r>
        <w:rPr>
          <w:rFonts w:hint="eastAsia" w:ascii="仿宋_GB2312" w:hAnsi="宋体"/>
          <w:lang w:val="zh-CN"/>
        </w:rPr>
        <w:t>从项目经济、社会、生态、可持续效益以及服务对象满意度等方面对项目效益进行全面分析评价。</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项目资金预算执行率较低，主要原因是：一是部分资金在下半年才下达到位，所以组织项目实施时间较晚，有少部分资金要在次年才能实施完成；二</w:t>
      </w:r>
      <w:r>
        <w:rPr>
          <w:rFonts w:hint="eastAsia" w:ascii="仿宋_GB2312" w:hAnsi="宋体"/>
          <w:lang w:val="zh-CN" w:eastAsia="zh-CN"/>
        </w:rPr>
        <w:t>是因为经济下行，财政资金紧张拨付困难</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spacing w:line="353"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根据具体项目实施情况，由经办业务股室对相关监管制度进行梳理，针对项目实际进一步完善相关制度</w:t>
      </w:r>
      <w:r>
        <w:rPr>
          <w:rFonts w:ascii="Times New Roman" w:hAnsi="Times New Roman" w:eastAsia="仿宋_GB2312" w:cs="Times New Roman"/>
          <w:color w:val="000000" w:themeColor="text1"/>
          <w:sz w:val="32"/>
          <w:szCs w:val="32"/>
          <w14:textFill>
            <w14:solidFill>
              <w14:schemeClr w14:val="tx1"/>
            </w14:solidFill>
          </w14:textFill>
        </w:rPr>
        <w:t>。</w:t>
      </w:r>
    </w:p>
    <w:p>
      <w:pPr>
        <w:numPr>
          <w:ilvl w:val="0"/>
          <w:numId w:val="0"/>
        </w:numPr>
        <w:adjustRightInd w:val="0"/>
        <w:snapToGrid w:val="0"/>
        <w:spacing w:line="560" w:lineRule="exact"/>
        <w:ind w:firstLine="640" w:firstLineChars="200"/>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2.建议</w:t>
      </w:r>
      <w:r>
        <w:rPr>
          <w:rFonts w:hint="eastAsia" w:cs="Times New Roman"/>
          <w:color w:val="000000" w:themeColor="text1"/>
          <w:sz w:val="32"/>
          <w:szCs w:val="32"/>
          <w:lang w:val="en-US" w:eastAsia="zh-CN"/>
          <w14:textFill>
            <w14:solidFill>
              <w14:schemeClr w14:val="tx1"/>
            </w14:solidFill>
          </w14:textFill>
        </w:rPr>
        <w:t>多和财政部门对接，及时按时拨付资金到企业</w:t>
      </w:r>
      <w:r>
        <w:rPr>
          <w:rFonts w:hint="eastAsia" w:ascii="仿宋_GB2312" w:hAnsi="宋体"/>
          <w:lang w:val="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YjIzMjc3NzgwMDBhMDQ5MWE4NDg4YzVlOGNmMTAifQ=="/>
  </w:docVars>
  <w:rsids>
    <w:rsidRoot w:val="291C455A"/>
    <w:rsid w:val="003414A3"/>
    <w:rsid w:val="00515A0C"/>
    <w:rsid w:val="00866E99"/>
    <w:rsid w:val="0EDB478C"/>
    <w:rsid w:val="1B412C98"/>
    <w:rsid w:val="207D242B"/>
    <w:rsid w:val="22003DFB"/>
    <w:rsid w:val="274D3E1C"/>
    <w:rsid w:val="291C455A"/>
    <w:rsid w:val="36926D0C"/>
    <w:rsid w:val="3CCF4C41"/>
    <w:rsid w:val="4A091ED0"/>
    <w:rsid w:val="4A3F1DD5"/>
    <w:rsid w:val="4DAF2BCF"/>
    <w:rsid w:val="4DDB6F66"/>
    <w:rsid w:val="54EA310D"/>
    <w:rsid w:val="599D630C"/>
    <w:rsid w:val="5D0B701C"/>
    <w:rsid w:val="616D55C9"/>
    <w:rsid w:val="655B398A"/>
    <w:rsid w:val="792F2AEE"/>
    <w:rsid w:val="7A236D15"/>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宋体"/>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 w:type="paragraph" w:customStyle="1" w:styleId="6">
    <w:name w:val="默认"/>
    <w:basedOn w:val="1"/>
    <w:next w:val="1"/>
    <w:qFormat/>
    <w:uiPriority w:val="0"/>
    <w:pPr>
      <w:widowControl/>
    </w:pPr>
    <w:rPr>
      <w:rFonts w:ascii="Helvetica Neue" w:hAnsi="Helvetica Neue" w:eastAsia="Arial Unicode MS" w:cs="Arial Unicode MS"/>
      <w:color w:val="00000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133</Words>
  <Characters>762</Characters>
  <Lines>6</Lines>
  <Paragraphs>1</Paragraphs>
  <TotalTime>4</TotalTime>
  <ScaleCrop>false</ScaleCrop>
  <LinksUpToDate>false</LinksUpToDate>
  <CharactersWithSpaces>894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2020-07-01T08:19:00Z</dcterms:created>
  <dc:creator>Administrator</dc:creator>
  <cp:lastModifiedBy>从头再来</cp:lastModifiedBy>
  <dcterms:modified xsi:type="dcterms:W3CDTF">2024-06-01T16:12:16Z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3BE83EBCA5F24C398FF71E738762D875</vt:lpwstr>
  </property>
</Properties>
</file>