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rPr>
          <w:rFonts w:ascii="宋体" w:hAnsi="宋体" w:eastAsia="宋体"/>
          <w:sz w:val="30"/>
          <w:szCs w:val="30"/>
        </w:rPr>
      </w:pPr>
    </w:p>
    <w:p>
      <w:pPr>
        <w:pStyle w:val="5"/>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2021年第二批省级工业发展专项资金</w:t>
      </w:r>
    </w:p>
    <w:p>
      <w:pPr>
        <w:pStyle w:val="5"/>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（攀枝花瑞峰水泥有限公司超低排放改造项目100万，西区打造5家示范企业50万）项目支出绩效自评报告</w:t>
      </w:r>
    </w:p>
    <w:p>
      <w:pPr>
        <w:pStyle w:val="5"/>
        <w:spacing w:line="560" w:lineRule="exact"/>
        <w:ind w:firstLine="640"/>
        <w:jc w:val="center"/>
        <w:rPr>
          <w:rFonts w:ascii="宋体" w:hAnsi="宋体"/>
          <w:color w:val="auto"/>
          <w:kern w:val="2"/>
          <w:sz w:val="32"/>
          <w:szCs w:val="32"/>
        </w:rPr>
      </w:pPr>
      <w:bookmarkStart w:id="0" w:name="_GoBack"/>
      <w:bookmarkEnd w:id="0"/>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该项目实施单位为</w:t>
      </w:r>
      <w:r>
        <w:rPr>
          <w:rFonts w:hint="eastAsia"/>
          <w:color w:val="000000" w:themeColor="text1"/>
          <w:kern w:val="2"/>
          <w:sz w:val="32"/>
          <w:szCs w:val="32"/>
          <w:lang w:eastAsia="zh-CN"/>
          <w14:textFill>
            <w14:solidFill>
              <w14:schemeClr w14:val="tx1"/>
            </w14:solidFill>
          </w14:textFill>
        </w:rPr>
        <w:t>攀枝花市西区经济和信息化局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，由我局统一编制预算、统一制定绩效目标、统一项目资金管理、统一资金安排使用，</w:t>
      </w:r>
      <w:r>
        <w:rPr>
          <w:rFonts w:hint="eastAsia" w:cs="Times New Roman"/>
          <w:color w:val="000000" w:themeColor="text1"/>
          <w:sz w:val="32"/>
          <w:szCs w:val="32"/>
          <w:lang w:eastAsia="zh-CN"/>
          <w14:textFill>
            <w14:solidFill>
              <w14:schemeClr w14:val="tx1"/>
            </w14:solidFill>
          </w14:textFill>
        </w:rPr>
        <w:t>按照相关资金管理办法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对资金使用进行监督管理与审核、审批</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ind w:firstLine="640" w:firstLineChars="200"/>
        <w:rPr>
          <w:rFonts w:ascii="仿宋_GB2312" w:hAnsi="宋体"/>
          <w:lang w:val="zh-CN"/>
        </w:rPr>
      </w:pPr>
      <w:r>
        <w:rPr>
          <w:rFonts w:hint="eastAsia"/>
          <w:color w:val="000000" w:themeColor="text1"/>
          <w:lang w:val="en-US" w:eastAsia="zh-CN"/>
          <w14:textFill>
            <w14:solidFill>
              <w14:schemeClr w14:val="tx1"/>
            </w14:solidFill>
          </w14:textFill>
        </w:rPr>
        <w:t>1.</w:t>
      </w:r>
      <w:r>
        <w:rPr>
          <w:color w:val="000000" w:themeColor="text1"/>
          <w:lang w:val="zh-CN"/>
          <w14:textFill>
            <w14:solidFill>
              <w14:schemeClr w14:val="tx1"/>
            </w14:solidFill>
          </w14:textFill>
        </w:rPr>
        <w:t>项目立项、资金申报的依据</w:t>
      </w:r>
      <w:r>
        <w:rPr>
          <w:rFonts w:hint="eastAsia"/>
          <w:color w:val="000000" w:themeColor="text1"/>
          <w:lang w:val="zh-CN"/>
          <w14:textFill>
            <w14:solidFill>
              <w14:schemeClr w14:val="tx1"/>
            </w14:solidFill>
          </w14:textFill>
        </w:rPr>
        <w:t>为</w:t>
      </w:r>
      <w:r>
        <w:rPr>
          <w:rFonts w:hint="eastAsia" w:ascii="Times New Roman" w:hAnsi="Times New Roman" w:cs="Times New Roman"/>
          <w:b w:val="0"/>
          <w:bCs w:val="0"/>
          <w:sz w:val="32"/>
          <w:szCs w:val="32"/>
          <w:lang w:val="en-US" w:eastAsia="zh-CN"/>
        </w:rPr>
        <w:t>川财建〔2021〕293号</w:t>
      </w:r>
      <w:r>
        <w:rPr>
          <w:rFonts w:hint="eastAsia" w:cs="Times New Roman"/>
          <w:b w:val="0"/>
          <w:bCs w:val="0"/>
          <w:sz w:val="32"/>
          <w:szCs w:val="32"/>
          <w:lang w:val="en-US" w:eastAsia="zh-CN"/>
        </w:rPr>
        <w:t>、攀财资建〔2022〕32号</w:t>
      </w:r>
      <w:r>
        <w:rPr>
          <w:rFonts w:hint="eastAsia"/>
          <w:color w:val="000000" w:themeColor="text1"/>
          <w:lang w:val="en-US" w:eastAsia="zh-CN"/>
          <w14:textFill>
            <w14:solidFill>
              <w14:schemeClr w14:val="tx1"/>
            </w14:solidFill>
          </w14:textFill>
        </w:rPr>
        <w:t>文件。</w:t>
      </w:r>
    </w:p>
    <w:p>
      <w:pPr>
        <w:adjustRightInd w:val="0"/>
        <w:snapToGrid w:val="0"/>
        <w:spacing w:line="600" w:lineRule="exact"/>
        <w:ind w:firstLine="720"/>
        <w:rPr>
          <w:color w:val="000000" w:themeColor="text1"/>
          <w:lang w:val="zh-CN"/>
          <w14:textFill>
            <w14:solidFill>
              <w14:schemeClr w14:val="tx1"/>
            </w14:solidFill>
          </w14:textFill>
        </w:rPr>
      </w:pPr>
      <w:r>
        <w:rPr>
          <w:rFonts w:hint="eastAsia" w:ascii="楷体_GB2312" w:hAnsi="宋体" w:eastAsia="楷体_GB2312"/>
          <w:b/>
          <w:lang w:val="en-US" w:eastAsia="zh-CN"/>
        </w:rPr>
        <w:t>2.</w:t>
      </w:r>
      <w:r>
        <w:rPr>
          <w:color w:val="000000" w:themeColor="text1"/>
          <w:lang w:val="zh-CN"/>
          <w14:textFill>
            <w14:solidFill>
              <w14:schemeClr w14:val="tx1"/>
            </w14:solidFill>
          </w14:textFill>
        </w:rPr>
        <w:t>资金管理办法制定情况，资金支持具体项目的条件、范围与支持方式概况。</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制度制定情况。为加强对财政资金的管理，不断提高使用绩效，按照内部控制建设要求，制定了财务管理制度，在资金使用上，严格按照资金使用用途进行审核审批，项目管理规范有序，确保资金使用安全。</w:t>
      </w:r>
    </w:p>
    <w:p>
      <w:pPr>
        <w:adjustRightInd w:val="0"/>
        <w:snapToGrid w:val="0"/>
        <w:spacing w:line="600" w:lineRule="exact"/>
        <w:ind w:firstLine="720"/>
        <w:rPr>
          <w:rFonts w:hint="default" w:ascii="楷体_GB2312" w:hAnsi="宋体" w:eastAsia="楷体_GB2312"/>
          <w:b/>
          <w:lang w:val="en-US" w:eastAsia="zh-CN"/>
        </w:rPr>
      </w:pPr>
      <w:r>
        <w:rPr>
          <w:rFonts w:hint="eastAsia" w:cs="Times New Roman"/>
          <w:color w:val="000000" w:themeColor="text1"/>
          <w:sz w:val="32"/>
          <w:szCs w:val="32"/>
          <w:lang w:val="en-US" w:eastAsia="zh-CN"/>
          <w14:textFill>
            <w14:solidFill>
              <w14:schemeClr w14:val="tx1"/>
            </w14:solidFill>
          </w14:textFill>
        </w:rPr>
        <w:t>（2）</w:t>
      </w:r>
      <w:r>
        <w:rPr>
          <w:color w:val="000000" w:themeColor="text1"/>
          <w:lang w:val="zh-CN"/>
          <w14:textFill>
            <w14:solidFill>
              <w14:schemeClr w14:val="tx1"/>
            </w14:solidFill>
          </w14:textFill>
        </w:rPr>
        <w:t>资金支持具体项目的条件、范围与支持方式概况</w:t>
      </w:r>
      <w:r>
        <w:rPr>
          <w:rFonts w:hint="eastAsia"/>
          <w:color w:val="000000" w:themeColor="text1"/>
          <w:lang w:val="zh-CN"/>
          <w14:textFill>
            <w14:solidFill>
              <w14:schemeClr w14:val="tx1"/>
            </w14:solidFill>
          </w14:textFill>
        </w:rPr>
        <w:t>。根据</w:t>
      </w:r>
      <w:r>
        <w:rPr>
          <w:rFonts w:hint="eastAsia" w:ascii="Times New Roman" w:hAnsi="Times New Roman" w:cs="Times New Roman"/>
          <w:b w:val="0"/>
          <w:bCs w:val="0"/>
          <w:sz w:val="32"/>
          <w:szCs w:val="32"/>
          <w:lang w:val="en-US" w:eastAsia="zh-CN"/>
        </w:rPr>
        <w:t>川财建〔2021〕293号</w:t>
      </w:r>
      <w:r>
        <w:rPr>
          <w:rFonts w:hint="eastAsia" w:cs="Times New Roman"/>
          <w:b w:val="0"/>
          <w:bCs w:val="0"/>
          <w:sz w:val="32"/>
          <w:szCs w:val="32"/>
          <w:lang w:val="en-US" w:eastAsia="zh-CN"/>
        </w:rPr>
        <w:t>、攀财资建〔2022〕32号</w:t>
      </w:r>
      <w:r>
        <w:rPr>
          <w:rFonts w:hint="eastAsia"/>
          <w:color w:val="000000" w:themeColor="text1"/>
          <w:lang w:val="en-US" w:eastAsia="zh-CN"/>
          <w14:textFill>
            <w14:solidFill>
              <w14:schemeClr w14:val="tx1"/>
            </w14:solidFill>
          </w14:textFill>
        </w:rPr>
        <w:t>文件</w:t>
      </w:r>
      <w:r>
        <w:rPr>
          <w:rFonts w:hint="eastAsia" w:cs="Times New Roman"/>
          <w:color w:val="000000" w:themeColor="text1"/>
          <w:sz w:val="32"/>
          <w:szCs w:val="32"/>
          <w:lang w:val="en-US" w:eastAsia="zh-CN"/>
          <w14:textFill>
            <w14:solidFill>
              <w14:schemeClr w14:val="tx1"/>
            </w14:solidFill>
          </w14:textFill>
        </w:rPr>
        <w:t>制定。</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ind w:firstLine="640" w:firstLineChars="200"/>
        <w:rPr>
          <w:rFonts w:hint="default" w:ascii="仿宋_GB2312" w:hAnsi="宋体"/>
          <w:lang w:val="en-US"/>
        </w:rPr>
      </w:pPr>
      <w:r>
        <w:rPr>
          <w:rFonts w:hint="eastAsia" w:ascii="仿宋_GB2312" w:hAnsi="宋体"/>
          <w:lang w:val="en-US" w:eastAsia="zh-CN"/>
        </w:rPr>
        <w:t>1.主要建设内容。一是开展企业环境整治和形象提升工作，2022年底打造5家示范企业。二是补贴1户绿色示范项目（瑞峰水泥超低排放项目）100万元。</w:t>
      </w:r>
    </w:p>
    <w:p>
      <w:pPr>
        <w:adjustRightInd w:val="0"/>
        <w:snapToGrid w:val="0"/>
        <w:spacing w:line="560" w:lineRule="exact"/>
        <w:ind w:firstLine="720"/>
        <w:rPr>
          <w:rFonts w:hint="default" w:ascii="楷体_GB2312" w:hAnsi="宋体" w:eastAsia="楷体_GB2312"/>
          <w:b/>
          <w:lang w:val="en-US" w:eastAsia="zh-CN"/>
        </w:rPr>
      </w:pPr>
      <w:r>
        <w:rPr>
          <w:rFonts w:hint="eastAsia" w:ascii="仿宋_GB2312" w:hAnsi="宋体" w:cs="Times New Roman"/>
          <w:lang w:val="en-US" w:eastAsia="zh-CN"/>
        </w:rPr>
        <w:t>2.一是已经成功打</w:t>
      </w:r>
      <w:r>
        <w:rPr>
          <w:rFonts w:hint="eastAsia" w:ascii="仿宋_GB2312" w:hAnsi="宋体"/>
          <w:lang w:val="en-US" w:eastAsia="zh-CN"/>
        </w:rPr>
        <w:t>造5家示范企业，二是瑞峰水泥超低排放项目已基本按照内容建设完成。</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pStyle w:val="5"/>
        <w:spacing w:line="560" w:lineRule="exact"/>
        <w:ind w:firstLine="640" w:firstLineChars="200"/>
        <w:jc w:val="both"/>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2023年收到2021年第二批省级工业发展专项资金（攀枝花瑞峰水泥有限公司超低排放改造项目100万，西区打造5家示范企业50万）项目150万元，到位率100%</w:t>
      </w:r>
      <w:r>
        <w:rPr>
          <w:rFonts w:hint="eastAsia" w:ascii="Times New Roman" w:hAnsi="Times New Roman" w:eastAsia="仿宋_GB2312" w:cs="Times New Roman"/>
          <w:color w:val="auto"/>
          <w:kern w:val="2"/>
          <w:sz w:val="32"/>
          <w:szCs w:val="32"/>
          <w:lang w:val="zh-CN" w:eastAsia="zh-CN" w:bidi="ar-SA"/>
        </w:rPr>
        <w:t>。</w:t>
      </w:r>
    </w:p>
    <w:p>
      <w:pPr>
        <w:numPr>
          <w:ilvl w:val="0"/>
          <w:numId w:val="0"/>
        </w:numPr>
        <w:adjustRightInd w:val="0"/>
        <w:snapToGrid w:val="0"/>
        <w:spacing w:line="560" w:lineRule="exact"/>
        <w:ind w:firstLine="640" w:firstLineChars="200"/>
        <w:rPr>
          <w:rFonts w:hint="eastAsia" w:ascii="楷体_GB2312" w:hAnsi="宋体" w:eastAsia="楷体_GB2312"/>
          <w:lang w:val="zh-CN"/>
        </w:rPr>
      </w:pPr>
      <w:r>
        <w:rPr>
          <w:rFonts w:hint="eastAsia" w:ascii="楷体_GB2312" w:hAnsi="宋体" w:eastAsia="楷体_GB2312"/>
          <w:lang w:val="en-US" w:eastAsia="zh-CN"/>
        </w:rPr>
        <w:t>2.</w:t>
      </w: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截止评价时点，支出</w:t>
      </w:r>
      <w:r>
        <w:rPr>
          <w:rFonts w:hint="eastAsia" w:ascii="Times New Roman" w:hAnsi="Times New Roman" w:cs="Times New Roman"/>
          <w:sz w:val="32"/>
          <w:szCs w:val="32"/>
          <w:lang w:val="en-US" w:eastAsia="zh-CN"/>
        </w:rPr>
        <w:t>企业补助资金</w:t>
      </w:r>
      <w:r>
        <w:rPr>
          <w:rFonts w:hint="eastAsia" w:cs="Times New Roman"/>
          <w:sz w:val="32"/>
          <w:szCs w:val="32"/>
          <w:lang w:val="en-US" w:eastAsia="zh-CN"/>
        </w:rPr>
        <w:t>50</w:t>
      </w:r>
      <w:r>
        <w:rPr>
          <w:rFonts w:hint="default" w:ascii="Times New Roman" w:hAnsi="Times New Roman" w:eastAsia="仿宋_GB2312" w:cs="Times New Roman"/>
          <w:sz w:val="32"/>
          <w:szCs w:val="32"/>
          <w:lang w:val="en-US" w:eastAsia="zh-CN"/>
        </w:rPr>
        <w:t>万元</w:t>
      </w:r>
      <w:r>
        <w:rPr>
          <w:rFonts w:hint="eastAsia" w:cs="Times New Roman"/>
          <w:sz w:val="32"/>
          <w:szCs w:val="32"/>
          <w:lang w:val="en-US" w:eastAsia="zh-CN"/>
        </w:rPr>
        <w:t>。</w:t>
      </w:r>
      <w:r>
        <w:rPr>
          <w:rFonts w:hint="default" w:ascii="Times New Roman" w:hAnsi="Times New Roman" w:eastAsia="仿宋_GB2312" w:cs="Times New Roman"/>
          <w:sz w:val="32"/>
          <w:szCs w:val="32"/>
          <w:lang w:eastAsia="zh-CN"/>
        </w:rPr>
        <w:t>资金开支范围、标准及支付进度等符合规定，按实际发生额进行支付，并严格按照财务管理制度审核支付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Times New Roman" w:hAnsi="Times New Roman" w:eastAsia="楷体_GB2312" w:cs="Times New Roman"/>
          <w:color w:val="000000" w:themeColor="text1"/>
          <w:sz w:val="32"/>
          <w:szCs w:val="32"/>
          <w:lang w:eastAsia="zh-CN"/>
          <w14:textFill>
            <w14:solidFill>
              <w14:schemeClr w14:val="tx1"/>
            </w14:solidFill>
          </w14:textFill>
        </w:rPr>
        <w:t>该项目组织架构与内控管理组织架构</w:t>
      </w:r>
      <w:r>
        <w:rPr>
          <w:rFonts w:hint="eastAsia" w:eastAsia="楷体_GB2312" w:cs="Times New Roman"/>
          <w:color w:val="000000" w:themeColor="text1"/>
          <w:sz w:val="32"/>
          <w:szCs w:val="32"/>
          <w:lang w:eastAsia="zh-CN"/>
          <w14:textFill>
            <w14:solidFill>
              <w14:schemeClr w14:val="tx1"/>
            </w14:solidFill>
          </w14:textFill>
        </w:rPr>
        <w:t>基本</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一致，主要责任人为单位主要负责人，分管责任人为财务分管领导和业务分管领导，项目实施责任人为业务股室</w:t>
      </w:r>
      <w:r>
        <w:rPr>
          <w:rFonts w:hint="eastAsia" w:eastAsia="楷体_GB2312" w:cs="Times New Roman"/>
          <w:color w:val="000000" w:themeColor="text1"/>
          <w:sz w:val="32"/>
          <w:szCs w:val="32"/>
          <w:lang w:eastAsia="zh-CN"/>
          <w14:textFill>
            <w14:solidFill>
              <w14:schemeClr w14:val="tx1"/>
            </w14:solidFill>
          </w14:textFill>
        </w:rPr>
        <w:t>同志</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。实施流程由业务股室进行相关资料收集审核，分管领导复核，单位主要负责人终审</w:t>
      </w:r>
      <w:r>
        <w:rPr>
          <w:rFonts w:hint="eastAsia" w:eastAsia="楷体_GB2312" w:cs="Times New Roman"/>
          <w:color w:val="000000" w:themeColor="text1"/>
          <w:sz w:val="32"/>
          <w:szCs w:val="32"/>
          <w:lang w:eastAsia="zh-CN"/>
          <w14:textFill>
            <w14:solidFill>
              <w14:schemeClr w14:val="tx1"/>
            </w14:solidFill>
          </w14:textFill>
        </w:rPr>
        <w:t>，并报分管区领导审阅</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ind w:firstLine="640" w:firstLineChars="200"/>
        <w:rPr>
          <w:rFonts w:ascii="楷体_GB2312" w:hAnsi="宋体" w:eastAsia="楷体_GB2312"/>
          <w:b/>
          <w:lang w:val="zh-CN"/>
        </w:rPr>
      </w:pPr>
      <w:r>
        <w:rPr>
          <w:rFonts w:hint="eastAsia" w:ascii="仿宋_GB2312" w:hAnsi="宋体"/>
          <w:lang w:val="zh-CN"/>
        </w:rPr>
        <w:t>从项目经济、社会、生态、可持续效益以及服务对象满意度等方面对项目效益进行全面分析评价。</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项目资金预算执行率较低，主要原因是：一是部分资金在下半年才下达到位，所以组织项目实施时间较晚，有少部分资金要在次年才能实施完成；二</w:t>
      </w:r>
      <w:r>
        <w:rPr>
          <w:rFonts w:hint="eastAsia" w:ascii="仿宋_GB2312" w:hAnsi="宋体"/>
          <w:lang w:val="zh-CN" w:eastAsia="zh-CN"/>
        </w:rPr>
        <w:t>是因为经济下行，财政资金紧张拨付困难</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spacing w:line="353"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根据具体项目实施情况，由经办业务股室对相关监管制度进行梳理，针对项目实际进一步完善相关制度</w:t>
      </w:r>
      <w:r>
        <w:rPr>
          <w:rFonts w:ascii="Times New Roman" w:hAnsi="Times New Roman" w:eastAsia="仿宋_GB2312" w:cs="Times New Roman"/>
          <w:color w:val="000000" w:themeColor="text1"/>
          <w:sz w:val="32"/>
          <w:szCs w:val="32"/>
          <w14:textFill>
            <w14:solidFill>
              <w14:schemeClr w14:val="tx1"/>
            </w14:solidFill>
          </w14:textFill>
        </w:rPr>
        <w:t>。</w:t>
      </w:r>
    </w:p>
    <w:p>
      <w:pPr>
        <w:ind w:firstLine="640" w:firstLineChars="200"/>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2.建议</w:t>
      </w:r>
      <w:r>
        <w:rPr>
          <w:rFonts w:hint="eastAsia" w:cs="Times New Roman"/>
          <w:color w:val="000000" w:themeColor="text1"/>
          <w:sz w:val="32"/>
          <w:szCs w:val="32"/>
          <w:lang w:val="en-US" w:eastAsia="zh-CN"/>
          <w14:textFill>
            <w14:solidFill>
              <w14:schemeClr w14:val="tx1"/>
            </w14:solidFill>
          </w14:textFill>
        </w:rPr>
        <w:t>多和财政部门对接，及时按时拨付资金到企业</w:t>
      </w:r>
      <w:r>
        <w:rPr>
          <w:rFonts w:hint="eastAsia" w:ascii="仿宋_GB2312" w:hAnsi="宋体"/>
          <w:lang w:val="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YjIzMjc3NzgwMDBhMDQ5MWE4NDg4YzVlOGNmMTAifQ=="/>
  </w:docVars>
  <w:rsids>
    <w:rsidRoot w:val="291C455A"/>
    <w:rsid w:val="003414A3"/>
    <w:rsid w:val="00515A0C"/>
    <w:rsid w:val="00866E99"/>
    <w:rsid w:val="0EDB478C"/>
    <w:rsid w:val="1B412C98"/>
    <w:rsid w:val="22003DFB"/>
    <w:rsid w:val="27236E1F"/>
    <w:rsid w:val="274D3E1C"/>
    <w:rsid w:val="291C455A"/>
    <w:rsid w:val="36926D0C"/>
    <w:rsid w:val="4A091ED0"/>
    <w:rsid w:val="4DAF2BCF"/>
    <w:rsid w:val="4DDB6F66"/>
    <w:rsid w:val="5D0B701C"/>
    <w:rsid w:val="616D55C9"/>
    <w:rsid w:val="77F78A68"/>
    <w:rsid w:val="792F2AEE"/>
    <w:rsid w:val="7A236D15"/>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宋体"/>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133</Words>
  <Characters>762</Characters>
  <Lines>6</Lines>
  <Paragraphs>1</Paragraphs>
  <TotalTime>0</TotalTime>
  <ScaleCrop>false</ScaleCrop>
  <LinksUpToDate>false</LinksUpToDate>
  <CharactersWithSpaces>894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2020-07-01T08:19:00Z</dcterms:created>
  <dc:creator>Administrator</dc:creator>
  <cp:lastModifiedBy>从头再来</cp:lastModifiedBy>
  <dcterms:modified xsi:type="dcterms:W3CDTF">2024-06-01T15:59:33Z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F93F155F742E469E82F5AA7501FFEF5D</vt:lpwstr>
  </property>
</Properties>
</file>