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5"/>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2021年第二批工业发展应急资金</w:t>
      </w:r>
    </w:p>
    <w:p>
      <w:pPr>
        <w:pStyle w:val="5"/>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（2021年火电企业丰存枯用电煤储存奖补资金--攀钢集团钒钛资源股份有限公司发电厂</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rPr>
        <w:t>项目支出绩效自评报告</w:t>
      </w:r>
    </w:p>
    <w:p>
      <w:pPr>
        <w:pStyle w:val="5"/>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（项目单位自评）</w:t>
      </w:r>
    </w:p>
    <w:p>
      <w:pPr>
        <w:pStyle w:val="5"/>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该项目实施单位为</w:t>
      </w:r>
      <w:r>
        <w:rPr>
          <w:rFonts w:hint="eastAsia"/>
          <w:color w:val="000000" w:themeColor="text1"/>
          <w:kern w:val="2"/>
          <w:sz w:val="32"/>
          <w:szCs w:val="32"/>
          <w:lang w:eastAsia="zh-CN"/>
          <w14:textFill>
            <w14:solidFill>
              <w14:schemeClr w14:val="tx1"/>
            </w14:solidFill>
          </w14:textFill>
        </w:rPr>
        <w:t>攀枝花市西区经济和信息化局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，由我局统一编制预算、统一制定绩效目标、统一项目资金管理、统一资金安排使用，</w:t>
      </w:r>
      <w:r>
        <w:rPr>
          <w:rFonts w:hint="eastAsia" w:cs="Times New Roman"/>
          <w:color w:val="000000" w:themeColor="text1"/>
          <w:sz w:val="32"/>
          <w:szCs w:val="32"/>
          <w:lang w:eastAsia="zh-CN"/>
          <w14:textFill>
            <w14:solidFill>
              <w14:schemeClr w14:val="tx1"/>
            </w14:solidFill>
          </w14:textFill>
        </w:rPr>
        <w:t>按照相关资金管理办法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对资金使用进行监督管理与审核、审批</w:t>
      </w:r>
      <w:r>
        <w:rPr>
          <w:rFonts w:hint="eastAsia" w:ascii="Times New Roman" w:hAnsi="Times New Roman"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（一）项目资金申报及批复情况。</w:t>
      </w:r>
    </w:p>
    <w:p>
      <w:pPr>
        <w:adjustRightInd w:val="0"/>
        <w:snapToGrid w:val="0"/>
        <w:spacing w:line="600" w:lineRule="exact"/>
        <w:ind w:firstLine="72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r>
        <w:rPr>
          <w:color w:val="000000" w:themeColor="text1"/>
          <w:lang w:val="zh-CN"/>
          <w14:textFill>
            <w14:solidFill>
              <w14:schemeClr w14:val="tx1"/>
            </w14:solidFill>
          </w14:textFill>
        </w:rPr>
        <w:t>项目立项、资金申报的依据</w:t>
      </w:r>
      <w:r>
        <w:rPr>
          <w:rFonts w:hint="eastAsia"/>
          <w:color w:val="000000" w:themeColor="text1"/>
          <w:lang w:val="zh-CN"/>
          <w14:textFill>
            <w14:solidFill>
              <w14:schemeClr w14:val="tx1"/>
            </w14:solidFill>
          </w14:textFill>
        </w:rPr>
        <w:t>为</w:t>
      </w:r>
      <w:r>
        <w:rPr>
          <w:rFonts w:hint="eastAsia"/>
          <w:color w:val="000000" w:themeColor="text1"/>
          <w:lang w:val="en-US" w:eastAsia="zh-CN"/>
          <w14:textFill>
            <w14:solidFill>
              <w14:schemeClr w14:val="tx1"/>
            </w14:solidFill>
          </w14:textFill>
        </w:rPr>
        <w:t>川财建〔2021〕361号、攀财资建〔2022〕21号文件。</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lang w:val="zh-CN"/>
          <w14:textFill>
            <w14:solidFill>
              <w14:schemeClr w14:val="tx1"/>
            </w14:solidFill>
          </w14:textFill>
        </w:rPr>
        <w:t>．资金管理办法制定情况，资金支持具体项目的条件、范围与支持方式概况。</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制度制定情况。为加强对财政资金的管理，不断提高使用绩效，按照内部控制建设要求，制定了财务管理制度，在资金使用上，严格按照资金使用用途进行审核审批，项目管理规范有序，确保资金使用安全。</w:t>
      </w:r>
    </w:p>
    <w:p>
      <w:pPr>
        <w:adjustRightInd w:val="0"/>
        <w:snapToGrid w:val="0"/>
        <w:spacing w:line="600" w:lineRule="exact"/>
        <w:ind w:firstLine="720"/>
        <w:rPr>
          <w:rFonts w:hint="eastAsia" w:ascii="Times New Roman" w:hAnsi="Times New Roman" w:eastAsia="仿宋_GB2312" w:cs="Times New Roman"/>
          <w:color w:val="000000" w:themeColor="text1"/>
          <w:sz w:val="32"/>
          <w:szCs w:val="32"/>
          <w:lang w:val="zh-CN" w:eastAsia="zh-CN"/>
          <w14:textFill>
            <w14:solidFill>
              <w14:schemeClr w14:val="tx1"/>
            </w14:solidFill>
          </w14:textFill>
        </w:rPr>
      </w:pPr>
      <w:r>
        <w:rPr>
          <w:rFonts w:hint="eastAsia" w:cs="Times New Roman"/>
          <w:color w:val="000000" w:themeColor="text1"/>
          <w:sz w:val="32"/>
          <w:szCs w:val="32"/>
          <w:lang w:val="en-US" w:eastAsia="zh-CN"/>
          <w14:textFill>
            <w14:solidFill>
              <w14:schemeClr w14:val="tx1"/>
            </w14:solidFill>
          </w14:textFill>
        </w:rPr>
        <w:t>（2）</w:t>
      </w:r>
      <w:r>
        <w:rPr>
          <w:color w:val="000000" w:themeColor="text1"/>
          <w:lang w:val="zh-CN"/>
          <w14:textFill>
            <w14:solidFill>
              <w14:schemeClr w14:val="tx1"/>
            </w14:solidFill>
          </w14:textFill>
        </w:rPr>
        <w:t>资金支持具体项目的条件、范围与支持方式概况</w:t>
      </w:r>
      <w:r>
        <w:rPr>
          <w:rFonts w:hint="eastAsia"/>
          <w:color w:val="000000" w:themeColor="text1"/>
          <w:lang w:val="zh-CN"/>
          <w14:textFill>
            <w14:solidFill>
              <w14:schemeClr w14:val="tx1"/>
            </w14:solidFill>
          </w14:textFill>
        </w:rPr>
        <w:t>。根据</w:t>
      </w:r>
      <w:r>
        <w:rPr>
          <w:rFonts w:hint="eastAsia" w:cs="Times New Roman"/>
          <w:color w:val="000000" w:themeColor="text1"/>
          <w:sz w:val="32"/>
          <w:szCs w:val="32"/>
          <w:lang w:val="en-US" w:eastAsia="zh-CN"/>
          <w14:textFill>
            <w14:solidFill>
              <w14:schemeClr w14:val="tx1"/>
            </w14:solidFill>
          </w14:textFill>
        </w:rPr>
        <w:t>川财建〔2019〕296号文件制定。</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en-US" w:eastAsia="zh-CN"/>
          <w14:textFill>
            <w14:solidFill>
              <w14:schemeClr w14:val="tx1"/>
            </w14:solidFill>
          </w14:textFill>
        </w:rPr>
        <w:t>3</w:t>
      </w:r>
      <w:r>
        <w:rPr>
          <w:color w:val="000000" w:themeColor="text1"/>
          <w:lang w:val="zh-CN"/>
          <w14:textFill>
            <w14:solidFill>
              <w14:schemeClr w14:val="tx1"/>
            </w14:solidFill>
          </w14:textFill>
        </w:rPr>
        <w:t>. 资金分配的原则及考虑因素。</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w:t>
      </w:r>
      <w:r>
        <w:rPr>
          <w:rFonts w:hint="eastAsia"/>
          <w:color w:val="000000" w:themeColor="text1"/>
          <w:lang w:val="en-US" w:eastAsia="zh-CN"/>
          <w14:textFill>
            <w14:solidFill>
              <w14:schemeClr w14:val="tx1"/>
            </w14:solidFill>
          </w14:textFill>
        </w:rPr>
        <w:t>川财建〔2021〕361号、攀财资建〔2022〕21号文件，以及项目建设实际情况和西区财政实际情况分配资金。</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（二）项目绩效目标。</w:t>
      </w:r>
    </w:p>
    <w:p>
      <w:pPr>
        <w:adjustRightInd w:val="0"/>
        <w:snapToGrid w:val="0"/>
        <w:spacing w:line="600" w:lineRule="exact"/>
        <w:ind w:firstLine="720"/>
        <w:rPr>
          <w:color w:val="000000" w:themeColor="text1"/>
          <w:lang w:val="zh-CN"/>
          <w14:textFill>
            <w14:solidFill>
              <w14:schemeClr w14:val="tx1"/>
            </w14:solidFill>
          </w14:textFill>
        </w:rPr>
      </w:pPr>
      <w:r>
        <w:rPr>
          <w:color w:val="000000" w:themeColor="text1"/>
          <w:lang w:val="zh-CN"/>
          <w14:textFill>
            <w14:solidFill>
              <w14:schemeClr w14:val="tx1"/>
            </w14:solidFill>
          </w14:textFill>
        </w:rPr>
        <w:t>1. 项目主要内容。</w:t>
      </w:r>
    </w:p>
    <w:p>
      <w:pPr>
        <w:adjustRightInd w:val="0"/>
        <w:snapToGrid w:val="0"/>
        <w:spacing w:line="600" w:lineRule="exact"/>
        <w:ind w:firstLine="720"/>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攀钢集团钒钛资源股份有限公司发电厂11月30日丰存枯用电煤储备21.09万吨奖补。</w:t>
      </w:r>
    </w:p>
    <w:p>
      <w:pPr>
        <w:numPr>
          <w:ilvl w:val="0"/>
          <w:numId w:val="0"/>
        </w:numPr>
        <w:adjustRightInd w:val="0"/>
        <w:snapToGrid w:val="0"/>
        <w:spacing w:line="600" w:lineRule="exact"/>
        <w:ind w:firstLine="640" w:firstLineChars="200"/>
        <w:rPr>
          <w:rFonts w:hint="eastAsia"/>
          <w:color w:val="000000" w:themeColor="text1"/>
          <w:kern w:val="2"/>
          <w:sz w:val="32"/>
          <w:szCs w:val="32"/>
          <w:lang w:eastAsia="zh-CN"/>
          <w14:textFill>
            <w14:solidFill>
              <w14:schemeClr w14:val="tx1"/>
            </w14:solidFill>
          </w14:textFill>
        </w:rPr>
      </w:pPr>
      <w:r>
        <w:rPr>
          <w:rFonts w:hint="eastAsia"/>
          <w:color w:val="000000" w:themeColor="text1"/>
          <w:lang w:val="en-US" w:eastAsia="zh-CN"/>
          <w14:textFill>
            <w14:solidFill>
              <w14:schemeClr w14:val="tx1"/>
            </w14:solidFill>
          </w14:textFill>
        </w:rPr>
        <w:t>2.项目已完成。成功申报2021</w:t>
      </w:r>
      <w:r>
        <w:rPr>
          <w:rFonts w:hint="eastAsia" w:ascii="Times New Roman" w:hAnsi="Times New Roman" w:eastAsia="仿宋_GB2312"/>
          <w:color w:val="000000" w:themeColor="text1"/>
          <w:kern w:val="2"/>
          <w:sz w:val="32"/>
          <w:szCs w:val="32"/>
          <w14:textFill>
            <w14:solidFill>
              <w14:schemeClr w14:val="tx1"/>
            </w14:solidFill>
          </w14:textFill>
        </w:rPr>
        <w:t>年第二批工业发展应急资金</w:t>
      </w:r>
      <w:r>
        <w:rPr>
          <w:rFonts w:hint="eastAsia"/>
          <w:color w:val="000000" w:themeColor="text1"/>
          <w:kern w:val="2"/>
          <w:sz w:val="32"/>
          <w:szCs w:val="32"/>
          <w:lang w:eastAsia="zh-CN"/>
          <w14:textFill>
            <w14:solidFill>
              <w14:schemeClr w14:val="tx1"/>
            </w14:solidFill>
          </w14:textFill>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（三）项目资金申</w:t>
      </w:r>
      <w:bookmarkStart w:id="0" w:name="_GoBack"/>
      <w:bookmarkEnd w:id="0"/>
      <w:r>
        <w:rPr>
          <w:rFonts w:hint="eastAsia" w:ascii="楷体_GB2312" w:hAnsi="宋体" w:eastAsia="楷体_GB2312"/>
          <w:b/>
          <w:lang w:val="zh-CN"/>
        </w:rPr>
        <w:t>报相符性。</w:t>
      </w:r>
    </w:p>
    <w:p>
      <w:pPr>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该项目的设立依据充分，符合政策文件</w:t>
      </w:r>
      <w:r>
        <w:rPr>
          <w:rFonts w:hint="default" w:ascii="Times New Roman" w:hAnsi="Times New Roman" w:cs="Times New Roman"/>
          <w:sz w:val="32"/>
          <w:szCs w:val="32"/>
          <w:lang w:val="en-US" w:eastAsia="zh-CN"/>
        </w:rPr>
        <w:t>有</w:t>
      </w:r>
      <w:r>
        <w:rPr>
          <w:rFonts w:hint="default" w:ascii="Times New Roman" w:hAnsi="Times New Roman" w:eastAsia="仿宋_GB2312" w:cs="Times New Roman"/>
          <w:sz w:val="32"/>
          <w:szCs w:val="32"/>
          <w:lang w:val="en-US" w:eastAsia="zh-CN"/>
        </w:rPr>
        <w:t>关要求，立项程序合规，目标设定切实可行，经费安排与工作相适应，资金用途明确</w:t>
      </w:r>
      <w:r>
        <w:rPr>
          <w:rFonts w:hint="eastAsia" w:ascii="仿宋_GB2312" w:hAnsi="宋体"/>
          <w:lang w:val="zh-CN"/>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pStyle w:val="5"/>
        <w:spacing w:line="560" w:lineRule="exact"/>
        <w:ind w:firstLine="640" w:firstLineChars="200"/>
        <w:jc w:val="both"/>
        <w:rPr>
          <w:rFonts w:hint="eastAsia" w:ascii="Times New Roman" w:hAnsi="Times New Roman" w:eastAsia="仿宋_GB2312" w:cs="Times New Roman"/>
          <w:color w:val="auto"/>
          <w:kern w:val="2"/>
          <w:sz w:val="32"/>
          <w:szCs w:val="32"/>
          <w:lang w:val="zh-CN" w:eastAsia="zh-CN" w:bidi="ar-SA"/>
        </w:rPr>
      </w:pPr>
      <w:r>
        <w:rPr>
          <w:rFonts w:hint="eastAsia" w:ascii="Times New Roman" w:hAnsi="Times New Roman" w:eastAsia="仿宋_GB2312" w:cs="Times New Roman"/>
          <w:color w:val="auto"/>
          <w:kern w:val="2"/>
          <w:sz w:val="32"/>
          <w:szCs w:val="32"/>
          <w:lang w:val="en-US" w:eastAsia="zh-CN" w:bidi="ar-SA"/>
        </w:rPr>
        <w:t>2023年收到2021年第二批工业发展应急资金（2021年火电企业丰存枯用电煤储存奖补资金--攀钢集团钒钛资源股份有限公司发电厂）项目571万元，到位率100%</w:t>
      </w:r>
      <w:r>
        <w:rPr>
          <w:rFonts w:hint="eastAsia" w:ascii="Times New Roman" w:hAnsi="Times New Roman" w:eastAsia="仿宋_GB2312" w:cs="Times New Roman"/>
          <w:color w:val="auto"/>
          <w:kern w:val="2"/>
          <w:sz w:val="32"/>
          <w:szCs w:val="32"/>
          <w:lang w:val="zh-CN" w:eastAsia="zh-CN" w:bidi="ar-SA"/>
        </w:rPr>
        <w:t>。</w:t>
      </w:r>
    </w:p>
    <w:p>
      <w:pPr>
        <w:numPr>
          <w:ilvl w:val="0"/>
          <w:numId w:val="0"/>
        </w:numPr>
        <w:adjustRightInd w:val="0"/>
        <w:snapToGrid w:val="0"/>
        <w:spacing w:line="560" w:lineRule="exact"/>
        <w:ind w:firstLine="640" w:firstLineChars="200"/>
        <w:rPr>
          <w:rFonts w:hint="eastAsia" w:ascii="楷体_GB2312" w:hAnsi="宋体" w:eastAsia="楷体_GB2312"/>
          <w:lang w:val="zh-CN"/>
        </w:rPr>
      </w:pPr>
      <w:r>
        <w:rPr>
          <w:rFonts w:hint="eastAsia" w:ascii="楷体_GB2312" w:hAnsi="宋体" w:eastAsia="楷体_GB2312"/>
          <w:lang w:val="en-US" w:eastAsia="zh-CN"/>
        </w:rPr>
        <w:t>2.</w:t>
      </w:r>
      <w:r>
        <w:rPr>
          <w:rFonts w:hint="eastAsia" w:ascii="楷体_GB2312" w:hAnsi="宋体" w:eastAsia="楷体_GB2312"/>
          <w:lang w:val="zh-CN"/>
        </w:rPr>
        <w:t>资金使用。</w:t>
      </w:r>
    </w:p>
    <w:p>
      <w:pPr>
        <w:numPr>
          <w:ilvl w:val="0"/>
          <w:numId w:val="0"/>
        </w:numPr>
        <w:adjustRightInd w:val="0"/>
        <w:snapToGrid w:val="0"/>
        <w:spacing w:line="560" w:lineRule="exact"/>
        <w:ind w:firstLine="640" w:firstLineChars="200"/>
        <w:rPr>
          <w:rFonts w:ascii="仿宋_GB2312" w:hAnsi="宋体"/>
          <w:lang w:val="zh-CN"/>
        </w:rPr>
      </w:pPr>
      <w:r>
        <w:rPr>
          <w:rFonts w:hint="default" w:ascii="Times New Roman" w:hAnsi="Times New Roman" w:eastAsia="仿宋_GB2312" w:cs="Times New Roman"/>
          <w:sz w:val="32"/>
          <w:szCs w:val="32"/>
          <w:lang w:val="en-US" w:eastAsia="zh-CN"/>
        </w:rPr>
        <w:t>截止评价时点，支出</w:t>
      </w:r>
      <w:r>
        <w:rPr>
          <w:rFonts w:hint="eastAsia" w:ascii="Times New Roman" w:hAnsi="Times New Roman" w:cs="Times New Roman"/>
          <w:sz w:val="32"/>
          <w:szCs w:val="32"/>
          <w:lang w:val="en-US" w:eastAsia="zh-CN"/>
        </w:rPr>
        <w:t>奖补资金</w:t>
      </w:r>
      <w:r>
        <w:rPr>
          <w:rFonts w:hint="eastAsia" w:cs="Times New Roman"/>
          <w:sz w:val="32"/>
          <w:szCs w:val="32"/>
          <w:lang w:val="en-US" w:eastAsia="zh-CN"/>
        </w:rPr>
        <w:t>60</w:t>
      </w:r>
      <w:r>
        <w:rPr>
          <w:rFonts w:hint="default" w:ascii="Times New Roman" w:hAnsi="Times New Roman" w:eastAsia="仿宋_GB2312" w:cs="Times New Roman"/>
          <w:sz w:val="32"/>
          <w:szCs w:val="32"/>
          <w:lang w:val="en-US" w:eastAsia="zh-CN"/>
        </w:rPr>
        <w:t>万元</w:t>
      </w:r>
      <w:r>
        <w:rPr>
          <w:rFonts w:hint="eastAsia" w:cs="Times New Roman"/>
          <w:sz w:val="32"/>
          <w:szCs w:val="32"/>
          <w:lang w:val="en-US" w:eastAsia="zh-CN"/>
        </w:rPr>
        <w:t>。</w:t>
      </w:r>
      <w:r>
        <w:rPr>
          <w:rFonts w:hint="default" w:ascii="Times New Roman" w:hAnsi="Times New Roman" w:eastAsia="仿宋_GB2312" w:cs="Times New Roman"/>
          <w:sz w:val="32"/>
          <w:szCs w:val="32"/>
          <w:lang w:eastAsia="zh-CN"/>
        </w:rPr>
        <w:t>资金开支范围、标准及支付进度等符合规定，按实际发生额进行支付，并严格按照财务管理制度审核支付</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eastAsia" w:ascii="仿宋_GB2312" w:hAnsi="宋体"/>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Times New Roman" w:hAnsi="Times New Roman" w:eastAsia="楷体_GB2312" w:cs="Times New Roman"/>
          <w:color w:val="000000" w:themeColor="text1"/>
          <w:sz w:val="32"/>
          <w:szCs w:val="32"/>
          <w:lang w:eastAsia="zh-CN"/>
          <w14:textFill>
            <w14:solidFill>
              <w14:schemeClr w14:val="tx1"/>
            </w14:solidFill>
          </w14:textFill>
        </w:rPr>
        <w:t>该项目组织架构与内控管理组织架构</w:t>
      </w:r>
      <w:r>
        <w:rPr>
          <w:rFonts w:hint="eastAsia" w:eastAsia="楷体_GB2312" w:cs="Times New Roman"/>
          <w:color w:val="000000" w:themeColor="text1"/>
          <w:sz w:val="32"/>
          <w:szCs w:val="32"/>
          <w:lang w:eastAsia="zh-CN"/>
          <w14:textFill>
            <w14:solidFill>
              <w14:schemeClr w14:val="tx1"/>
            </w14:solidFill>
          </w14:textFill>
        </w:rPr>
        <w:t>基本</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一致，主要责任人为单位主要负责人，分管责任人为财务分管领导和业务分管领导，项目实施责任人为业务股室</w:t>
      </w:r>
      <w:r>
        <w:rPr>
          <w:rFonts w:hint="eastAsia" w:eastAsia="楷体_GB2312" w:cs="Times New Roman"/>
          <w:color w:val="000000" w:themeColor="text1"/>
          <w:sz w:val="32"/>
          <w:szCs w:val="32"/>
          <w:lang w:eastAsia="zh-CN"/>
          <w14:textFill>
            <w14:solidFill>
              <w14:schemeClr w14:val="tx1"/>
            </w14:solidFill>
          </w14:textFill>
        </w:rPr>
        <w:t>同志</w:t>
      </w:r>
      <w:r>
        <w:rPr>
          <w:rFonts w:hint="eastAsia" w:ascii="Times New Roman" w:hAnsi="Times New Roman" w:eastAsia="楷体_GB2312" w:cs="Times New Roman"/>
          <w:color w:val="000000" w:themeColor="text1"/>
          <w:sz w:val="32"/>
          <w:szCs w:val="32"/>
          <w:lang w:eastAsia="zh-CN"/>
          <w14:textFill>
            <w14:solidFill>
              <w14:schemeClr w14:val="tx1"/>
            </w14:solidFill>
          </w14:textFill>
        </w:rPr>
        <w:t>。实施流程由业务股室进行相关资料收集审核，分管领导复核，单位主要负责人终审</w:t>
      </w:r>
      <w:r>
        <w:rPr>
          <w:rFonts w:hint="eastAsia" w:eastAsia="楷体_GB2312" w:cs="Times New Roman"/>
          <w:color w:val="000000" w:themeColor="text1"/>
          <w:sz w:val="32"/>
          <w:szCs w:val="32"/>
          <w:lang w:eastAsia="zh-CN"/>
          <w14:textFill>
            <w14:solidFill>
              <w14:schemeClr w14:val="tx1"/>
            </w14:solidFill>
          </w14:textFill>
        </w:rPr>
        <w:t>，并报分管区领导审阅</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ascii="楷体_GB2312" w:hAnsi="宋体" w:eastAsia="楷体_GB2312"/>
          <w:b/>
          <w:lang w:val="zh-CN"/>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（二）项目效益情况。</w:t>
      </w:r>
    </w:p>
    <w:p>
      <w:pPr>
        <w:ind w:firstLine="640" w:firstLineChars="200"/>
        <w:rPr>
          <w:rFonts w:ascii="楷体_GB2312" w:hAnsi="宋体" w:eastAsia="楷体_GB2312"/>
          <w:b/>
          <w:lang w:val="zh-CN"/>
        </w:rPr>
      </w:pPr>
      <w:r>
        <w:rPr>
          <w:rFonts w:hint="eastAsia" w:ascii="仿宋_GB2312" w:hAnsi="宋体"/>
          <w:lang w:val="zh-CN"/>
        </w:rPr>
        <w:t>从项目经济、社会、生态、可持续效益以及服务对象满意度等方面对项目效益进行全面分析评价。</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项目资金预算执行率较低，主要原因是：一是部分资金在下半年才下达到位，所以组织项目实施时间较晚，有少部分资金要在次年才能实施完成；二</w:t>
      </w:r>
      <w:r>
        <w:rPr>
          <w:rFonts w:hint="eastAsia" w:ascii="仿宋_GB2312" w:hAnsi="宋体"/>
          <w:lang w:val="zh-CN" w:eastAsia="zh-CN"/>
        </w:rPr>
        <w:t>是因为经济下行，财政资金紧张拨付困难</w:t>
      </w:r>
      <w:r>
        <w:rPr>
          <w:rFonts w:hint="eastAsia" w:ascii="仿宋_GB2312" w:hAnsi="宋体"/>
          <w:lang w:val="zh-CN"/>
        </w:rPr>
        <w:t>。</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spacing w:line="353"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ascii="Times New Roman" w:hAnsi="Times New Roman" w:eastAsia="仿宋_GB2312" w:cs="Times New Roman"/>
          <w:color w:val="000000" w:themeColor="text1"/>
          <w:sz w:val="32"/>
          <w:szCs w:val="32"/>
          <w14:textFill>
            <w14:solidFill>
              <w14:schemeClr w14:val="tx1"/>
            </w14:solidFill>
          </w14:textFill>
        </w:rPr>
        <w:t>。</w:t>
      </w:r>
    </w:p>
    <w:p>
      <w:pPr>
        <w:ind w:firstLine="640" w:firstLineChars="200"/>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2.建议</w:t>
      </w:r>
      <w:r>
        <w:rPr>
          <w:rFonts w:hint="eastAsia" w:cs="Times New Roman"/>
          <w:color w:val="000000" w:themeColor="text1"/>
          <w:sz w:val="32"/>
          <w:szCs w:val="32"/>
          <w:lang w:val="en-US" w:eastAsia="zh-CN"/>
          <w14:textFill>
            <w14:solidFill>
              <w14:schemeClr w14:val="tx1"/>
            </w14:solidFill>
          </w14:textFill>
        </w:rPr>
        <w:t>多和财政部门对接，及时按时拨付资金到企业</w:t>
      </w:r>
      <w:r>
        <w:rPr>
          <w:rFonts w:hint="eastAsia" w:ascii="仿宋_GB2312" w:hAnsi="宋体"/>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zQxYTRlNjk4MDU3ODhkODNhNzlhZWNhNGRmZDIifQ=="/>
  </w:docVars>
  <w:rsids>
    <w:rsidRoot w:val="291C455A"/>
    <w:rsid w:val="003414A3"/>
    <w:rsid w:val="00515A0C"/>
    <w:rsid w:val="00866E99"/>
    <w:rsid w:val="0EDB478C"/>
    <w:rsid w:val="1B412C98"/>
    <w:rsid w:val="22003DFB"/>
    <w:rsid w:val="274D3E1C"/>
    <w:rsid w:val="291C455A"/>
    <w:rsid w:val="36926D0C"/>
    <w:rsid w:val="4A091ED0"/>
    <w:rsid w:val="4DAF2BCF"/>
    <w:rsid w:val="4DDB6F66"/>
    <w:rsid w:val="5D0B701C"/>
    <w:rsid w:val="616D55C9"/>
    <w:rsid w:val="792F2AEE"/>
    <w:rsid w:val="BFFE83F2"/>
    <w:rsid w:val="D7FDD76B"/>
    <w:rsid w:val="DBEB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customStyle="1" w:styleId="5">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133</Words>
  <Characters>762</Characters>
  <Lines>6</Lines>
  <Paragraphs>1</Paragraphs>
  <TotalTime>0</TotalTime>
  <ScaleCrop>false</ScaleCrop>
  <LinksUpToDate>false</LinksUpToDate>
  <CharactersWithSpaces>894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2020-07-01T08:19:00Z</dcterms:created>
  <dc:creator>Administrator</dc:creator>
  <cp:lastModifiedBy>HUAWEI</cp:lastModifiedBy>
  <dcterms:modified xsi:type="dcterms:W3CDTF">2024-05-21T16:42:06Z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E10C1AA7D5254C0E8E0E624D7C2B7E3E</vt:lpwstr>
  </property>
</Properties>
</file>