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5</w:t>
      </w:r>
    </w:p>
    <w:p>
      <w:pPr>
        <w:tabs>
          <w:tab w:val="left" w:pos="1440"/>
        </w:tabs>
        <w:spacing w:line="560" w:lineRule="exact"/>
        <w:rPr>
          <w:rFonts w:ascii="宋体" w:hAnsi="宋体" w:eastAsia="宋体"/>
          <w:sz w:val="30"/>
          <w:szCs w:val="30"/>
        </w:rPr>
      </w:pPr>
    </w:p>
    <w:p>
      <w:pPr>
        <w:pStyle w:val="5"/>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“转企升规”培育工作省级财政激励资金</w:t>
      </w:r>
    </w:p>
    <w:p>
      <w:pPr>
        <w:pStyle w:val="5"/>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5"/>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5"/>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720"/>
        <w:rPr>
          <w:rFonts w:ascii="仿宋_GB2312" w:hAnsi="宋体"/>
          <w:lang w:val="zh-CN"/>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该项目实施单位为</w:t>
      </w:r>
      <w:r>
        <w:rPr>
          <w:rFonts w:hint="eastAsia"/>
          <w:color w:val="000000" w:themeColor="text1"/>
          <w:kern w:val="2"/>
          <w:sz w:val="32"/>
          <w:szCs w:val="32"/>
          <w:lang w:eastAsia="zh-CN"/>
          <w14:textFill>
            <w14:solidFill>
              <w14:schemeClr w14:val="tx1"/>
            </w14:solidFill>
          </w14:textFill>
        </w:rPr>
        <w:t>攀枝花市西区经济和信息化局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，由我局统一编制预算、统一制定绩效目标、统一项目资金管理、统一资金安排使用，</w:t>
      </w:r>
      <w:r>
        <w:rPr>
          <w:rFonts w:hint="eastAsia" w:cs="Times New Roman"/>
          <w:color w:val="000000" w:themeColor="text1"/>
          <w:sz w:val="32"/>
          <w:szCs w:val="32"/>
          <w:lang w:eastAsia="zh-CN"/>
          <w14:textFill>
            <w14:solidFill>
              <w14:schemeClr w14:val="tx1"/>
            </w14:solidFill>
          </w14:textFill>
        </w:rPr>
        <w:t>按照相关资金管理办法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对资金使用进行监督管理与审核、审批</w:t>
      </w:r>
      <w:r>
        <w:rPr>
          <w:rFonts w:hint="eastAsia" w:ascii="Times New Roman" w:hAnsi="Times New Roman" w:cs="Times New Roman"/>
          <w:color w:val="000000" w:themeColor="text1"/>
          <w:sz w:val="32"/>
          <w:szCs w:val="32"/>
          <w:lang w:eastAsia="zh-CN"/>
          <w14:textFill>
            <w14:solidFill>
              <w14:schemeClr w14:val="tx1"/>
            </w14:solidFill>
          </w14:textFill>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（一）项目资金申报及批复情况。</w:t>
      </w:r>
    </w:p>
    <w:p>
      <w:pPr>
        <w:ind w:firstLine="64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lang w:val="zh-CN"/>
          <w14:textFill>
            <w14:solidFill>
              <w14:schemeClr w14:val="tx1"/>
            </w14:solidFill>
          </w14:textFill>
        </w:rPr>
        <w:t>项目立项、资金申报的依据</w:t>
      </w:r>
      <w:r>
        <w:rPr>
          <w:rFonts w:hint="eastAsia"/>
          <w:color w:val="000000" w:themeColor="text1"/>
          <w:lang w:val="zh-CN"/>
          <w14:textFill>
            <w14:solidFill>
              <w14:schemeClr w14:val="tx1"/>
            </w14:solidFill>
          </w14:textFill>
        </w:rPr>
        <w:t>为</w:t>
      </w:r>
      <w:r>
        <w:rPr>
          <w:rFonts w:hint="eastAsia" w:ascii="Times New Roman" w:hAnsi="Times New Roman" w:cs="Times New Roman"/>
          <w:b w:val="0"/>
          <w:bCs w:val="0"/>
          <w:sz w:val="32"/>
          <w:szCs w:val="32"/>
          <w:lang w:val="en-US" w:eastAsia="zh-CN"/>
        </w:rPr>
        <w:t>川财建〔2022〕245号</w:t>
      </w:r>
      <w:r>
        <w:rPr>
          <w:rFonts w:hint="eastAsia" w:cs="Times New Roman"/>
          <w:b w:val="0"/>
          <w:bCs w:val="0"/>
          <w:sz w:val="32"/>
          <w:szCs w:val="32"/>
          <w:lang w:val="en-US" w:eastAsia="zh-CN"/>
        </w:rPr>
        <w:t>、攀财资建〔2022〕79号</w:t>
      </w:r>
      <w:r>
        <w:rPr>
          <w:rFonts w:hint="eastAsia"/>
          <w:color w:val="000000" w:themeColor="text1"/>
          <w:lang w:val="en-US" w:eastAsia="zh-CN"/>
          <w14:textFill>
            <w14:solidFill>
              <w14:schemeClr w14:val="tx1"/>
            </w14:solidFill>
          </w14:textFill>
        </w:rPr>
        <w:t>文件。</w:t>
      </w:r>
    </w:p>
    <w:p>
      <w:pPr>
        <w:adjustRightInd w:val="0"/>
        <w:snapToGrid w:val="0"/>
        <w:spacing w:line="600" w:lineRule="exact"/>
        <w:ind w:firstLine="720"/>
        <w:rPr>
          <w:color w:val="000000" w:themeColor="text1"/>
          <w:lang w:val="zh-CN"/>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lang w:val="zh-CN"/>
          <w14:textFill>
            <w14:solidFill>
              <w14:schemeClr w14:val="tx1"/>
            </w14:solidFill>
          </w14:textFill>
        </w:rPr>
        <w:t>资金管理办法制定情况，资金支持具体项目的条件、范围与支持方式概况。</w:t>
      </w:r>
    </w:p>
    <w:p>
      <w:pPr>
        <w:adjustRightInd w:val="0"/>
        <w:snapToGrid w:val="0"/>
        <w:spacing w:line="600" w:lineRule="exact"/>
        <w:ind w:firstLine="72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制度制定情况。为加强对财政资金的管理，不断提高使用绩效，按照内部控制建设要求，制定了财务管理制度，在资金使用上，严格按照资金使用用途进行审核审批，项目管理规范有序，确保资金使用安全。</w:t>
      </w:r>
    </w:p>
    <w:p>
      <w:pPr>
        <w:adjustRightInd w:val="0"/>
        <w:snapToGrid w:val="0"/>
        <w:spacing w:line="600" w:lineRule="exact"/>
        <w:ind w:firstLine="720"/>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（2）</w:t>
      </w:r>
      <w:r>
        <w:rPr>
          <w:color w:val="000000" w:themeColor="text1"/>
          <w:lang w:val="zh-CN"/>
          <w14:textFill>
            <w14:solidFill>
              <w14:schemeClr w14:val="tx1"/>
            </w14:solidFill>
          </w14:textFill>
        </w:rPr>
        <w:t>资金支持具体项目的条件、范围与支持方式概况</w:t>
      </w:r>
      <w:r>
        <w:rPr>
          <w:rFonts w:hint="eastAsia"/>
          <w:color w:val="000000" w:themeColor="text1"/>
          <w:lang w:val="zh-CN"/>
          <w14:textFill>
            <w14:solidFill>
              <w14:schemeClr w14:val="tx1"/>
            </w14:solidFill>
          </w14:textFill>
        </w:rPr>
        <w:t>。根据</w:t>
      </w:r>
      <w:r>
        <w:rPr>
          <w:rFonts w:hint="eastAsia" w:ascii="Times New Roman" w:hAnsi="Times New Roman" w:cs="Times New Roman"/>
          <w:b w:val="0"/>
          <w:bCs w:val="0"/>
          <w:sz w:val="32"/>
          <w:szCs w:val="32"/>
          <w:lang w:val="en-US" w:eastAsia="zh-CN"/>
        </w:rPr>
        <w:t>川财建〔2022〕245号</w:t>
      </w:r>
      <w:r>
        <w:rPr>
          <w:rFonts w:hint="eastAsia" w:cs="Times New Roman"/>
          <w:b w:val="0"/>
          <w:bCs w:val="0"/>
          <w:sz w:val="32"/>
          <w:szCs w:val="32"/>
          <w:lang w:val="en-US" w:eastAsia="zh-CN"/>
        </w:rPr>
        <w:t>、攀财资建〔2022〕79号</w:t>
      </w:r>
      <w:r>
        <w:rPr>
          <w:rFonts w:hint="eastAsia"/>
          <w:color w:val="000000" w:themeColor="text1"/>
          <w:lang w:val="en-US" w:eastAsia="zh-CN"/>
          <w14:textFill>
            <w14:solidFill>
              <w14:schemeClr w14:val="tx1"/>
            </w14:solidFill>
          </w14:textFill>
        </w:rPr>
        <w:t>文件</w:t>
      </w:r>
      <w:r>
        <w:rPr>
          <w:rFonts w:hint="eastAsia" w:cs="Times New Roman"/>
          <w:color w:val="000000" w:themeColor="text1"/>
          <w:sz w:val="32"/>
          <w:szCs w:val="32"/>
          <w:lang w:val="en-US" w:eastAsia="zh-CN"/>
          <w14:textFill>
            <w14:solidFill>
              <w14:schemeClr w14:val="tx1"/>
            </w14:solidFill>
          </w14:textFill>
        </w:rPr>
        <w:t>制定。</w:t>
      </w:r>
    </w:p>
    <w:p>
      <w:pPr>
        <w:pStyle w:val="2"/>
        <w:ind w:firstLine="640" w:firstLineChars="200"/>
        <w:rPr>
          <w:rFonts w:hint="default"/>
          <w:lang w:val="en-US"/>
        </w:rPr>
      </w:pP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（二）项目绩效目标。</w:t>
      </w:r>
    </w:p>
    <w:p>
      <w:pPr>
        <w:adjustRightInd w:val="0"/>
        <w:snapToGrid w:val="0"/>
        <w:spacing w:line="560" w:lineRule="exact"/>
        <w:ind w:firstLine="720"/>
        <w:rPr>
          <w:rFonts w:hint="eastAsia" w:ascii="仿宋_GB2312" w:hAnsi="宋体" w:eastAsia="仿宋_GB2312"/>
          <w:lang w:val="en-US" w:eastAsia="zh-CN"/>
        </w:rPr>
      </w:pPr>
      <w:r>
        <w:rPr>
          <w:rFonts w:hint="eastAsia" w:ascii="仿宋_GB2312" w:hAnsi="宋体"/>
          <w:lang w:val="en-US" w:eastAsia="zh-CN"/>
        </w:rPr>
        <w:t>1.</w:t>
      </w:r>
      <w:bookmarkStart w:id="0" w:name="_GoBack"/>
      <w:r>
        <w:rPr>
          <w:rFonts w:hint="eastAsia" w:ascii="仿宋_GB2312" w:hAnsi="宋体"/>
          <w:highlight w:val="yellow"/>
          <w:lang w:val="en-US" w:eastAsia="zh-CN"/>
        </w:rPr>
        <w:t>主要内容。</w:t>
      </w:r>
      <w:r>
        <w:rPr>
          <w:rFonts w:hint="eastAsia" w:ascii="仿宋_GB2312" w:hAnsi="宋体"/>
          <w:highlight w:val="yellow"/>
          <w:lang w:val="zh-CN"/>
        </w:rPr>
        <w:t>奖励2022年升规的8户（辰阳工贸、城府旗正、鸿康工贸、三维发电、阳晨污水、鼎道工贸、晶磊新材料、顺帆工贸）企业资金</w:t>
      </w:r>
      <w:r>
        <w:rPr>
          <w:rFonts w:hint="eastAsia" w:ascii="仿宋_GB2312" w:hAnsi="宋体"/>
          <w:highlight w:val="yellow"/>
          <w:lang w:val="zh-CN" w:eastAsia="zh-CN"/>
        </w:rPr>
        <w:t>。</w:t>
      </w:r>
      <w:bookmarkEnd w:id="0"/>
    </w:p>
    <w:p>
      <w:pPr>
        <w:adjustRightInd w:val="0"/>
        <w:snapToGrid w:val="0"/>
        <w:spacing w:line="560" w:lineRule="exact"/>
        <w:ind w:firstLine="720"/>
        <w:rPr>
          <w:rFonts w:hint="eastAsia" w:ascii="楷体_GB2312" w:hAnsi="宋体" w:eastAsia="楷体_GB2312"/>
          <w:b/>
          <w:lang w:val="zh-CN"/>
        </w:rPr>
      </w:pPr>
      <w:r>
        <w:rPr>
          <w:rFonts w:hint="eastAsia" w:cs="Times New Roman"/>
          <w:sz w:val="32"/>
          <w:szCs w:val="32"/>
          <w:lang w:val="en-US" w:eastAsia="zh-CN"/>
        </w:rPr>
        <w:t>2.该项目正在正常推进。</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（三）项目资金申报相符性。</w:t>
      </w:r>
    </w:p>
    <w:p>
      <w:pPr>
        <w:ind w:firstLine="640" w:firstLineChars="200"/>
        <w:rPr>
          <w:rFonts w:hint="default" w:ascii="仿宋_GB2312" w:hAnsi="宋体" w:eastAsia="仿宋_GB2312"/>
          <w:lang w:val="en-US" w:eastAsia="zh-CN"/>
        </w:rPr>
      </w:pPr>
      <w:r>
        <w:rPr>
          <w:rFonts w:hint="eastAsia" w:ascii="仿宋_GB2312" w:hAnsi="宋体"/>
          <w:lang w:val="en-US" w:eastAsia="zh-CN"/>
        </w:rPr>
        <w:t>*********************************</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adjustRightInd w:val="0"/>
        <w:snapToGrid w:val="0"/>
        <w:spacing w:line="560" w:lineRule="exact"/>
        <w:ind w:firstLine="720"/>
        <w:rPr>
          <w:rFonts w:ascii="仿宋_GB2312" w:hAnsi="宋体"/>
          <w:lang w:val="zh-CN"/>
        </w:rPr>
      </w:pPr>
      <w:r>
        <w:rPr>
          <w:rFonts w:hint="eastAsia" w:ascii="仿宋_GB2312" w:hAnsi="宋体"/>
          <w:lang w:val="en-US" w:eastAsia="zh-CN"/>
        </w:rPr>
        <w:t>2023年收到“转企升规”培育工作省级财政激励资金38.5万元，到位率100%</w:t>
      </w:r>
      <w:r>
        <w:rPr>
          <w:rFonts w:hint="eastAsia" w:ascii="仿宋_GB2312" w:hAnsi="宋体"/>
          <w:lang w:val="zh-CN"/>
        </w:rPr>
        <w:t>。</w:t>
      </w:r>
    </w:p>
    <w:p>
      <w:pPr>
        <w:numPr>
          <w:ilvl w:val="0"/>
          <w:numId w:val="0"/>
        </w:numPr>
        <w:adjustRightInd w:val="0"/>
        <w:snapToGrid w:val="0"/>
        <w:spacing w:line="560" w:lineRule="exact"/>
        <w:ind w:firstLine="640" w:firstLineChars="200"/>
        <w:rPr>
          <w:rFonts w:hint="eastAsia" w:ascii="楷体_GB2312" w:hAnsi="宋体" w:eastAsia="楷体_GB2312"/>
          <w:lang w:val="zh-CN"/>
        </w:rPr>
      </w:pPr>
      <w:r>
        <w:rPr>
          <w:rFonts w:hint="eastAsia" w:ascii="楷体_GB2312" w:hAnsi="宋体" w:eastAsia="楷体_GB2312"/>
          <w:lang w:val="en-US" w:eastAsia="zh-CN"/>
        </w:rPr>
        <w:t>2.</w:t>
      </w:r>
      <w:r>
        <w:rPr>
          <w:rFonts w:hint="eastAsia" w:ascii="楷体_GB2312" w:hAnsi="宋体" w:eastAsia="楷体_GB2312"/>
          <w:lang w:val="zh-CN"/>
        </w:rPr>
        <w:t>资金使用。</w:t>
      </w:r>
    </w:p>
    <w:p>
      <w:pPr>
        <w:numPr>
          <w:ilvl w:val="0"/>
          <w:numId w:val="0"/>
        </w:numPr>
        <w:adjustRightInd w:val="0"/>
        <w:snapToGrid w:val="0"/>
        <w:spacing w:line="560" w:lineRule="exact"/>
        <w:ind w:firstLine="640" w:firstLineChars="200"/>
        <w:rPr>
          <w:rFonts w:ascii="仿宋_GB2312" w:hAnsi="宋体"/>
          <w:lang w:val="zh-CN"/>
        </w:rPr>
      </w:pPr>
      <w:r>
        <w:rPr>
          <w:rFonts w:hint="default" w:ascii="Times New Roman" w:hAnsi="Times New Roman" w:eastAsia="仿宋_GB2312" w:cs="Times New Roman"/>
          <w:sz w:val="32"/>
          <w:szCs w:val="32"/>
          <w:lang w:val="en-US" w:eastAsia="zh-CN"/>
        </w:rPr>
        <w:t>截止评价时点，</w:t>
      </w:r>
      <w:r>
        <w:rPr>
          <w:rFonts w:hint="eastAsia" w:ascii="仿宋_GB2312" w:hAnsi="宋体"/>
          <w:lang w:val="en-US" w:eastAsia="zh-CN"/>
        </w:rPr>
        <w:t>2022年“转企升规”培育工作省级财政激励资金未支付</w:t>
      </w:r>
      <w:r>
        <w:rPr>
          <w:rFonts w:hint="eastAsia" w:ascii="仿宋_GB2312" w:hAnsi="宋体"/>
          <w:lang w:val="zh-CN"/>
        </w:rPr>
        <w:t>。</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该项目在财务管理上，按照内部控制建设要求，制定了相关财务管理制度，在资金使用上，严格按照资金使用用途进行审核审批，项目管理规范有序，财务核算及时，会计信息真实</w:t>
      </w:r>
      <w:r>
        <w:rPr>
          <w:rFonts w:hint="eastAsia" w:ascii="仿宋_GB2312" w:hAnsi="宋体"/>
          <w:lang w:val="zh-CN"/>
        </w:rPr>
        <w:t>。</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ascii="仿宋_GB2312" w:hAnsi="宋体"/>
          <w:lang w:val="zh-CN"/>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该项目组织架构与内控管理组织架构</w:t>
      </w:r>
      <w:r>
        <w:rPr>
          <w:rFonts w:hint="eastAsia" w:eastAsia="楷体_GB2312" w:cs="Times New Roman"/>
          <w:color w:val="000000" w:themeColor="text1"/>
          <w:sz w:val="32"/>
          <w:szCs w:val="32"/>
          <w:lang w:eastAsia="zh-CN"/>
          <w14:textFill>
            <w14:solidFill>
              <w14:schemeClr w14:val="tx1"/>
            </w14:solidFill>
          </w14:textFill>
        </w:rPr>
        <w:t>基本</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一致，主要责任人为单位主要负责人，分管责任人为财务分管领导和业务分管领导，项目实施责任人为业务股室</w:t>
      </w:r>
      <w:r>
        <w:rPr>
          <w:rFonts w:hint="eastAsia" w:eastAsia="楷体_GB2312" w:cs="Times New Roman"/>
          <w:color w:val="000000" w:themeColor="text1"/>
          <w:sz w:val="32"/>
          <w:szCs w:val="32"/>
          <w:lang w:eastAsia="zh-CN"/>
          <w14:textFill>
            <w14:solidFill>
              <w14:schemeClr w14:val="tx1"/>
            </w14:solidFill>
          </w14:textFill>
        </w:rPr>
        <w:t>同志</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。实施流程由业务股室进行相关资料收集审核，分管领导复核，单位主要负责人终审</w:t>
      </w:r>
      <w:r>
        <w:rPr>
          <w:rFonts w:hint="eastAsia" w:eastAsia="楷体_GB2312" w:cs="Times New Roman"/>
          <w:color w:val="000000" w:themeColor="text1"/>
          <w:sz w:val="32"/>
          <w:szCs w:val="32"/>
          <w:lang w:eastAsia="zh-CN"/>
          <w14:textFill>
            <w14:solidFill>
              <w14:schemeClr w14:val="tx1"/>
            </w14:solidFill>
          </w14:textFill>
        </w:rPr>
        <w:t>，并报分管区领导审阅</w:t>
      </w:r>
      <w:r>
        <w:rPr>
          <w:rFonts w:hint="eastAsia" w:ascii="仿宋_GB2312" w:hAnsi="宋体"/>
          <w:lang w:val="zh-CN"/>
        </w:rPr>
        <w:t>。</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60" w:lineRule="exact"/>
        <w:ind w:firstLine="720"/>
        <w:rPr>
          <w:rFonts w:ascii="楷体_GB2312" w:hAnsi="宋体" w:eastAsia="楷体_GB2312"/>
          <w:b/>
          <w:lang w:val="zh-CN"/>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在资金管理上，按照内部控制建设要求，制定了财务管理制度、资产管理制度等，在资金使用上，严格按照资金作用用途进行审核审批，项目管理规范有序</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仿宋_GB2312" w:hAnsi="宋体"/>
          <w:lang w:val="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（二）项目效益情况。</w:t>
      </w:r>
    </w:p>
    <w:p>
      <w:pPr>
        <w:ind w:firstLine="640" w:firstLineChars="200"/>
        <w:rPr>
          <w:rFonts w:ascii="楷体_GB2312" w:hAnsi="宋体" w:eastAsia="楷体_GB2312"/>
          <w:b/>
          <w:lang w:val="zh-CN"/>
        </w:rPr>
      </w:pPr>
      <w:r>
        <w:rPr>
          <w:rFonts w:hint="eastAsia" w:ascii="仿宋_GB2312" w:hAnsi="宋体"/>
          <w:lang w:val="zh-CN"/>
        </w:rPr>
        <w:t>从项目经济、社会、生态、可持续效益以及服务对象满意度等方面对项目效益进行全面分析评价。</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eastAsia" w:ascii="仿宋_GB2312" w:hAnsi="宋体"/>
          <w:lang w:val="zh-CN"/>
        </w:rPr>
      </w:pPr>
      <w:r>
        <w:rPr>
          <w:rFonts w:hint="eastAsia" w:ascii="仿宋_GB2312" w:hAnsi="宋体"/>
          <w:lang w:val="zh-CN"/>
        </w:rPr>
        <w:t>项目资金预算执行率较低，主要原因是：一是部分资金在下半年才下达到位，所以组织项目实施时间较晚，有少部分资金要在次年才能实施完成；二</w:t>
      </w:r>
      <w:r>
        <w:rPr>
          <w:rFonts w:hint="eastAsia" w:ascii="仿宋_GB2312" w:hAnsi="宋体"/>
          <w:lang w:val="zh-CN" w:eastAsia="zh-CN"/>
        </w:rPr>
        <w:t>是因为经济下行，财政资金紧张拨付困难</w:t>
      </w:r>
      <w:r>
        <w:rPr>
          <w:rFonts w:hint="eastAsia" w:ascii="仿宋_GB2312" w:hAnsi="宋体"/>
          <w:lang w:val="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spacing w:line="353"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根据具体项目实施情况，由经办业务股室对相关监管制度进行梳理，针对项目实际进一步完善相关制度</w:t>
      </w:r>
      <w:r>
        <w:rPr>
          <w:rFonts w:ascii="Times New Roman" w:hAnsi="Times New Roman" w:eastAsia="仿宋_GB2312" w:cs="Times New Roman"/>
          <w:color w:val="000000" w:themeColor="text1"/>
          <w:sz w:val="32"/>
          <w:szCs w:val="32"/>
          <w14:textFill>
            <w14:solidFill>
              <w14:schemeClr w14:val="tx1"/>
            </w14:solidFill>
          </w14:textFill>
        </w:rPr>
        <w:t>。</w:t>
      </w:r>
    </w:p>
    <w:p>
      <w:pPr>
        <w:ind w:firstLine="640" w:firstLineChars="200"/>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2.建议</w:t>
      </w:r>
      <w:r>
        <w:rPr>
          <w:rFonts w:hint="eastAsia" w:cs="Times New Roman"/>
          <w:color w:val="000000" w:themeColor="text1"/>
          <w:sz w:val="32"/>
          <w:szCs w:val="32"/>
          <w:lang w:val="en-US" w:eastAsia="zh-CN"/>
          <w14:textFill>
            <w14:solidFill>
              <w14:schemeClr w14:val="tx1"/>
            </w14:solidFill>
          </w14:textFill>
        </w:rPr>
        <w:t>多和财政部门对接，及时按时拨付资金到企业</w:t>
      </w:r>
      <w:r>
        <w:rPr>
          <w:rFonts w:hint="eastAsia" w:ascii="仿宋_GB2312" w:hAnsi="宋体"/>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YjIzMjc3NzgwMDBhMDQ5MWE4NDg4YzVlOGNmMTAifQ=="/>
  </w:docVars>
  <w:rsids>
    <w:rsidRoot w:val="291C455A"/>
    <w:rsid w:val="003414A3"/>
    <w:rsid w:val="00515A0C"/>
    <w:rsid w:val="00866E99"/>
    <w:rsid w:val="0EDB478C"/>
    <w:rsid w:val="1B412C98"/>
    <w:rsid w:val="20A94DCF"/>
    <w:rsid w:val="22003DFB"/>
    <w:rsid w:val="274D3E1C"/>
    <w:rsid w:val="291C455A"/>
    <w:rsid w:val="36926D0C"/>
    <w:rsid w:val="4A091ED0"/>
    <w:rsid w:val="4DAF2BCF"/>
    <w:rsid w:val="4DDB6F66"/>
    <w:rsid w:val="616D55C9"/>
    <w:rsid w:val="792F2AEE"/>
    <w:rsid w:val="9FAFB5F7"/>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宋体"/>
    </w:rPr>
  </w:style>
  <w:style w:type="paragraph" w:customStyle="1" w:styleId="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133</Words>
  <Characters>762</Characters>
  <Lines>6</Lines>
  <Paragraphs>1</Paragraphs>
  <TotalTime>0</TotalTime>
  <ScaleCrop>false</ScaleCrop>
  <LinksUpToDate>false</LinksUpToDate>
  <CharactersWithSpaces>894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2020-07-01T08:19:00Z</dcterms:created>
  <dc:creator>Administrator</dc:creator>
  <cp:lastModifiedBy>从头再来</cp:lastModifiedBy>
  <dcterms:modified xsi:type="dcterms:W3CDTF">2024-06-01T16:08:55Z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69AE5705DB8D4DB0B8D6F71FCB3D3600</vt:lpwstr>
  </property>
</Properties>
</file>