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both"/>
        <w:rPr>
          <w:rFonts w:hint="eastAsia" w:ascii="方正小标宋简体" w:hAnsi="宋体" w:eastAsia="方正小标宋简体"/>
          <w:sz w:val="44"/>
          <w:szCs w:val="44"/>
          <w:lang w:val="en-US" w:eastAsia="zh-CN"/>
        </w:rPr>
      </w:pPr>
      <w:bookmarkStart w:id="0" w:name="_GoBack"/>
      <w:bookmarkEnd w:id="0"/>
    </w:p>
    <w:p>
      <w:pPr>
        <w:pStyle w:val="5"/>
        <w:spacing w:line="560" w:lineRule="exact"/>
        <w:jc w:val="center"/>
        <w:rPr>
          <w:rFonts w:ascii="宋体" w:hAnsi="宋体"/>
          <w:color w:val="auto"/>
          <w:kern w:val="2"/>
          <w:sz w:val="32"/>
          <w:szCs w:val="32"/>
        </w:rPr>
      </w:pPr>
      <w:r>
        <w:rPr>
          <w:rFonts w:hint="eastAsia" w:ascii="方正小标宋简体" w:hAnsi="宋体" w:eastAsia="方正小标宋简体"/>
          <w:sz w:val="44"/>
          <w:szCs w:val="44"/>
          <w:lang w:val="en-US" w:eastAsia="zh-CN"/>
        </w:rPr>
        <w:t xml:space="preserve">2022年省级财政农业公共安全与生态资源保护利用工程共同财政事权转移支付资金          </w:t>
      </w:r>
      <w:r>
        <w:rPr>
          <w:rFonts w:hint="eastAsia" w:ascii="方正小标宋简体" w:hAnsi="宋体" w:eastAsia="方正小标宋简体"/>
          <w:sz w:val="44"/>
          <w:szCs w:val="44"/>
        </w:rPr>
        <w:t>专项预算项目支出绩效自评报告</w:t>
      </w: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snapToGrid w:val="0"/>
        <w:spacing w:line="600" w:lineRule="exact"/>
        <w:ind w:firstLine="640" w:firstLineChars="200"/>
        <w:rPr>
          <w:rFonts w:ascii="仿宋_GB2312" w:hAnsi="微软雅黑" w:eastAsia="仿宋_GB2312"/>
          <w:bCs/>
          <w:color w:val="333333"/>
          <w:kern w:val="36"/>
          <w:sz w:val="32"/>
          <w:szCs w:val="32"/>
        </w:rPr>
      </w:pPr>
      <w:r>
        <w:rPr>
          <w:rFonts w:hint="eastAsia" w:ascii="方正仿宋简体" w:hAnsi="微软雅黑" w:eastAsia="方正仿宋简体"/>
          <w:color w:val="343434"/>
          <w:sz w:val="32"/>
          <w:szCs w:val="32"/>
          <w:lang w:eastAsia="zh-CN"/>
        </w:rPr>
        <w:t>依据</w:t>
      </w:r>
      <w:r>
        <w:rPr>
          <w:rFonts w:hint="eastAsia" w:ascii="方正仿宋简体" w:hAnsi="微软雅黑" w:eastAsia="方正仿宋简体"/>
          <w:color w:val="343434"/>
          <w:sz w:val="32"/>
          <w:szCs w:val="32"/>
        </w:rPr>
        <w:t>《关于下达2022年省级财政农业公共安全与生态资源利用工程共同财政事权转移支付资金的通知》（攀财资农〔2022〕49号）文件</w:t>
      </w:r>
      <w:r>
        <w:rPr>
          <w:rFonts w:hint="eastAsia" w:ascii="方正仿宋简体" w:hAnsi="微软雅黑" w:eastAsia="方正仿宋简体"/>
          <w:color w:val="343434"/>
          <w:sz w:val="32"/>
          <w:szCs w:val="32"/>
          <w:lang w:val="en-US" w:eastAsia="zh-CN"/>
        </w:rPr>
        <w:t>,下达西区</w:t>
      </w:r>
      <w:r>
        <w:rPr>
          <w:rFonts w:hint="eastAsia" w:ascii="方正仿宋简体" w:hAnsi="微软雅黑" w:eastAsia="方正仿宋简体"/>
          <w:color w:val="343434"/>
          <w:sz w:val="32"/>
          <w:szCs w:val="32"/>
        </w:rPr>
        <w:t>2022年省级财政农业公共安全与生态资源保护利用工程共同财政事权转移支付资金，用于</w:t>
      </w:r>
      <w:r>
        <w:rPr>
          <w:rFonts w:hint="eastAsia" w:ascii="方正仿宋简体" w:hAnsi="微软雅黑" w:eastAsia="方正仿宋简体"/>
          <w:color w:val="343434"/>
          <w:sz w:val="32"/>
          <w:szCs w:val="32"/>
          <w:lang w:eastAsia="zh-CN"/>
        </w:rPr>
        <w:t>动物防疫</w:t>
      </w:r>
      <w:r>
        <w:rPr>
          <w:rStyle w:val="4"/>
          <w:rFonts w:hint="eastAsia" w:ascii="仿宋_GB2312" w:hAnsi="微软雅黑" w:eastAsia="仿宋_GB2312"/>
          <w:color w:val="333333"/>
          <w:kern w:val="36"/>
          <w:sz w:val="32"/>
          <w:szCs w:val="32"/>
        </w:rPr>
        <w:t>。</w:t>
      </w:r>
      <w:r>
        <w:rPr>
          <w:rFonts w:hint="eastAsia" w:ascii="方正仿宋简体" w:hAnsi="微软雅黑" w:eastAsia="方正仿宋简体"/>
          <w:color w:val="343434"/>
          <w:sz w:val="32"/>
          <w:szCs w:val="32"/>
          <w:lang w:eastAsia="zh-CN"/>
        </w:rPr>
        <w:t>依据</w:t>
      </w:r>
      <w:r>
        <w:rPr>
          <w:rFonts w:hint="eastAsia" w:ascii="方正仿宋简体" w:hAnsi="微软雅黑" w:eastAsia="方正仿宋简体"/>
          <w:color w:val="343434"/>
          <w:sz w:val="32"/>
          <w:szCs w:val="32"/>
        </w:rPr>
        <w:t>《中华人民共和国动物防疫法》省、市重大动物疫病及人畜共患病防控相关要求，动物疫病预防控制中心承担动物疫病的监测、检测、诊断、流行病学调查、疫情报告以及其他预防、控制等技术工作；承担动物疫病净化、消灭的技术工作，属于公益一类事业单位，需要财政资金投入。现就2022年省级财政农业公共安全与生态资源利用工程共同财政事权转移支付资金项目支出绩效自评工作的有关事项报告如下：</w:t>
      </w:r>
    </w:p>
    <w:p>
      <w:pPr>
        <w:adjustRightInd w:val="0"/>
        <w:snapToGrid w:val="0"/>
        <w:spacing w:line="560" w:lineRule="exact"/>
        <w:ind w:firstLine="720"/>
        <w:rPr>
          <w:rFonts w:ascii="仿宋_GB2312" w:hAnsi="微软雅黑" w:cs="宋体"/>
          <w:bCs/>
          <w:color w:val="333333"/>
          <w:kern w:val="36"/>
        </w:rPr>
      </w:pPr>
      <w:r>
        <w:rPr>
          <w:rFonts w:hint="eastAsia" w:ascii="楷体_GB2312" w:hAnsi="宋体" w:eastAsia="楷体_GB2312"/>
          <w:b/>
          <w:lang w:val="zh-CN"/>
        </w:rPr>
        <w:t>（一）项目资金申报及批复情况。</w:t>
      </w:r>
      <w:r>
        <w:rPr>
          <w:rFonts w:hint="eastAsia" w:ascii="仿宋_GB2312" w:hAnsi="微软雅黑" w:cs="宋体"/>
          <w:bCs/>
          <w:color w:val="333333"/>
          <w:kern w:val="36"/>
        </w:rPr>
        <w:t>该项目为</w:t>
      </w:r>
      <w:r>
        <w:rPr>
          <w:rFonts w:hint="eastAsia" w:ascii="方正仿宋简体" w:hAnsi="微软雅黑" w:eastAsia="方正仿宋简体"/>
          <w:color w:val="343434"/>
          <w:lang w:eastAsia="zh-CN"/>
        </w:rPr>
        <w:t>省</w:t>
      </w:r>
      <w:r>
        <w:rPr>
          <w:rFonts w:hint="eastAsia" w:ascii="方正仿宋简体" w:hAnsi="微软雅黑" w:eastAsia="方正仿宋简体"/>
          <w:color w:val="343434"/>
        </w:rPr>
        <w:t>级资金共</w:t>
      </w:r>
      <w:r>
        <w:rPr>
          <w:rFonts w:hint="eastAsia" w:ascii="方正仿宋简体" w:hAnsi="微软雅黑" w:eastAsia="方正仿宋简体"/>
          <w:color w:val="343434"/>
          <w:lang w:val="en-US" w:eastAsia="zh-CN"/>
        </w:rPr>
        <w:t>4</w:t>
      </w:r>
      <w:r>
        <w:rPr>
          <w:rFonts w:hint="eastAsia" w:ascii="方正仿宋简体" w:hAnsi="微软雅黑" w:eastAsia="方正仿宋简体"/>
          <w:color w:val="343434"/>
        </w:rPr>
        <w:t>万元</w:t>
      </w:r>
      <w:r>
        <w:rPr>
          <w:rFonts w:hint="eastAsia" w:ascii="仿宋_GB2312" w:hAnsi="微软雅黑" w:cs="宋体"/>
          <w:bCs/>
          <w:color w:val="333333"/>
          <w:kern w:val="36"/>
        </w:rPr>
        <w:t>，资金已全面下达。</w:t>
      </w:r>
    </w:p>
    <w:p>
      <w:pPr>
        <w:widowControl/>
        <w:shd w:val="clear" w:color="auto" w:fill="FFFFFF"/>
        <w:spacing w:line="504" w:lineRule="atLeast"/>
        <w:ind w:firstLine="643" w:firstLineChars="200"/>
        <w:jc w:val="left"/>
        <w:outlineLvl w:val="1"/>
        <w:rPr>
          <w:rFonts w:ascii="仿宋_GB2312" w:hAnsi="宋体"/>
          <w:lang w:val="zh-CN"/>
        </w:rPr>
      </w:pPr>
      <w:r>
        <w:rPr>
          <w:rFonts w:hint="eastAsia" w:ascii="楷体_GB2312" w:hAnsi="宋体" w:eastAsia="楷体_GB2312"/>
          <w:b/>
          <w:lang w:val="zh-CN"/>
        </w:rPr>
        <w:t>（二）项目绩效目标。</w:t>
      </w:r>
      <w:r>
        <w:rPr>
          <w:rFonts w:ascii="sinsum" w:hAnsi="sinsum"/>
          <w:color w:val="333333"/>
          <w:shd w:val="clear" w:color="auto" w:fill="FFFFFF"/>
        </w:rPr>
        <w:t>用于</w:t>
      </w:r>
      <w:r>
        <w:rPr>
          <w:rFonts w:hint="eastAsia" w:ascii="sinsum" w:hAnsi="sinsum"/>
          <w:color w:val="333333"/>
          <w:shd w:val="clear" w:color="auto" w:fill="FFFFFF"/>
        </w:rPr>
        <w:t>动物</w:t>
      </w:r>
      <w:r>
        <w:rPr>
          <w:rFonts w:hint="eastAsia" w:ascii="sinsum" w:hAnsi="sinsum"/>
          <w:color w:val="333333"/>
          <w:shd w:val="clear" w:color="auto" w:fill="FFFFFF"/>
          <w:lang w:eastAsia="zh-CN"/>
        </w:rPr>
        <w:t>防疫和应急处置</w:t>
      </w:r>
      <w:r>
        <w:rPr>
          <w:rFonts w:hint="eastAsia" w:ascii="sinsum" w:hAnsi="sinsum"/>
          <w:color w:val="333333"/>
          <w:shd w:val="clear" w:color="auto" w:fill="FFFFFF"/>
        </w:rPr>
        <w:t>，不发生区域性重大动物疫病和人畜共患病疫情</w:t>
      </w:r>
      <w:r>
        <w:rPr>
          <w:rFonts w:hint="eastAsia" w:ascii="sinsum" w:hAnsi="sinsum"/>
          <w:color w:val="333333"/>
          <w:shd w:val="clear" w:color="auto" w:fill="FFFFFF"/>
          <w:lang w:eastAsia="zh-CN"/>
        </w:rPr>
        <w:t>，疫情有效控制</w:t>
      </w:r>
      <w:r>
        <w:rPr>
          <w:rFonts w:ascii="sinsum" w:hAnsi="sinsum"/>
          <w:color w:val="333333"/>
          <w:shd w:val="clear" w:color="auto" w:fill="FFFFFF"/>
        </w:rPr>
        <w:t>。</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方正仿宋简体" w:hAnsi="微软雅黑" w:eastAsia="方正仿宋简体"/>
          <w:color w:val="343434"/>
          <w:sz w:val="32"/>
          <w:szCs w:val="32"/>
        </w:rPr>
        <w:t>2022年省级财政农业公共安全与生态资源利用工程共同财政事权转移支付资金</w:t>
      </w:r>
      <w:r>
        <w:rPr>
          <w:rFonts w:hint="eastAsia" w:ascii="仿宋_GB2312" w:hAnsi="微软雅黑" w:cs="宋体"/>
          <w:bCs/>
          <w:color w:val="333333"/>
          <w:kern w:val="36"/>
        </w:rPr>
        <w:t>项目与具体实施内容相符、申报目标合理可行。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widowControl/>
        <w:shd w:val="clear" w:color="auto" w:fill="FFFFFF"/>
        <w:spacing w:line="504" w:lineRule="atLeast"/>
        <w:ind w:firstLine="640" w:firstLineChars="200"/>
        <w:jc w:val="left"/>
        <w:outlineLvl w:val="1"/>
        <w:rPr>
          <w:rFonts w:ascii="仿宋_GB2312" w:hAnsi="微软雅黑" w:cs="宋体"/>
          <w:bCs/>
          <w:color w:val="333333"/>
          <w:kern w:val="36"/>
        </w:rPr>
      </w:pPr>
      <w:r>
        <w:rPr>
          <w:rFonts w:hint="eastAsia" w:ascii="仿宋_GB2312" w:hAnsi="微软雅黑" w:cs="宋体"/>
          <w:bCs/>
          <w:color w:val="333333"/>
          <w:kern w:val="36"/>
        </w:rPr>
        <w:t>1.资金到位情况。该补助项目资金已全部到位。</w:t>
      </w:r>
    </w:p>
    <w:p>
      <w:pPr>
        <w:widowControl/>
        <w:shd w:val="clear" w:color="auto" w:fill="FFFFFF"/>
        <w:spacing w:line="504" w:lineRule="atLeast"/>
        <w:ind w:firstLine="640" w:firstLineChars="200"/>
        <w:jc w:val="left"/>
        <w:outlineLvl w:val="1"/>
        <w:rPr>
          <w:rFonts w:ascii="仿宋_GB2312" w:hAnsi="微软雅黑" w:cs="宋体"/>
          <w:bCs/>
          <w:color w:val="333333"/>
          <w:kern w:val="36"/>
        </w:rPr>
      </w:pPr>
      <w:r>
        <w:rPr>
          <w:rFonts w:hint="eastAsia" w:ascii="仿宋_GB2312" w:hAnsi="微软雅黑" w:cs="宋体"/>
          <w:bCs/>
          <w:color w:val="333333"/>
          <w:kern w:val="36"/>
        </w:rPr>
        <w:t>2.资金使用情况。项目支出共计</w:t>
      </w:r>
      <w:r>
        <w:rPr>
          <w:rFonts w:hint="eastAsia" w:ascii="方正仿宋简体" w:hAnsi="微软雅黑" w:eastAsia="方正仿宋简体"/>
          <w:color w:val="343434"/>
          <w:lang w:val="en-US" w:eastAsia="zh-CN"/>
        </w:rPr>
        <w:t>4</w:t>
      </w:r>
      <w:r>
        <w:rPr>
          <w:rFonts w:hint="eastAsia" w:ascii="仿宋_GB2312" w:hAnsi="微软雅黑" w:cs="宋体"/>
          <w:bCs/>
          <w:color w:val="333333"/>
          <w:kern w:val="36"/>
        </w:rPr>
        <w:t>万元，支付依据合规合法，资金支付与预算相符。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widowControl/>
        <w:shd w:val="clear" w:color="auto" w:fill="FFFFFF"/>
        <w:spacing w:line="504" w:lineRule="atLeast"/>
        <w:ind w:firstLine="800" w:firstLineChars="250"/>
        <w:jc w:val="left"/>
        <w:outlineLvl w:val="1"/>
        <w:rPr>
          <w:rFonts w:ascii="仿宋_GB2312" w:hAnsi="微软雅黑" w:cs="宋体"/>
          <w:bCs/>
          <w:color w:val="333333"/>
          <w:kern w:val="36"/>
        </w:rPr>
      </w:pPr>
      <w:r>
        <w:rPr>
          <w:rFonts w:hint="eastAsia" w:ascii="方正仿宋简体" w:hAnsi="微软雅黑" w:eastAsia="方正仿宋简体"/>
          <w:color w:val="343434"/>
          <w:sz w:val="32"/>
          <w:szCs w:val="32"/>
        </w:rPr>
        <w:t>2022年省级财政农业公共安全与生态资源利用工程共同财政事权转移支付资金</w:t>
      </w:r>
      <w:r>
        <w:rPr>
          <w:rFonts w:hint="eastAsia" w:ascii="仿宋_GB2312" w:hAnsi="微软雅黑" w:cs="宋体"/>
          <w:bCs/>
          <w:color w:val="333333"/>
          <w:kern w:val="36"/>
        </w:rPr>
        <w:t>项目采取授权支付形式，由区</w:t>
      </w:r>
      <w:r>
        <w:rPr>
          <w:rFonts w:hint="eastAsia" w:ascii="仿宋_GB2312" w:hAnsi="微软雅黑" w:cs="宋体"/>
          <w:bCs/>
          <w:color w:val="333333"/>
          <w:kern w:val="36"/>
          <w:lang w:eastAsia="zh-CN"/>
        </w:rPr>
        <w:t>动物疫病预防控制中心</w:t>
      </w:r>
      <w:r>
        <w:rPr>
          <w:rFonts w:hint="eastAsia" w:ascii="仿宋_GB2312" w:hAnsi="微软雅黑" w:cs="宋体"/>
          <w:bCs/>
          <w:color w:val="333333"/>
          <w:kern w:val="36"/>
        </w:rPr>
        <w:t>申请补助资金，区财政局严格按照项目资金管理办法，对项目资金进行划拨、监管使用，区农业农村和交通运输局及时对项目资金进行计划申请，规范的对收支进行账务处理和会计核算，严格加强项目资金管理。</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sinsum" w:hAnsi="sinsum" w:eastAsia="仿宋_GB2312"/>
          <w:color w:val="333333"/>
          <w:shd w:val="clear" w:color="auto" w:fill="FFFFFF"/>
          <w:lang w:val="en-US" w:eastAsia="zh-CN"/>
        </w:rPr>
      </w:pPr>
      <w:r>
        <w:rPr>
          <w:rFonts w:hint="eastAsia" w:ascii="方正仿宋简体" w:hAnsi="微软雅黑" w:eastAsia="方正仿宋简体"/>
          <w:color w:val="343434"/>
          <w:sz w:val="32"/>
          <w:szCs w:val="32"/>
        </w:rPr>
        <w:t>2022年省级财政农业公共安全与生态资源利用工程共同财政事权转移支付资金</w:t>
      </w:r>
      <w:r>
        <w:rPr>
          <w:rFonts w:hint="eastAsia" w:ascii="仿宋_GB2312" w:hAnsi="微软雅黑" w:cs="宋体"/>
          <w:bCs/>
          <w:color w:val="333333"/>
          <w:kern w:val="36"/>
        </w:rPr>
        <w:t>项目</w:t>
      </w:r>
      <w:r>
        <w:rPr>
          <w:rFonts w:hint="eastAsia" w:ascii="仿宋_GB2312" w:hAnsi="微软雅黑" w:cs="宋体"/>
          <w:bCs/>
          <w:color w:val="333333"/>
          <w:kern w:val="36"/>
          <w:lang w:eastAsia="zh-CN"/>
        </w:rPr>
        <w:t>用于动物疫情处置，保障农业公共安全，补充动物强制免疫、抗体检测等不足资金，</w:t>
      </w:r>
      <w:r>
        <w:rPr>
          <w:rFonts w:hint="eastAsia" w:ascii="方正仿宋简体" w:hAnsi="微软雅黑" w:eastAsia="方正仿宋简体"/>
          <w:color w:val="343434"/>
          <w:sz w:val="32"/>
          <w:szCs w:val="32"/>
          <w:lang w:eastAsia="zh-CN"/>
        </w:rPr>
        <w:t>全年未发生区域性重大动物疫病和人畜共患病疫情，</w:t>
      </w:r>
      <w:r>
        <w:rPr>
          <w:rFonts w:hint="eastAsia" w:ascii="仿宋_GB2312" w:hAnsi="微软雅黑" w:cs="宋体"/>
          <w:bCs/>
          <w:color w:val="333333"/>
          <w:kern w:val="36"/>
          <w:lang w:eastAsia="zh-CN"/>
        </w:rPr>
        <w:t>全面完成</w:t>
      </w:r>
      <w:r>
        <w:rPr>
          <w:rFonts w:hint="eastAsia" w:ascii="方正仿宋简体" w:hAnsi="微软雅黑" w:eastAsia="方正仿宋简体"/>
          <w:color w:val="343434"/>
          <w:sz w:val="32"/>
          <w:szCs w:val="32"/>
        </w:rPr>
        <w:t>农业公共安全与生态资源利用</w:t>
      </w:r>
      <w:r>
        <w:rPr>
          <w:rFonts w:hint="eastAsia" w:ascii="方正仿宋简体" w:hAnsi="微软雅黑" w:eastAsia="方正仿宋简体"/>
          <w:color w:val="343434"/>
          <w:sz w:val="32"/>
          <w:szCs w:val="32"/>
          <w:lang w:eastAsia="zh-CN"/>
        </w:rPr>
        <w:t>任务</w:t>
      </w:r>
      <w:r>
        <w:rPr>
          <w:rFonts w:hint="eastAsia" w:ascii="sinsum" w:hAnsi="sinsum"/>
          <w:color w:val="333333"/>
          <w:shd w:val="clear" w:color="auto" w:fill="FFFFFF"/>
          <w:lang w:val="en-US" w:eastAsia="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widowControl/>
        <w:shd w:val="clear" w:color="auto" w:fill="FFFFFF"/>
        <w:spacing w:line="504" w:lineRule="atLeast"/>
        <w:ind w:firstLine="803" w:firstLineChars="250"/>
        <w:jc w:val="left"/>
        <w:outlineLvl w:val="1"/>
        <w:rPr>
          <w:rFonts w:ascii="仿宋_GB2312" w:hAnsi="微软雅黑" w:cs="宋体"/>
          <w:bCs/>
          <w:color w:val="333333"/>
          <w:kern w:val="36"/>
        </w:rPr>
      </w:pPr>
      <w:r>
        <w:rPr>
          <w:rFonts w:hint="eastAsia" w:ascii="楷体_GB2312" w:hAnsi="宋体" w:eastAsia="楷体_GB2312"/>
          <w:b/>
          <w:lang w:val="zh-CN"/>
        </w:rPr>
        <w:t>（一）项目完成情况。</w:t>
      </w:r>
      <w:r>
        <w:rPr>
          <w:rFonts w:hint="eastAsia" w:ascii="仿宋_GB2312" w:hAnsi="微软雅黑" w:cs="宋体"/>
          <w:bCs/>
          <w:color w:val="333333"/>
          <w:kern w:val="0"/>
        </w:rPr>
        <w:t>未不发生区域性重大动物疫病和人畜共患病疫情，重大动物疫情</w:t>
      </w:r>
      <w:r>
        <w:rPr>
          <w:rFonts w:hint="eastAsia" w:ascii="仿宋_GB2312" w:hAnsi="微软雅黑" w:cs="宋体"/>
          <w:bCs/>
          <w:color w:val="333333"/>
          <w:kern w:val="0"/>
          <w:lang w:eastAsia="zh-CN"/>
        </w:rPr>
        <w:t>得到稳定控制</w:t>
      </w:r>
      <w:r>
        <w:rPr>
          <w:rFonts w:hint="eastAsia" w:ascii="仿宋_GB2312" w:hAnsi="微软雅黑" w:cs="宋体"/>
          <w:bCs/>
          <w:color w:val="333333"/>
          <w:kern w:val="0"/>
        </w:rPr>
        <w:t>。</w:t>
      </w:r>
    </w:p>
    <w:p>
      <w:pPr>
        <w:adjustRightInd w:val="0"/>
        <w:snapToGrid w:val="0"/>
        <w:spacing w:line="560" w:lineRule="exact"/>
        <w:ind w:firstLine="720"/>
        <w:rPr>
          <w:rFonts w:ascii="仿宋_GB2312" w:hAnsi="微软雅黑" w:cs="宋体"/>
          <w:bCs/>
          <w:color w:val="333333"/>
          <w:kern w:val="36"/>
        </w:rPr>
      </w:pPr>
      <w:r>
        <w:rPr>
          <w:rFonts w:hint="eastAsia" w:ascii="楷体_GB2312" w:hAnsi="宋体" w:eastAsia="楷体_GB2312"/>
          <w:b/>
          <w:lang w:val="zh-CN"/>
        </w:rPr>
        <w:t>（二）项目效益情况。</w:t>
      </w:r>
      <w:r>
        <w:rPr>
          <w:rFonts w:hint="eastAsia" w:ascii="sinsum" w:hAnsi="sinsum"/>
          <w:color w:val="333333"/>
          <w:shd w:val="clear" w:color="auto" w:fill="FFFFFF"/>
        </w:rPr>
        <w:t>加强防疫措施</w:t>
      </w:r>
      <w:r>
        <w:rPr>
          <w:rFonts w:hint="eastAsia" w:ascii="sinsum" w:hAnsi="sinsum"/>
          <w:color w:val="333333"/>
          <w:shd w:val="clear" w:color="auto" w:fill="FFFFFF"/>
          <w:lang w:eastAsia="zh-CN"/>
        </w:rPr>
        <w:t>，</w:t>
      </w:r>
      <w:r>
        <w:rPr>
          <w:rFonts w:hint="eastAsia" w:ascii="sinsum" w:hAnsi="sinsum"/>
          <w:color w:val="333333"/>
          <w:shd w:val="clear" w:color="auto" w:fill="FFFFFF"/>
        </w:rPr>
        <w:t>减少</w:t>
      </w:r>
      <w:r>
        <w:rPr>
          <w:rFonts w:hint="eastAsia" w:ascii="仿宋_GB2312" w:hAnsi="微软雅黑" w:cs="宋体"/>
          <w:bCs/>
          <w:color w:val="333333"/>
          <w:kern w:val="0"/>
        </w:rPr>
        <w:t>重大动物疫病和人畜共患病疫情</w:t>
      </w:r>
      <w:r>
        <w:rPr>
          <w:rFonts w:hint="eastAsia" w:ascii="sinsum" w:hAnsi="sinsum"/>
          <w:color w:val="333333"/>
          <w:shd w:val="clear" w:color="auto" w:fill="FFFFFF"/>
        </w:rPr>
        <w:t>危害</w:t>
      </w:r>
      <w:r>
        <w:rPr>
          <w:rFonts w:hint="eastAsia" w:ascii="sinsum" w:hAnsi="sinsum"/>
          <w:color w:val="333333"/>
          <w:shd w:val="clear" w:color="auto" w:fill="FFFFFF"/>
          <w:lang w:eastAsia="zh-CN"/>
        </w:rPr>
        <w:t>，农业公共安全得到提升，畜禽养殖与农业生态资源得到保护</w:t>
      </w:r>
      <w:r>
        <w:rPr>
          <w:rFonts w:ascii="sinsum" w:hAnsi="sinsum"/>
          <w:color w:val="333333"/>
          <w:shd w:val="clear" w:color="auto" w:fill="FFFFFF"/>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（一）存在的问题。无</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（二）相关建议。</w:t>
      </w:r>
      <w:r>
        <w:rPr>
          <w:rFonts w:hint="eastAsia" w:ascii="仿宋_GB2312" w:hAnsi="宋体"/>
          <w:lang w:val="zh-CN"/>
        </w:rPr>
        <w:t>无</w:t>
      </w:r>
    </w:p>
    <w:p>
      <w:pPr>
        <w:adjustRightInd w:val="0"/>
        <w:snapToGrid w:val="0"/>
        <w:spacing w:line="560" w:lineRule="exact"/>
        <w:ind w:firstLine="720"/>
        <w:rPr>
          <w:rFonts w:ascii="仿宋_GB2312" w:hAnsi="宋体"/>
          <w:lang w:val="zh-CN"/>
        </w:rPr>
      </w:pPr>
    </w:p>
    <w:p>
      <w:pPr>
        <w:adjustRightInd w:val="0"/>
        <w:snapToGrid w:val="0"/>
        <w:spacing w:line="560" w:lineRule="exact"/>
        <w:ind w:firstLine="3040" w:firstLineChars="950"/>
      </w:pPr>
      <w:r>
        <w:rPr>
          <w:rFonts w:hint="eastAsia"/>
        </w:rPr>
        <w:t>攀枝花市西区动物疫病预防控制中心</w:t>
      </w:r>
    </w:p>
    <w:p>
      <w:pPr>
        <w:adjustRightInd w:val="0"/>
        <w:snapToGrid w:val="0"/>
        <w:spacing w:line="560" w:lineRule="exact"/>
        <w:ind w:firstLine="4320" w:firstLineChars="1350"/>
      </w:pPr>
      <w:r>
        <w:rPr>
          <w:rFonts w:hint="eastAsia"/>
        </w:rPr>
        <w:t>202</w:t>
      </w:r>
      <w:r>
        <w:rPr>
          <w:rFonts w:hint="eastAsia"/>
          <w:lang w:val="en-US" w:eastAsia="zh-CN"/>
        </w:rPr>
        <w:t>4</w:t>
      </w:r>
      <w:r>
        <w:rPr>
          <w:rFonts w:hint="eastAsia"/>
        </w:rPr>
        <w:t>年5月1</w:t>
      </w:r>
      <w:r>
        <w:rPr>
          <w:rFonts w:hint="eastAsia"/>
          <w:lang w:val="en-US" w:eastAsia="zh-CN"/>
        </w:rPr>
        <w:t>1</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insum">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6BD229F"/>
    <w:rsid w:val="08941CC3"/>
    <w:rsid w:val="0DCF58C7"/>
    <w:rsid w:val="0E466547"/>
    <w:rsid w:val="0EDB478C"/>
    <w:rsid w:val="17472266"/>
    <w:rsid w:val="1E312D17"/>
    <w:rsid w:val="1EB72DFC"/>
    <w:rsid w:val="24E53A59"/>
    <w:rsid w:val="26725F02"/>
    <w:rsid w:val="274D3E1C"/>
    <w:rsid w:val="291C455A"/>
    <w:rsid w:val="307C3A1B"/>
    <w:rsid w:val="350F2AE0"/>
    <w:rsid w:val="36926D0C"/>
    <w:rsid w:val="38D239F0"/>
    <w:rsid w:val="3D36720A"/>
    <w:rsid w:val="3DBF59D9"/>
    <w:rsid w:val="40C42485"/>
    <w:rsid w:val="42C407AF"/>
    <w:rsid w:val="44B7759F"/>
    <w:rsid w:val="4A091ED0"/>
    <w:rsid w:val="4B2F6C12"/>
    <w:rsid w:val="4B795D97"/>
    <w:rsid w:val="4DAF2BCF"/>
    <w:rsid w:val="4DDB6F66"/>
    <w:rsid w:val="58F8593C"/>
    <w:rsid w:val="5B1B2315"/>
    <w:rsid w:val="64CB27C0"/>
    <w:rsid w:val="66331DAC"/>
    <w:rsid w:val="70452BBF"/>
    <w:rsid w:val="7160306C"/>
    <w:rsid w:val="792F2AEE"/>
    <w:rsid w:val="7B747996"/>
    <w:rsid w:val="7E6C761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 w:type="paragraph" w:customStyle="1" w:styleId="6">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1</TotalTime>
  <ScaleCrop>false</ScaleCrop>
  <LinksUpToDate>false</LinksUpToDate>
  <CharactersWithSpaces>894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lenovo</cp:lastModifiedBy>
  <dcterms:modified xsi:type="dcterms:W3CDTF">2024-06-02T01:50:19Z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CAC1590837C2472F9571DC236C1A6F6A</vt:lpwstr>
  </property>
</Properties>
</file>