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>
      <w:pPr>
        <w:widowControl/>
        <w:spacing w:line="580" w:lineRule="exact"/>
        <w:contextualSpacing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contextualSpacing/>
        <w:jc w:val="center"/>
        <w:rPr>
          <w:rFonts w:eastAsia="宋体"/>
          <w:b/>
          <w:sz w:val="44"/>
          <w:szCs w:val="44"/>
          <w:shd w:val="clear" w:color="auto" w:fill="FFFFFF"/>
        </w:rPr>
      </w:pPr>
      <w:r>
        <w:rPr>
          <w:rFonts w:hint="eastAsia" w:eastAsia="宋体"/>
          <w:b/>
          <w:sz w:val="44"/>
          <w:szCs w:val="44"/>
          <w:shd w:val="clear" w:color="auto" w:fill="FFFFFF"/>
          <w:lang w:val="en-US" w:eastAsia="zh-CN"/>
        </w:rPr>
        <w:t>区</w:t>
      </w:r>
      <w:r>
        <w:rPr>
          <w:rFonts w:eastAsia="宋体"/>
          <w:b/>
          <w:sz w:val="44"/>
          <w:szCs w:val="44"/>
          <w:shd w:val="clear" w:color="auto" w:fill="FFFFFF"/>
        </w:rPr>
        <w:t>级部门整体支出绩效</w:t>
      </w:r>
      <w:r>
        <w:rPr>
          <w:rFonts w:hint="eastAsia" w:eastAsia="宋体"/>
          <w:b/>
          <w:sz w:val="44"/>
          <w:szCs w:val="44"/>
          <w:shd w:val="clear" w:color="auto" w:fill="FFFFFF"/>
        </w:rPr>
        <w:t>自评报告</w:t>
      </w:r>
      <w:r>
        <w:rPr>
          <w:rFonts w:eastAsia="宋体"/>
          <w:b/>
          <w:sz w:val="44"/>
          <w:szCs w:val="44"/>
          <w:shd w:val="clear" w:color="auto" w:fill="FFFFFF"/>
        </w:rPr>
        <w:t>范本</w:t>
      </w:r>
    </w:p>
    <w:p>
      <w:pPr>
        <w:widowControl/>
        <w:adjustRightInd w:val="0"/>
        <w:snapToGrid w:val="0"/>
        <w:spacing w:line="580" w:lineRule="exact"/>
        <w:ind w:firstLine="480" w:firstLineChars="200"/>
        <w:contextualSpacing/>
        <w:jc w:val="left"/>
        <w:rPr>
          <w:rFonts w:eastAsia="黑体"/>
          <w:color w:val="000000"/>
          <w:kern w:val="0"/>
          <w:sz w:val="24"/>
          <w:szCs w:val="32"/>
          <w:shd w:val="clear" w:color="auto" w:fill="FFFFFF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一、</w:t>
      </w:r>
      <w:r>
        <w:rPr>
          <w:rFonts w:eastAsia="黑体"/>
          <w:color w:val="000000"/>
          <w:kern w:val="0"/>
          <w:szCs w:val="32"/>
          <w:shd w:val="clear" w:color="auto" w:fill="FFFFFF"/>
          <w:lang w:val="zh-CN"/>
        </w:rPr>
        <w:t>部门概况</w:t>
      </w:r>
    </w:p>
    <w:p>
      <w:pPr>
        <w:spacing w:line="353" w:lineRule="auto"/>
        <w:ind w:firstLine="640" w:firstLineChars="200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（一）机构组成。</w:t>
      </w:r>
    </w:p>
    <w:p>
      <w:pPr>
        <w:spacing w:line="353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攀枝花市</w:t>
      </w:r>
      <w:r>
        <w:rPr>
          <w:rFonts w:hint="eastAsia" w:ascii="仿宋_GB2312" w:hAnsi="仿宋_GB2312" w:eastAsia="仿宋_GB2312" w:cs="仿宋_GB2312"/>
          <w:sz w:val="32"/>
          <w:szCs w:val="32"/>
        </w:rPr>
        <w:t>西区动物疫病预防控制中心是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攀枝花市</w:t>
      </w:r>
      <w:r>
        <w:rPr>
          <w:rFonts w:hint="eastAsia" w:ascii="仿宋_GB2312" w:hAnsi="仿宋_GB2312" w:eastAsia="仿宋_GB2312" w:cs="仿宋_GB2312"/>
          <w:sz w:val="32"/>
          <w:szCs w:val="32"/>
        </w:rPr>
        <w:t>西区农业农村和交通运输局下属二级事业单位。</w:t>
      </w:r>
    </w:p>
    <w:p>
      <w:pPr>
        <w:numPr>
          <w:ilvl w:val="0"/>
          <w:numId w:val="1"/>
        </w:numPr>
        <w:spacing w:line="353" w:lineRule="auto"/>
        <w:ind w:firstLine="640" w:firstLineChars="200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机构职能。</w:t>
      </w:r>
    </w:p>
    <w:p>
      <w:pPr>
        <w:numPr>
          <w:ilvl w:val="0"/>
          <w:numId w:val="0"/>
        </w:numPr>
        <w:spacing w:line="353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承担动物疫病的监测、检测、诊断、流行病学调查、疫情预警分析、疫情报告以及其他动物疫病预防、控制等技术工作。</w:t>
      </w:r>
    </w:p>
    <w:p>
      <w:pPr>
        <w:numPr>
          <w:ilvl w:val="0"/>
          <w:numId w:val="1"/>
        </w:numPr>
        <w:spacing w:line="353" w:lineRule="auto"/>
        <w:ind w:left="0" w:leftChars="0" w:firstLine="640" w:firstLineChars="200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人员概况。</w:t>
      </w:r>
    </w:p>
    <w:p>
      <w:pPr>
        <w:numPr>
          <w:ilvl w:val="0"/>
          <w:numId w:val="0"/>
        </w:numPr>
        <w:spacing w:line="353" w:lineRule="auto"/>
        <w:ind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我单位共有事业编制10名，实际到位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名，退休人员2名。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二、部门财政资金收支情况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（一）部门财政资金收入情况。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202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3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年，西区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动物疫病预防控制中心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财政资金收入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305.48</w:t>
      </w:r>
      <w:bookmarkStart w:id="0" w:name="_GoBack"/>
      <w:bookmarkEnd w:id="0"/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万元。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部门财政资金支出情况。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202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3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年，西区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动物疫病预防控制中心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财政资金支出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214.14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万元。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三、部门整体预算绩效管理情况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（一）部门预算项目绩效管理。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西区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动物疫病预防控制中心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根据第二年工作开展情况，结合西区和单位实际，制定项目绩效目标，细化指标；绩效目标分为人员类、运转类和特定目标类三类分类制定目标，根据目标分类跟踪考核。项目预算编制，实事求是，确保预算的准确性、及时性；专项预算项目按照程序严密、规划合理的原则实施、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并将实施方案以书面形式报区政府审批，批复后再实施，及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时支付，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各项管理无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违规记录等情况</w:t>
      </w:r>
      <w:r>
        <w:rPr>
          <w:color w:val="000000"/>
          <w:kern w:val="0"/>
          <w:szCs w:val="32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（二）结果应用情况。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严格对照项目支出绩效评价发现的问题，查找漏洞，将评价结果用于制定政策、完善内控管理制度，改进项目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绩效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管理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和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资金使用管理等方面，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最大化发挥项目资金用途</w:t>
      </w:r>
      <w:r>
        <w:rPr>
          <w:color w:val="000000"/>
          <w:kern w:val="0"/>
          <w:szCs w:val="32"/>
          <w:shd w:val="clear" w:color="auto" w:fill="FFFFFF"/>
          <w:lang w:val="zh-CN"/>
        </w:rPr>
        <w:t>。</w:t>
      </w:r>
    </w:p>
    <w:p>
      <w:pPr>
        <w:widowControl/>
        <w:numPr>
          <w:ilvl w:val="0"/>
          <w:numId w:val="3"/>
        </w:numPr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自评质量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。</w:t>
      </w:r>
    </w:p>
    <w:p>
      <w:pPr>
        <w:tabs>
          <w:tab w:val="left" w:pos="4246"/>
        </w:tabs>
        <w:snapToGrid w:val="0"/>
        <w:spacing w:line="353" w:lineRule="auto"/>
        <w:ind w:firstLine="640" w:firstLineChars="200"/>
        <w:rPr>
          <w:szCs w:val="32"/>
        </w:rPr>
      </w:pP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年,在区委、区政府</w:t>
      </w:r>
      <w:r>
        <w:rPr>
          <w:rFonts w:hint="eastAsia" w:ascii="仿宋_GB2312"/>
          <w:szCs w:val="32"/>
          <w:lang w:val="en-US" w:eastAsia="zh-CN"/>
        </w:rPr>
        <w:t>及局领导</w:t>
      </w:r>
      <w:r>
        <w:rPr>
          <w:rFonts w:hint="eastAsia" w:ascii="仿宋_GB2312"/>
          <w:szCs w:val="32"/>
        </w:rPr>
        <w:t>的正确领导下，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西区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动物疫病预防控制中心</w:t>
      </w:r>
      <w:r>
        <w:rPr>
          <w:rFonts w:hint="eastAsia" w:ascii="仿宋_GB2312"/>
          <w:szCs w:val="32"/>
        </w:rPr>
        <w:t>克服诸多困难，按计划、按要求完成了各项目工作，较好地实现了202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年目标绩效工作，完成情况良好。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四、评价结论及建议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（一）评价结论。</w:t>
      </w:r>
      <w:r>
        <w:rPr>
          <w:rFonts w:hint="eastAsia"/>
          <w:kern w:val="0"/>
          <w:szCs w:val="32"/>
          <w:shd w:val="clear" w:color="auto" w:fill="FFFFFF"/>
          <w:lang w:val="zh-CN"/>
        </w:rPr>
        <w:t>我单位支出绩效总体良好，各项目标基本达到了相应时期执行进度，使财政收支预算执行都得到了良好的制度保障和实施效果。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（二）存在问题。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部分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上级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资金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到位时间较晚，不能及时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支付，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支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付上有进度滞后情况。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（三）改进建议。</w:t>
      </w:r>
      <w:r>
        <w:rPr>
          <w:rFonts w:hint="eastAsia"/>
          <w:color w:val="000000"/>
          <w:kern w:val="0"/>
          <w:szCs w:val="32"/>
          <w:shd w:val="clear" w:color="auto" w:fill="FFFFFF"/>
        </w:rPr>
        <w:t>我们将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加强与上级部门与本级财政部门沟通</w:t>
      </w:r>
      <w:r>
        <w:rPr>
          <w:rFonts w:hint="eastAsia"/>
          <w:color w:val="000000"/>
          <w:kern w:val="0"/>
          <w:szCs w:val="32"/>
          <w:shd w:val="clear" w:color="auto" w:fill="FFFFFF"/>
        </w:rPr>
        <w:t>，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加强</w:t>
      </w:r>
      <w:r>
        <w:rPr>
          <w:rFonts w:hint="eastAsia"/>
          <w:color w:val="000000"/>
          <w:kern w:val="0"/>
          <w:szCs w:val="32"/>
          <w:shd w:val="clear" w:color="auto" w:fill="FFFFFF"/>
        </w:rPr>
        <w:t>绩效管理，增强可执行性</w:t>
      </w:r>
      <w:r>
        <w:rPr>
          <w:rFonts w:hint="eastAsia"/>
          <w:color w:val="000000"/>
          <w:kern w:val="0"/>
          <w:szCs w:val="32"/>
          <w:shd w:val="clear" w:color="auto" w:fill="FFFFFF"/>
          <w:lang w:eastAsia="zh-CN"/>
        </w:rPr>
        <w:t>，</w:t>
      </w:r>
      <w:r>
        <w:rPr>
          <w:rFonts w:hint="eastAsia"/>
          <w:color w:val="000000"/>
          <w:kern w:val="0"/>
          <w:szCs w:val="32"/>
          <w:shd w:val="clear" w:color="auto" w:fill="FFFFFF"/>
        </w:rPr>
        <w:t>努力提高资金使用效率。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47FB2"/>
    <w:multiLevelType w:val="singleLevel"/>
    <w:tmpl w:val="B4C47FB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365BEBA"/>
    <w:multiLevelType w:val="singleLevel"/>
    <w:tmpl w:val="C365BE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E794925"/>
    <w:multiLevelType w:val="singleLevel"/>
    <w:tmpl w:val="3E79492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TYxNzc4NDYwZmMxNDkyMDFiMzVmZDRlMTYxZmQifQ=="/>
  </w:docVars>
  <w:rsids>
    <w:rsidRoot w:val="00EC0174"/>
    <w:rsid w:val="00006E4D"/>
    <w:rsid w:val="00021652"/>
    <w:rsid w:val="00024616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57DF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5F37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4AB4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39A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92479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418"/>
    <w:rsid w:val="00D006C6"/>
    <w:rsid w:val="00D14A65"/>
    <w:rsid w:val="00D162B9"/>
    <w:rsid w:val="00D22932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10F3F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E60A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DC31556"/>
    <w:rsid w:val="1A3D6143"/>
    <w:rsid w:val="1A772190"/>
    <w:rsid w:val="1C013801"/>
    <w:rsid w:val="23136AFE"/>
    <w:rsid w:val="27ED6E2C"/>
    <w:rsid w:val="2D527252"/>
    <w:rsid w:val="2EAE55F2"/>
    <w:rsid w:val="2EDF4302"/>
    <w:rsid w:val="47550EBA"/>
    <w:rsid w:val="55285AFC"/>
    <w:rsid w:val="639C42F1"/>
    <w:rsid w:val="6636451A"/>
    <w:rsid w:val="6AF200E6"/>
    <w:rsid w:val="6EF65E9C"/>
    <w:rsid w:val="7092322F"/>
    <w:rsid w:val="71397E03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1</Pages>
  <Words>50</Words>
  <Characters>285</Characters>
  <Lines>2</Lines>
  <Paragraphs>1</Paragraphs>
  <TotalTime>41</TotalTime>
  <ScaleCrop>false</ScaleCrop>
  <LinksUpToDate>false</LinksUpToDate>
  <CharactersWithSpaces>334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lenovo</cp:lastModifiedBy>
  <cp:lastPrinted>2022-03-26T08:26:00Z</cp:lastPrinted>
  <dcterms:modified xsi:type="dcterms:W3CDTF">2024-05-30T09:57:59Z</dcterms:modified>
  <dc:title>区域性就业培训基地建设项目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E8F54ACA553346ECBFB96484E1237684_12</vt:lpwstr>
  </property>
</Properties>
</file>