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val="en-US" w:eastAsia="zh-CN"/>
        </w:rPr>
        <w:t>区</w:t>
      </w:r>
      <w:r>
        <w:rPr>
          <w:rFonts w:eastAsia="宋体"/>
          <w:b/>
          <w:sz w:val="44"/>
          <w:szCs w:val="44"/>
          <w:shd w:val="clear" w:color="auto" w:fill="FFFFFF"/>
        </w:rPr>
        <w:t>级部门整体支出绩效</w:t>
      </w:r>
      <w:r>
        <w:rPr>
          <w:rFonts w:hint="eastAsia" w:eastAsia="宋体"/>
          <w:b/>
          <w:sz w:val="44"/>
          <w:szCs w:val="44"/>
          <w:shd w:val="clear" w:color="auto" w:fill="FFFFFF"/>
        </w:rPr>
        <w:t>自评报告</w:t>
      </w:r>
      <w:r>
        <w:rPr>
          <w:rFonts w:eastAsia="宋体"/>
          <w:b/>
          <w:sz w:val="44"/>
          <w:szCs w:val="44"/>
          <w:shd w:val="clear" w:color="auto" w:fill="FFFFFF"/>
        </w:rPr>
        <w:t>范本</w:t>
      </w:r>
    </w:p>
    <w:p>
      <w:pPr>
        <w:widowControl/>
        <w:spacing w:line="580" w:lineRule="exact"/>
        <w:contextualSpacing/>
        <w:jc w:val="center"/>
        <w:rPr>
          <w:szCs w:val="32"/>
          <w:shd w:val="clear" w:color="auto" w:fill="FFFFFF"/>
        </w:rPr>
      </w:pPr>
      <w:r>
        <w:rPr>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color w:val="000000"/>
          <w:kern w:val="0"/>
          <w:szCs w:val="32"/>
          <w:shd w:val="clear" w:color="auto" w:fill="FFFFFF"/>
          <w:lang w:val="zh-CN"/>
        </w:rPr>
        <w:t>（一）机构组成。</w:t>
      </w:r>
      <w:r>
        <w:rPr>
          <w:rFonts w:hint="eastAsia" w:ascii="仿宋_GB2312" w:hAnsi="Times New Roman" w:eastAsia="仿宋_GB2312"/>
          <w:sz w:val="32"/>
          <w:szCs w:val="32"/>
        </w:rPr>
        <w:t>攀枝花市西区农业农村和交通运输局是攀枝花市西区人民政府组成部门，</w:t>
      </w:r>
      <w:r>
        <w:rPr>
          <w:rFonts w:hint="eastAsia" w:ascii="仿宋_GB2312"/>
          <w:sz w:val="32"/>
          <w:szCs w:val="32"/>
          <w:lang w:val="en-US" w:eastAsia="zh-CN"/>
        </w:rPr>
        <w:t>同时挂西区乡村振兴局和西区供销社两块牌子。</w:t>
      </w:r>
    </w:p>
    <w:p>
      <w:pPr>
        <w:spacing w:line="560" w:lineRule="exact"/>
        <w:ind w:firstLine="800" w:firstLineChars="250"/>
        <w:rPr>
          <w:color w:val="000000"/>
          <w:kern w:val="0"/>
          <w:szCs w:val="32"/>
          <w:shd w:val="clear" w:color="auto" w:fill="FFFFFF"/>
          <w:lang w:val="zh-CN"/>
        </w:rPr>
      </w:pPr>
      <w:r>
        <w:rPr>
          <w:color w:val="000000"/>
          <w:kern w:val="0"/>
          <w:szCs w:val="32"/>
          <w:shd w:val="clear" w:color="auto" w:fill="FFFFFF"/>
          <w:lang w:val="zh-CN"/>
        </w:rPr>
        <w:t>（二）机构职能。</w:t>
      </w:r>
    </w:p>
    <w:p>
      <w:pPr>
        <w:spacing w:line="560" w:lineRule="exact"/>
        <w:ind w:firstLine="780" w:firstLineChars="250"/>
        <w:rPr>
          <w:rFonts w:ascii="仿宋_GB2312" w:hAnsi="仿宋"/>
          <w:spacing w:val="-4"/>
          <w:szCs w:val="32"/>
        </w:rPr>
      </w:pPr>
      <w:r>
        <w:rPr>
          <w:rFonts w:hint="eastAsia" w:ascii="仿宋_GB2312" w:hAnsi="仿宋"/>
          <w:spacing w:val="-4"/>
          <w:szCs w:val="32"/>
        </w:rPr>
        <w:t>1.基本职能</w:t>
      </w:r>
    </w:p>
    <w:p>
      <w:pPr>
        <w:spacing w:line="560" w:lineRule="exact"/>
        <w:ind w:firstLine="468" w:firstLineChars="150"/>
        <w:rPr>
          <w:rFonts w:ascii="仿宋_GB2312" w:hAnsi="仿宋"/>
          <w:spacing w:val="-4"/>
          <w:szCs w:val="32"/>
        </w:rPr>
      </w:pPr>
      <w:r>
        <w:rPr>
          <w:rFonts w:hint="eastAsia" w:ascii="仿宋_GB2312" w:hAnsi="仿宋"/>
          <w:spacing w:val="-4"/>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ind w:firstLine="468" w:firstLineChars="150"/>
        <w:rPr>
          <w:rFonts w:ascii="仿宋_GB2312" w:hAnsi="仿宋"/>
          <w:spacing w:val="-4"/>
          <w:szCs w:val="32"/>
        </w:rPr>
      </w:pPr>
      <w:r>
        <w:rPr>
          <w:rFonts w:hint="eastAsia" w:ascii="仿宋_GB2312" w:hAnsi="仿宋"/>
          <w:spacing w:val="-4"/>
          <w:szCs w:val="32"/>
        </w:rPr>
        <w:t>（2）统筹实施乡村振兴战略，牵头组织改善全区农村人居环境。</w:t>
      </w:r>
    </w:p>
    <w:p>
      <w:pPr>
        <w:spacing w:line="560" w:lineRule="exact"/>
        <w:ind w:firstLine="468" w:firstLineChars="150"/>
        <w:rPr>
          <w:rFonts w:ascii="仿宋_GB2312" w:hAnsi="仿宋"/>
          <w:spacing w:val="-4"/>
          <w:szCs w:val="32"/>
        </w:rPr>
      </w:pPr>
      <w:r>
        <w:rPr>
          <w:rFonts w:hint="eastAsia" w:ascii="仿宋_GB2312" w:hAnsi="仿宋"/>
          <w:spacing w:val="-4"/>
          <w:szCs w:val="32"/>
        </w:rPr>
        <w:t>（3）负责农民承包地管理和改革有关工作。负责农村集体产权制度改革。</w:t>
      </w:r>
    </w:p>
    <w:p>
      <w:pPr>
        <w:spacing w:line="560" w:lineRule="exact"/>
        <w:ind w:firstLine="468" w:firstLineChars="150"/>
        <w:rPr>
          <w:rFonts w:ascii="仿宋_GB2312" w:hAnsi="仿宋"/>
          <w:spacing w:val="-4"/>
          <w:szCs w:val="32"/>
        </w:rPr>
      </w:pPr>
      <w:r>
        <w:rPr>
          <w:rFonts w:hint="eastAsia" w:ascii="仿宋_GB2312" w:hAnsi="仿宋"/>
          <w:spacing w:val="-4"/>
          <w:szCs w:val="32"/>
        </w:rPr>
        <w:t>（4）指导全区乡村特色产业、农产品加工业（产地初加工）、休闲农业和乡村企业发展工作。负责农业信息体系建设，推动数字农业发展。</w:t>
      </w:r>
    </w:p>
    <w:p>
      <w:pPr>
        <w:spacing w:line="560" w:lineRule="exact"/>
        <w:ind w:firstLine="468" w:firstLineChars="150"/>
        <w:rPr>
          <w:rFonts w:ascii="仿宋_GB2312" w:hAnsi="仿宋"/>
          <w:spacing w:val="-4"/>
          <w:szCs w:val="32"/>
        </w:rPr>
      </w:pPr>
      <w:r>
        <w:rPr>
          <w:rFonts w:hint="eastAsia" w:ascii="仿宋_GB2312" w:hAnsi="仿宋"/>
          <w:spacing w:val="-4"/>
          <w:szCs w:val="32"/>
        </w:rPr>
        <w:t>（5）负责全区种植业、畜牧业（草原牧业）、渔业、农垦、农业机械化等农业各产业的监督管理。</w:t>
      </w:r>
    </w:p>
    <w:p>
      <w:pPr>
        <w:spacing w:line="560" w:lineRule="exact"/>
        <w:ind w:firstLine="468" w:firstLineChars="150"/>
        <w:rPr>
          <w:rFonts w:ascii="仿宋_GB2312" w:hAnsi="仿宋"/>
          <w:spacing w:val="-4"/>
          <w:szCs w:val="32"/>
        </w:rPr>
      </w:pPr>
      <w:r>
        <w:rPr>
          <w:rFonts w:hint="eastAsia" w:ascii="仿宋_GB2312" w:hAnsi="仿宋"/>
          <w:spacing w:val="-4"/>
          <w:szCs w:val="32"/>
        </w:rPr>
        <w:t>（6）负责制定全区农业全产业机械化、智能化、数字化发展规划并组织实施。指导设施农业、农机库棚、机电提灌、机耕道等基础设施建设。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spacing w:val="-4"/>
          <w:szCs w:val="32"/>
        </w:rPr>
      </w:pPr>
      <w:r>
        <w:rPr>
          <w:rFonts w:hint="eastAsia" w:ascii="仿宋_GB2312" w:hAnsi="仿宋"/>
          <w:spacing w:val="-4"/>
          <w:szCs w:val="32"/>
        </w:rPr>
        <w:t>(7)负责全区农产品质量安全监督管理。依法组织实施符合安全标准的农产品生产基地认定、产品认证、农产品地理标志登记保护和监督管理。</w:t>
      </w:r>
    </w:p>
    <w:p>
      <w:pPr>
        <w:spacing w:line="560" w:lineRule="exact"/>
        <w:ind w:firstLine="624" w:firstLineChars="200"/>
        <w:rPr>
          <w:rFonts w:ascii="仿宋_GB2312" w:hAnsi="仿宋"/>
          <w:spacing w:val="-4"/>
          <w:szCs w:val="32"/>
        </w:rPr>
      </w:pPr>
      <w:r>
        <w:rPr>
          <w:rFonts w:hint="eastAsia" w:ascii="仿宋_GB2312" w:hAnsi="仿宋"/>
          <w:spacing w:val="-4"/>
          <w:szCs w:val="32"/>
        </w:rPr>
        <w:t>(8)组织开展全区农业资源区划和资源保护工作。</w:t>
      </w:r>
    </w:p>
    <w:p>
      <w:pPr>
        <w:spacing w:line="560" w:lineRule="exact"/>
        <w:ind w:firstLine="624" w:firstLineChars="200"/>
        <w:rPr>
          <w:rFonts w:ascii="仿宋_GB2312" w:hAnsi="仿宋"/>
          <w:spacing w:val="-4"/>
          <w:szCs w:val="32"/>
        </w:rPr>
      </w:pPr>
      <w:r>
        <w:rPr>
          <w:rFonts w:hint="eastAsia" w:ascii="仿宋_GB2312" w:hAnsi="仿宋"/>
          <w:spacing w:val="-4"/>
          <w:szCs w:val="32"/>
        </w:rPr>
        <w:t>(9)负责全区有关农业生产资料和农业投入品的监督管理。组织兽医医政、兽药（鱼药）药政药检工作，负责执业兽医和兽禽屠宰行业管理。</w:t>
      </w:r>
    </w:p>
    <w:p>
      <w:pPr>
        <w:spacing w:line="560" w:lineRule="exact"/>
        <w:ind w:firstLine="624" w:firstLineChars="200"/>
        <w:rPr>
          <w:rFonts w:ascii="仿宋_GB2312" w:hAnsi="仿宋"/>
          <w:spacing w:val="-4"/>
          <w:szCs w:val="32"/>
        </w:rPr>
      </w:pPr>
      <w:r>
        <w:rPr>
          <w:rFonts w:hint="eastAsia" w:ascii="仿宋_GB2312" w:hAnsi="仿宋"/>
          <w:spacing w:val="-4"/>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ind w:firstLine="624" w:firstLineChars="200"/>
        <w:rPr>
          <w:rFonts w:ascii="仿宋_GB2312" w:hAnsi="仿宋"/>
          <w:spacing w:val="-4"/>
          <w:szCs w:val="32"/>
        </w:rPr>
      </w:pPr>
      <w:r>
        <w:rPr>
          <w:rFonts w:hint="eastAsia" w:ascii="仿宋_GB2312" w:hAnsi="仿宋"/>
          <w:spacing w:val="-4"/>
          <w:szCs w:val="32"/>
        </w:rPr>
        <w:t>(11)负责全区农业投资管理。按规定权限审批农业投资项目，负责农业投资项目资金安排和监督管理。负责农业综合开发项目工作。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spacing w:val="-4"/>
          <w:szCs w:val="32"/>
        </w:rPr>
      </w:pPr>
      <w:r>
        <w:rPr>
          <w:rFonts w:hint="eastAsia" w:ascii="仿宋_GB2312" w:hAnsi="仿宋"/>
          <w:spacing w:val="-4"/>
          <w:szCs w:val="32"/>
        </w:rPr>
        <w:t>（12）负责全区农田建设管理、高标准农田建设和耕地质量管理。</w:t>
      </w:r>
    </w:p>
    <w:p>
      <w:pPr>
        <w:spacing w:line="560" w:lineRule="exact"/>
        <w:ind w:firstLine="624" w:firstLineChars="200"/>
        <w:rPr>
          <w:rFonts w:ascii="仿宋_GB2312" w:hAnsi="仿宋"/>
          <w:spacing w:val="-4"/>
          <w:szCs w:val="32"/>
        </w:rPr>
      </w:pPr>
      <w:r>
        <w:rPr>
          <w:rFonts w:hint="eastAsia" w:ascii="仿宋_GB2312" w:hAnsi="仿宋"/>
          <w:spacing w:val="-4"/>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624" w:firstLineChars="200"/>
        <w:rPr>
          <w:rFonts w:ascii="仿宋_GB2312" w:hAnsi="仿宋"/>
          <w:spacing w:val="-4"/>
          <w:szCs w:val="32"/>
        </w:rPr>
      </w:pPr>
      <w:r>
        <w:rPr>
          <w:rFonts w:hint="eastAsia" w:ascii="仿宋_GB2312" w:hAnsi="仿宋"/>
          <w:spacing w:val="-4"/>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firstLine="624" w:firstLineChars="200"/>
        <w:rPr>
          <w:rFonts w:ascii="仿宋_GB2312" w:hAnsi="仿宋"/>
          <w:spacing w:val="-4"/>
          <w:szCs w:val="32"/>
        </w:rPr>
      </w:pPr>
      <w:r>
        <w:rPr>
          <w:rFonts w:hint="eastAsia" w:ascii="仿宋_GB2312" w:hAnsi="仿宋"/>
          <w:spacing w:val="-4"/>
          <w:szCs w:val="32"/>
        </w:rPr>
        <w:t>（15）牵头开展全区农业对外合作工作。组织开展农业贸易促进和交流合作。</w:t>
      </w:r>
    </w:p>
    <w:p>
      <w:pPr>
        <w:spacing w:line="560" w:lineRule="exact"/>
        <w:ind w:firstLine="624" w:firstLineChars="200"/>
        <w:rPr>
          <w:rFonts w:ascii="仿宋_GB2312" w:hAnsi="仿宋"/>
          <w:spacing w:val="-4"/>
          <w:szCs w:val="32"/>
        </w:rPr>
      </w:pPr>
      <w:r>
        <w:rPr>
          <w:rFonts w:hint="eastAsia" w:ascii="仿宋_GB2312" w:hAnsi="仿宋"/>
          <w:spacing w:val="-4"/>
          <w:szCs w:val="32"/>
        </w:rPr>
        <w:t>（16）负责全区农业领域行政执法工作。负责区本级涉农违法案件的办理。推进农业依法行政。</w:t>
      </w:r>
    </w:p>
    <w:p>
      <w:pPr>
        <w:spacing w:line="560" w:lineRule="exact"/>
        <w:ind w:firstLine="624" w:firstLineChars="200"/>
        <w:rPr>
          <w:rFonts w:ascii="仿宋_GB2312" w:hAnsi="仿宋"/>
          <w:spacing w:val="-4"/>
          <w:szCs w:val="32"/>
        </w:rPr>
      </w:pPr>
      <w:r>
        <w:rPr>
          <w:rFonts w:hint="eastAsia" w:ascii="仿宋_GB2312" w:hAnsi="仿宋"/>
          <w:spacing w:val="-4"/>
          <w:szCs w:val="32"/>
        </w:rPr>
        <w:t>（17）依法依规负责农业安全生产和职业健康监督管理工作。</w:t>
      </w:r>
    </w:p>
    <w:p>
      <w:pPr>
        <w:spacing w:line="560" w:lineRule="exact"/>
        <w:ind w:firstLine="624" w:firstLineChars="200"/>
        <w:rPr>
          <w:rFonts w:ascii="仿宋_GB2312" w:hAnsi="仿宋"/>
          <w:spacing w:val="-4"/>
          <w:szCs w:val="32"/>
        </w:rPr>
      </w:pPr>
      <w:r>
        <w:rPr>
          <w:rFonts w:hint="eastAsia" w:ascii="仿宋_GB2312" w:hAnsi="仿宋"/>
          <w:spacing w:val="-4"/>
          <w:szCs w:val="32"/>
        </w:rPr>
        <w:t>（18）组织拟订并监督实施公路、水路等行业发展战略、政策，会同有关部门组织编制综合运输体系规划。</w:t>
      </w:r>
    </w:p>
    <w:p>
      <w:pPr>
        <w:spacing w:line="560" w:lineRule="exact"/>
        <w:ind w:firstLine="624" w:firstLineChars="200"/>
        <w:rPr>
          <w:rFonts w:ascii="仿宋_GB2312" w:hAnsi="仿宋"/>
          <w:spacing w:val="-4"/>
          <w:szCs w:val="32"/>
        </w:rPr>
      </w:pPr>
      <w:r>
        <w:rPr>
          <w:rFonts w:hint="eastAsia" w:ascii="仿宋_GB2312" w:hAnsi="仿宋"/>
          <w:spacing w:val="-4"/>
          <w:szCs w:val="32"/>
        </w:rPr>
        <w:t>（19）负责本系统、本部门依法行政工作；指导公路、水路行业有关体制改革和机制转换工作；参与拟订物流业发展战略和规划。</w:t>
      </w:r>
    </w:p>
    <w:p>
      <w:pPr>
        <w:spacing w:line="560" w:lineRule="exact"/>
        <w:ind w:firstLine="624" w:firstLineChars="200"/>
        <w:rPr>
          <w:rFonts w:ascii="仿宋_GB2312" w:hAnsi="仿宋"/>
          <w:spacing w:val="-4"/>
          <w:szCs w:val="32"/>
        </w:rPr>
      </w:pPr>
      <w:r>
        <w:rPr>
          <w:rFonts w:hint="eastAsia" w:ascii="仿宋_GB2312" w:hAnsi="仿宋"/>
          <w:spacing w:val="-4"/>
          <w:szCs w:val="32"/>
        </w:rPr>
        <w:t>（20）指导城乡客运管理工作，指导出租车行业管理工作；会同有关部门制定运输价格。</w:t>
      </w:r>
    </w:p>
    <w:p>
      <w:pPr>
        <w:spacing w:line="560" w:lineRule="exact"/>
        <w:ind w:firstLine="624" w:firstLineChars="200"/>
        <w:rPr>
          <w:rFonts w:ascii="仿宋_GB2312" w:hAnsi="仿宋"/>
          <w:spacing w:val="-4"/>
          <w:szCs w:val="32"/>
        </w:rPr>
      </w:pPr>
      <w:r>
        <w:rPr>
          <w:rFonts w:hint="eastAsia" w:ascii="仿宋_GB2312" w:hAnsi="仿宋"/>
          <w:spacing w:val="-4"/>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ind w:firstLine="624" w:firstLineChars="200"/>
        <w:rPr>
          <w:rFonts w:ascii="仿宋_GB2312" w:hAnsi="仿宋"/>
          <w:spacing w:val="-4"/>
          <w:szCs w:val="32"/>
        </w:rPr>
      </w:pPr>
      <w:r>
        <w:rPr>
          <w:rFonts w:hint="eastAsia" w:ascii="仿宋_GB2312" w:hAnsi="仿宋"/>
          <w:spacing w:val="-4"/>
          <w:szCs w:val="32"/>
        </w:rPr>
        <w:t>（22）负责提出公路、水路固定资产投资规模、方向和区财政资金安排建议，按照程序报批国家、省、市、区规划内和年度计划规模内固定资产投资项目。</w:t>
      </w:r>
    </w:p>
    <w:p>
      <w:pPr>
        <w:spacing w:line="560" w:lineRule="exact"/>
        <w:ind w:firstLine="624" w:firstLineChars="200"/>
        <w:rPr>
          <w:rFonts w:ascii="仿宋_GB2312" w:hAnsi="仿宋"/>
          <w:spacing w:val="-4"/>
          <w:szCs w:val="32"/>
        </w:rPr>
      </w:pPr>
      <w:r>
        <w:rPr>
          <w:rFonts w:hint="eastAsia" w:ascii="仿宋_GB2312" w:hAnsi="仿宋"/>
          <w:spacing w:val="-4"/>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ind w:firstLine="624" w:firstLineChars="200"/>
        <w:rPr>
          <w:rFonts w:ascii="仿宋_GB2312" w:hAnsi="仿宋"/>
          <w:spacing w:val="-4"/>
          <w:szCs w:val="32"/>
        </w:rPr>
      </w:pPr>
      <w:r>
        <w:rPr>
          <w:rFonts w:hint="eastAsia" w:ascii="仿宋_GB2312" w:hAnsi="仿宋"/>
          <w:spacing w:val="-4"/>
          <w:szCs w:val="32"/>
        </w:rPr>
        <w:t>（24）指导农村公路养管理、交通工程建设、农村客运、水上交通灯方面安全生产和应急管理工作。负责全区干线路网运行监测和协调；组织协调地方交通战备工作，承担国防动员有关工作。</w:t>
      </w:r>
    </w:p>
    <w:p>
      <w:pPr>
        <w:spacing w:line="560" w:lineRule="exact"/>
        <w:ind w:firstLine="624" w:firstLineChars="200"/>
        <w:rPr>
          <w:rFonts w:ascii="仿宋_GB2312" w:hAnsi="仿宋"/>
          <w:spacing w:val="-4"/>
          <w:szCs w:val="32"/>
        </w:rPr>
      </w:pPr>
      <w:r>
        <w:rPr>
          <w:rFonts w:hint="eastAsia" w:ascii="仿宋_GB2312" w:hAnsi="仿宋"/>
          <w:spacing w:val="-4"/>
          <w:szCs w:val="32"/>
        </w:rPr>
        <w:t>（25）承担交通运输科技项目开发和研究的组织实施工作，负责交通运输科研成果的推广、应用工作。指导全区交通运输信息化建设，监测分析运行情况，开展相关统计工作，发布有关信息。</w:t>
      </w:r>
    </w:p>
    <w:p>
      <w:pPr>
        <w:spacing w:line="560" w:lineRule="exact"/>
        <w:ind w:firstLine="624" w:firstLineChars="200"/>
        <w:rPr>
          <w:rFonts w:ascii="仿宋_GB2312" w:hAnsi="仿宋"/>
          <w:spacing w:val="-4"/>
          <w:szCs w:val="32"/>
        </w:rPr>
      </w:pPr>
      <w:r>
        <w:rPr>
          <w:rFonts w:hint="eastAsia" w:ascii="仿宋_GB2312" w:hAnsi="仿宋"/>
          <w:spacing w:val="-4"/>
          <w:szCs w:val="32"/>
        </w:rPr>
        <w:t>（26）负责职责范围内的安全生产、职业健康、生态环境保护、审批服务便民化等工作。</w:t>
      </w:r>
    </w:p>
    <w:p>
      <w:pPr>
        <w:spacing w:line="560" w:lineRule="exact"/>
        <w:ind w:firstLine="624" w:firstLineChars="200"/>
        <w:rPr>
          <w:color w:val="000000"/>
          <w:kern w:val="0"/>
          <w:szCs w:val="32"/>
          <w:shd w:val="clear" w:color="auto" w:fill="FFFFFF"/>
          <w:lang w:val="zh-CN"/>
        </w:rPr>
      </w:pPr>
      <w:r>
        <w:rPr>
          <w:rFonts w:hint="eastAsia" w:ascii="仿宋_GB2312" w:hAnsi="仿宋"/>
          <w:spacing w:val="-4"/>
          <w:szCs w:val="32"/>
        </w:rPr>
        <w:t>（27）完成区委、区政府交办的其他任务。</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年，西区农业农村和交通局下设办公室、农村改革和畜牧渔政股、农业综合股、交通综合股、农业综合执法大队等五个内设科室和西区动物疫病控制中心、西区公路养护管理中心等2个二级单位,截至202</w:t>
      </w:r>
      <w:r>
        <w:rPr>
          <w:rFonts w:hint="eastAsia" w:ascii="仿宋_GB2312" w:hAnsi="仿宋"/>
          <w:szCs w:val="32"/>
          <w:lang w:val="en-US" w:eastAsia="zh-CN"/>
        </w:rPr>
        <w:t>3</w:t>
      </w:r>
      <w:r>
        <w:rPr>
          <w:rFonts w:hint="eastAsia" w:ascii="仿宋_GB2312" w:hAnsi="仿宋"/>
          <w:szCs w:val="32"/>
        </w:rPr>
        <w:t>年底,共有正式人员30名,其中公务员5名,参公人员6名,机关工勤5名,参公工勤 1名,事业人员13名,临聘人员1</w:t>
      </w:r>
      <w:r>
        <w:rPr>
          <w:rFonts w:hint="eastAsia" w:ascii="仿宋_GB2312" w:hAnsi="仿宋"/>
          <w:szCs w:val="32"/>
          <w:lang w:val="en-US" w:eastAsia="zh-CN"/>
        </w:rPr>
        <w:t>7</w:t>
      </w:r>
      <w:r>
        <w:rPr>
          <w:rFonts w:hint="eastAsia" w:ascii="仿宋_GB2312" w:hAnsi="仿宋"/>
          <w:szCs w:val="32"/>
        </w:rPr>
        <w:t>名,退休人员</w:t>
      </w:r>
      <w:r>
        <w:rPr>
          <w:rFonts w:hint="eastAsia" w:ascii="仿宋_GB2312" w:hAnsi="仿宋"/>
          <w:szCs w:val="32"/>
          <w:lang w:val="en-US" w:eastAsia="zh-CN"/>
        </w:rPr>
        <w:t>8</w:t>
      </w:r>
      <w:r>
        <w:rPr>
          <w:rFonts w:hint="eastAsia" w:ascii="仿宋_GB2312" w:hAnsi="仿宋"/>
          <w:szCs w:val="32"/>
        </w:rPr>
        <w:t>名。</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年，西区农业农村和交通运输局财政资金收入</w:t>
      </w:r>
      <w:r>
        <w:rPr>
          <w:rFonts w:hint="eastAsia"/>
          <w:color w:val="000000"/>
          <w:kern w:val="0"/>
          <w:szCs w:val="32"/>
          <w:shd w:val="clear" w:color="auto" w:fill="FFFFFF"/>
          <w:lang w:val="en-US" w:eastAsia="zh-CN"/>
        </w:rPr>
        <w:t>2134.48</w:t>
      </w:r>
      <w:r>
        <w:rPr>
          <w:rFonts w:hint="eastAsia"/>
          <w:color w:val="000000"/>
          <w:kern w:val="0"/>
          <w:szCs w:val="32"/>
          <w:shd w:val="clear" w:color="auto" w:fill="FFFFFF"/>
          <w:lang w:val="zh-CN"/>
        </w:rPr>
        <w:t>万元。</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年，西区农业农村和交通运输局财政资金支出1</w:t>
      </w:r>
      <w:r>
        <w:rPr>
          <w:rFonts w:hint="eastAsia"/>
          <w:color w:val="000000"/>
          <w:kern w:val="0"/>
          <w:szCs w:val="32"/>
          <w:shd w:val="clear" w:color="auto" w:fill="FFFFFF"/>
          <w:lang w:val="en-US" w:eastAsia="zh-CN"/>
        </w:rPr>
        <w:t>660.13</w:t>
      </w:r>
      <w:r>
        <w:rPr>
          <w:rFonts w:hint="eastAsia"/>
          <w:color w:val="000000"/>
          <w:kern w:val="0"/>
          <w:szCs w:val="32"/>
          <w:shd w:val="clear" w:color="auto" w:fill="FFFFFF"/>
          <w:lang w:val="zh-CN"/>
        </w:rPr>
        <w:t>万元。</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bookmarkStart w:id="0" w:name="_GoBack"/>
      <w:bookmarkEnd w:id="0"/>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西区农业农村和交通运输局所属各股室（单位）根据第二年工作开展情况，结合西区和单位实际，制定项目绩效目标，细化指标，</w:t>
      </w:r>
      <w:r>
        <w:rPr>
          <w:rFonts w:hint="eastAsia"/>
          <w:kern w:val="0"/>
          <w:szCs w:val="32"/>
          <w:shd w:val="clear" w:color="auto" w:fill="FFFFFF"/>
          <w:lang w:val="zh-CN"/>
        </w:rPr>
        <w:t>列入局党</w:t>
      </w:r>
      <w:r>
        <w:rPr>
          <w:rFonts w:hint="eastAsia"/>
          <w:kern w:val="0"/>
          <w:szCs w:val="32"/>
          <w:shd w:val="clear" w:color="auto" w:fill="FFFFFF"/>
          <w:lang w:val="en-US" w:eastAsia="zh-CN"/>
        </w:rPr>
        <w:t>组</w:t>
      </w:r>
      <w:r>
        <w:rPr>
          <w:rFonts w:hint="eastAsia"/>
          <w:kern w:val="0"/>
          <w:szCs w:val="32"/>
          <w:shd w:val="clear" w:color="auto" w:fill="FFFFFF"/>
          <w:lang w:val="zh-CN"/>
        </w:rPr>
        <w:t>会议讨论并</w:t>
      </w:r>
      <w:r>
        <w:rPr>
          <w:rFonts w:hint="eastAsia"/>
          <w:color w:val="000000"/>
          <w:kern w:val="0"/>
          <w:szCs w:val="32"/>
          <w:shd w:val="clear" w:color="auto" w:fill="FFFFFF"/>
          <w:lang w:val="zh-CN"/>
        </w:rPr>
        <w:t>审议；绩效目标分为人员类、运转类和特定目标类三类分类制定目标，根据目标分类跟踪考核。项目预算编制，实事求是，确保预算的准确性、及时性；专项预算项目按照程序严密、规划合理的原则实施、管理结果符合审计要求、及时支付，</w:t>
      </w:r>
      <w:r>
        <w:rPr>
          <w:rFonts w:hint="eastAsia"/>
          <w:color w:val="000000"/>
          <w:kern w:val="0"/>
          <w:szCs w:val="32"/>
          <w:shd w:val="clear" w:color="auto" w:fill="FFFFFF"/>
          <w:lang w:val="en-US" w:eastAsia="zh-CN"/>
        </w:rPr>
        <w:t>各项管理无</w:t>
      </w:r>
      <w:r>
        <w:rPr>
          <w:rFonts w:hint="eastAsia"/>
          <w:color w:val="000000"/>
          <w:kern w:val="0"/>
          <w:szCs w:val="32"/>
          <w:shd w:val="clear" w:color="auto" w:fill="FFFFFF"/>
          <w:lang w:val="zh-CN"/>
        </w:rPr>
        <w:t>违规记录等情况</w:t>
      </w:r>
      <w:r>
        <w:rPr>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严格对照项目支出绩效评价发现的问题，查找漏洞，将评价结果用于制定政策、完善内控管理制度，改进项目</w:t>
      </w:r>
      <w:r>
        <w:rPr>
          <w:rFonts w:hint="eastAsia"/>
          <w:color w:val="000000"/>
          <w:kern w:val="0"/>
          <w:szCs w:val="32"/>
          <w:shd w:val="clear" w:color="auto" w:fill="FFFFFF"/>
          <w:lang w:val="en-US" w:eastAsia="zh-CN"/>
        </w:rPr>
        <w:t>绩效</w:t>
      </w:r>
      <w:r>
        <w:rPr>
          <w:rFonts w:hint="eastAsia"/>
          <w:color w:val="000000"/>
          <w:kern w:val="0"/>
          <w:szCs w:val="32"/>
          <w:shd w:val="clear" w:color="auto" w:fill="FFFFFF"/>
          <w:lang w:val="zh-CN"/>
        </w:rPr>
        <w:t>管理</w:t>
      </w:r>
      <w:r>
        <w:rPr>
          <w:rFonts w:hint="eastAsia"/>
          <w:color w:val="000000"/>
          <w:kern w:val="0"/>
          <w:szCs w:val="32"/>
          <w:shd w:val="clear" w:color="auto" w:fill="FFFFFF"/>
          <w:lang w:val="en-US" w:eastAsia="zh-CN"/>
        </w:rPr>
        <w:t>和</w:t>
      </w:r>
      <w:r>
        <w:rPr>
          <w:rFonts w:hint="eastAsia"/>
          <w:color w:val="000000"/>
          <w:kern w:val="0"/>
          <w:szCs w:val="32"/>
          <w:shd w:val="clear" w:color="auto" w:fill="FFFFFF"/>
          <w:lang w:val="zh-CN"/>
        </w:rPr>
        <w:t>资金使用管理等方面，</w:t>
      </w:r>
      <w:r>
        <w:rPr>
          <w:rFonts w:hint="eastAsia"/>
          <w:color w:val="000000"/>
          <w:kern w:val="0"/>
          <w:szCs w:val="32"/>
          <w:shd w:val="clear" w:color="auto" w:fill="FFFFFF"/>
          <w:lang w:val="en-US" w:eastAsia="zh-CN"/>
        </w:rPr>
        <w:t>最大化发挥项目资金用途</w:t>
      </w:r>
      <w:r>
        <w:rPr>
          <w:color w:val="000000"/>
          <w:kern w:val="0"/>
          <w:szCs w:val="32"/>
          <w:shd w:val="clear" w:color="auto" w:fill="FFFFFF"/>
          <w:lang w:val="zh-CN"/>
        </w:rPr>
        <w:t>。</w:t>
      </w:r>
    </w:p>
    <w:p>
      <w:pPr>
        <w:widowControl/>
        <w:numPr>
          <w:ilvl w:val="0"/>
          <w:numId w:val="2"/>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tabs>
          <w:tab w:val="left" w:pos="4246"/>
        </w:tabs>
        <w:snapToGrid w:val="0"/>
        <w:spacing w:line="353" w:lineRule="auto"/>
        <w:ind w:firstLine="640" w:firstLineChars="200"/>
        <w:rPr>
          <w:szCs w:val="32"/>
        </w:rPr>
      </w:pPr>
      <w:r>
        <w:rPr>
          <w:rFonts w:hint="eastAsia" w:ascii="仿宋_GB2312"/>
          <w:szCs w:val="32"/>
        </w:rPr>
        <w:t>202</w:t>
      </w:r>
      <w:r>
        <w:rPr>
          <w:rFonts w:hint="eastAsia" w:ascii="仿宋_GB2312"/>
          <w:szCs w:val="32"/>
          <w:lang w:val="en-US" w:eastAsia="zh-CN"/>
        </w:rPr>
        <w:t>3</w:t>
      </w:r>
      <w:r>
        <w:rPr>
          <w:rFonts w:hint="eastAsia" w:ascii="仿宋_GB2312"/>
          <w:szCs w:val="32"/>
        </w:rPr>
        <w:t>年,在区委、区政府的正确领导下，西区农业农村和交通运输局克服人员少、任务重等诸多困难，按计划、按要求完成了各项目工作，较好地实现了202</w:t>
      </w:r>
      <w:r>
        <w:rPr>
          <w:rFonts w:hint="eastAsia" w:ascii="仿宋_GB2312"/>
          <w:szCs w:val="32"/>
          <w:lang w:val="en-US" w:eastAsia="zh-CN"/>
        </w:rPr>
        <w:t>3</w:t>
      </w:r>
      <w:r>
        <w:rPr>
          <w:rFonts w:hint="eastAsia" w:ascii="仿宋_GB2312"/>
          <w:szCs w:val="32"/>
        </w:rPr>
        <w:t>年目标绩效工作，完成情况良好。</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r>
        <w:rPr>
          <w:rFonts w:hint="eastAsia"/>
          <w:kern w:val="0"/>
          <w:szCs w:val="32"/>
          <w:shd w:val="clear" w:color="auto" w:fill="FFFFFF"/>
          <w:lang w:val="zh-CN"/>
        </w:rPr>
        <w:t>我单位支出绩效总体良好，各项目标基本达到了相应时期执行进度，使财政收支预算执行都得到了良好的制度保障和实施效果。</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部分</w:t>
      </w:r>
      <w:r>
        <w:rPr>
          <w:rFonts w:hint="eastAsia"/>
          <w:color w:val="000000"/>
          <w:kern w:val="0"/>
          <w:szCs w:val="32"/>
          <w:shd w:val="clear" w:color="auto" w:fill="FFFFFF"/>
          <w:lang w:val="en-US" w:eastAsia="zh-CN"/>
        </w:rPr>
        <w:t>上级</w:t>
      </w:r>
      <w:r>
        <w:rPr>
          <w:rFonts w:hint="eastAsia"/>
          <w:color w:val="000000"/>
          <w:kern w:val="0"/>
          <w:szCs w:val="32"/>
          <w:shd w:val="clear" w:color="auto" w:fill="FFFFFF"/>
          <w:lang w:val="zh-CN"/>
        </w:rPr>
        <w:t>资金</w:t>
      </w:r>
      <w:r>
        <w:rPr>
          <w:rFonts w:hint="eastAsia"/>
          <w:color w:val="000000"/>
          <w:kern w:val="0"/>
          <w:szCs w:val="32"/>
          <w:shd w:val="clear" w:color="auto" w:fill="FFFFFF"/>
          <w:lang w:val="en-US" w:eastAsia="zh-CN"/>
        </w:rPr>
        <w:t>到位时间较晚，不能及时</w:t>
      </w:r>
      <w:r>
        <w:rPr>
          <w:rFonts w:hint="eastAsia"/>
          <w:color w:val="000000"/>
          <w:kern w:val="0"/>
          <w:szCs w:val="32"/>
          <w:shd w:val="clear" w:color="auto" w:fill="FFFFFF"/>
          <w:lang w:val="zh-CN"/>
        </w:rPr>
        <w:t>支付，</w:t>
      </w:r>
      <w:r>
        <w:rPr>
          <w:rFonts w:hint="eastAsia"/>
          <w:color w:val="000000"/>
          <w:kern w:val="0"/>
          <w:szCs w:val="32"/>
          <w:shd w:val="clear" w:color="auto" w:fill="FFFFFF"/>
          <w:lang w:val="en-US" w:eastAsia="zh-CN"/>
        </w:rPr>
        <w:t>支</w:t>
      </w:r>
      <w:r>
        <w:rPr>
          <w:rFonts w:hint="eastAsia"/>
          <w:color w:val="000000"/>
          <w:kern w:val="0"/>
          <w:szCs w:val="32"/>
          <w:shd w:val="clear" w:color="auto" w:fill="FFFFFF"/>
          <w:lang w:val="zh-CN"/>
        </w:rPr>
        <w:t>付上有进度滞后情况。</w:t>
      </w:r>
    </w:p>
    <w:p>
      <w:pPr>
        <w:widowControl/>
        <w:adjustRightInd w:val="0"/>
        <w:snapToGrid w:val="0"/>
        <w:spacing w:line="580" w:lineRule="exact"/>
        <w:ind w:firstLine="640" w:firstLineChars="200"/>
        <w:contextualSpacing/>
        <w:jc w:val="left"/>
        <w:rPr>
          <w:color w:val="000000"/>
          <w:kern w:val="0"/>
          <w:szCs w:val="32"/>
          <w:shd w:val="clear" w:color="auto" w:fill="FFFFFF"/>
        </w:rPr>
      </w:pPr>
      <w:r>
        <w:rPr>
          <w:color w:val="000000"/>
          <w:kern w:val="0"/>
          <w:szCs w:val="32"/>
          <w:shd w:val="clear" w:color="auto" w:fill="FFFFFF"/>
          <w:lang w:val="zh-CN"/>
        </w:rPr>
        <w:t>（三）改进建议。</w:t>
      </w:r>
      <w:r>
        <w:rPr>
          <w:rFonts w:hint="eastAsia"/>
          <w:color w:val="000000"/>
          <w:kern w:val="0"/>
          <w:szCs w:val="32"/>
          <w:shd w:val="clear" w:color="auto" w:fill="FFFFFF"/>
        </w:rPr>
        <w:t>我们将</w:t>
      </w:r>
      <w:r>
        <w:rPr>
          <w:rFonts w:hint="eastAsia"/>
          <w:color w:val="000000"/>
          <w:kern w:val="0"/>
          <w:szCs w:val="32"/>
          <w:shd w:val="clear" w:color="auto" w:fill="FFFFFF"/>
          <w:lang w:val="en-US" w:eastAsia="zh-CN"/>
        </w:rPr>
        <w:t>加强与上级部门与本级财政部门沟通</w:t>
      </w:r>
      <w:r>
        <w:rPr>
          <w:rFonts w:hint="eastAsia"/>
          <w:color w:val="000000"/>
          <w:kern w:val="0"/>
          <w:szCs w:val="32"/>
          <w:shd w:val="clear" w:color="auto" w:fill="FFFFFF"/>
        </w:rPr>
        <w:t>，</w:t>
      </w:r>
      <w:r>
        <w:rPr>
          <w:rFonts w:hint="eastAsia"/>
          <w:color w:val="000000"/>
          <w:kern w:val="0"/>
          <w:szCs w:val="32"/>
          <w:shd w:val="clear" w:color="auto" w:fill="FFFFFF"/>
          <w:lang w:val="en-US" w:eastAsia="zh-CN"/>
        </w:rPr>
        <w:t>加强</w:t>
      </w:r>
      <w:r>
        <w:rPr>
          <w:rFonts w:hint="eastAsia"/>
          <w:color w:val="000000"/>
          <w:kern w:val="0"/>
          <w:szCs w:val="32"/>
          <w:shd w:val="clear" w:color="auto" w:fill="FFFFFF"/>
        </w:rPr>
        <w:t>绩效管理，增强可执行性</w:t>
      </w:r>
      <w:r>
        <w:rPr>
          <w:rFonts w:hint="eastAsia"/>
          <w:color w:val="000000"/>
          <w:kern w:val="0"/>
          <w:szCs w:val="32"/>
          <w:shd w:val="clear" w:color="auto" w:fill="FFFFFF"/>
          <w:lang w:eastAsia="zh-CN"/>
        </w:rPr>
        <w:t>，</w:t>
      </w:r>
      <w:r>
        <w:rPr>
          <w:rFonts w:hint="eastAsia"/>
          <w:color w:val="000000"/>
          <w:kern w:val="0"/>
          <w:szCs w:val="32"/>
          <w:shd w:val="clear" w:color="auto" w:fill="FFFFFF"/>
        </w:rPr>
        <w:t>努力提高资金使用效率。</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47FB2"/>
    <w:multiLevelType w:val="singleLevel"/>
    <w:tmpl w:val="B4C47FB2"/>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A3D6143"/>
    <w:rsid w:val="1A772190"/>
    <w:rsid w:val="1C013801"/>
    <w:rsid w:val="2D527252"/>
    <w:rsid w:val="2EAE55F2"/>
    <w:rsid w:val="2EDF4302"/>
    <w:rsid w:val="47550EBA"/>
    <w:rsid w:val="55285AFC"/>
    <w:rsid w:val="6636451A"/>
    <w:rsid w:val="6EF65E9C"/>
    <w:rsid w:val="71397E03"/>
    <w:rsid w:val="77FFA8F9"/>
    <w:rsid w:val="7A9314AC"/>
    <w:rsid w:val="7C631402"/>
    <w:rsid w:val="7CA91988"/>
    <w:rsid w:val="7E140770"/>
    <w:rsid w:val="7EDC3353"/>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Char"/>
    <w:basedOn w:val="8"/>
    <w:link w:val="2"/>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Char"/>
    <w:basedOn w:val="8"/>
    <w:link w:val="4"/>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11</TotalTime>
  <ScaleCrop>false</ScaleCrop>
  <LinksUpToDate>false</LinksUpToDate>
  <CharactersWithSpaces>334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2022-03-26T08:26:00Z</cp:lastPrinted>
  <dcterms:modified xsi:type="dcterms:W3CDTF">2024-06-03T07:44:35Z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E8F54ACA553346ECBFB96484E1237684_12</vt:lpwstr>
  </property>
</Properties>
</file>