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苏铁自然保护区及周边矿山迹地恢复与治理项目支出绩效自评报告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jc w:val="both"/>
        <w:textAlignment w:val="auto"/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2018年，根据《攀枝花市财政局 攀枝花市林业局关于下达2019年重点生态功能区转移支付资金的通知》（攀财资农〔2018〕103号），下达西区市级重点生态功能区转移支付资金1040万元，2019年区林业局编制了《攀枝花苏铁国家级自然保护区周边生态修复项目实施方案》上报市林业局，申请将该项资金用于苏保区周边生态修复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，同时</w:t>
      </w:r>
      <w:r>
        <w:rPr>
          <w:rFonts w:hint="eastAsia"/>
          <w:color w:val="auto"/>
          <w:lang w:val="en-US" w:eastAsia="zh-CN"/>
        </w:rPr>
        <w:t>负责和组织对项目的监督和管理工作。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lang w:val="zh-CN"/>
        </w:rPr>
        <w:t>2.</w:t>
      </w:r>
      <w:r>
        <w:rPr>
          <w:rFonts w:hint="eastAsia"/>
          <w:color w:val="auto"/>
          <w:lang w:val="en-US" w:eastAsia="zh-CN"/>
        </w:rPr>
        <w:t>根据上级主管部门下达任务进行项目预算和执行。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color w:val="auto"/>
          <w:lang w:val="en-US" w:eastAsia="zh-CN"/>
        </w:rPr>
        <w:t>严格项目资金管理，结合项目特点不断完善资金监管措施，完善相关资金管理办法，保障项目资金的安全运行、合规使用、合理使用，促进项目资金使用效益的充分发挥。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1.主要内容：</w:t>
      </w:r>
      <w:r>
        <w:rPr>
          <w:rFonts w:hint="eastAsia" w:eastAsia="仿宋_GB2312"/>
          <w:sz w:val="32"/>
          <w:szCs w:val="32"/>
          <w:lang w:eastAsia="zh-CN"/>
        </w:rPr>
        <w:t>总投资</w:t>
      </w:r>
      <w:r>
        <w:rPr>
          <w:rFonts w:hint="eastAsia" w:eastAsia="仿宋_GB2312"/>
          <w:sz w:val="32"/>
          <w:szCs w:val="32"/>
          <w:lang w:val="en-US" w:eastAsia="zh-CN"/>
        </w:rPr>
        <w:t>1040万元，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对苏保区周边生态恶劣区域进行清理、堡坎、覆土、挖穴、施肥、栽植、水池、管网、浇水、管护等措施，栽植凤凰树、宫粉紫荆、小叶榕、三角梅、仙人掌、清香木等苗木20000余株，实现生态修复面积150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lang w:val="zh-CN"/>
        </w:rPr>
        <w:t xml:space="preserve">2. </w:t>
      </w:r>
      <w:r>
        <w:rPr>
          <w:rFonts w:hint="eastAsia"/>
          <w:color w:val="auto"/>
          <w:lang w:val="en-US" w:eastAsia="zh-CN"/>
        </w:rPr>
        <w:t>项目设立依据充分，进度安排合理，具有良好的社会效益，可持续影响明显，工作开展成效明显。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黑体" w:hAnsi="宋体" w:eastAsia="黑体"/>
        </w:rPr>
      </w:pPr>
      <w:r>
        <w:rPr>
          <w:rFonts w:hint="eastAsia"/>
          <w:color w:val="auto"/>
          <w:lang w:val="zh-CN"/>
        </w:rPr>
        <w:t>该项目</w:t>
      </w:r>
      <w:r>
        <w:rPr>
          <w:color w:val="auto"/>
          <w:lang w:val="zh-CN"/>
        </w:rPr>
        <w:t>申报内容与实际相符，申报目标合理可行。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 w:val="0"/>
          <w:lang w:val="zh-CN"/>
        </w:rPr>
      </w:pPr>
      <w:r>
        <w:rPr>
          <w:rFonts w:hint="eastAsia" w:ascii="仿宋_GB2312" w:hAnsi="宋体"/>
          <w:b w:val="0"/>
          <w:bCs w:val="0"/>
          <w:lang w:val="zh-CN"/>
        </w:rPr>
        <w:tab/>
      </w:r>
      <w:r>
        <w:rPr>
          <w:rFonts w:hint="eastAsia" w:ascii="楷体_GB2312" w:hAnsi="宋体" w:eastAsia="楷体_GB2312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3" w:firstLineChars="200"/>
        <w:jc w:val="left"/>
        <w:textAlignment w:val="auto"/>
        <w:rPr>
          <w:rFonts w:hint="eastAsia" w:ascii="仿宋_GB2312"/>
          <w:spacing w:val="-4"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bCs/>
          <w:lang w:val="zh-CN"/>
        </w:rPr>
        <w:t>1</w:t>
      </w:r>
      <w:r>
        <w:rPr>
          <w:rFonts w:hint="eastAsia" w:ascii="楷体_GB2312" w:hAnsi="宋体" w:eastAsia="楷体_GB2312"/>
          <w:b/>
          <w:bCs/>
          <w:lang w:val="en-US" w:eastAsia="zh-CN"/>
        </w:rPr>
        <w:t>.</w:t>
      </w:r>
      <w:r>
        <w:rPr>
          <w:rFonts w:hint="eastAsia" w:ascii="楷体_GB2312" w:hAnsi="宋体" w:eastAsia="楷体_GB2312"/>
          <w:b/>
          <w:bCs/>
          <w:lang w:val="zh-CN"/>
        </w:rPr>
        <w:t>资金计划及到位。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2018年，根据《攀枝花市财政局 攀枝花市林业局关于下达2019年重点生态功能区转移支付资金的通知》（攀财资农〔2018〕103号），下达西区市级重点生态功能区转移支付资金1040万元，2019年区林业局编制了《攀枝花苏铁国家级自然保护区周边生态修复项目实施方案》上报市林业局，申请将该项资金用于苏保区周边生态修复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，项目地址大水井村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。2023年该项目追加资金222万元，实际到位资金222万元，支付222万元。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/>
          <w:spacing w:val="-4"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bCs/>
          <w:lang w:val="en-US" w:eastAsia="zh-CN"/>
        </w:rPr>
        <w:t>2.</w:t>
      </w:r>
      <w:r>
        <w:rPr>
          <w:rFonts w:hint="eastAsia" w:ascii="楷体_GB2312" w:hAnsi="宋体" w:eastAsia="楷体_GB2312"/>
          <w:b/>
          <w:bCs/>
          <w:lang w:val="zh-CN"/>
        </w:rPr>
        <w:t>资金使用。</w:t>
      </w:r>
      <w:r>
        <w:rPr>
          <w:rFonts w:hint="eastAsia" w:ascii="楷体_GB2312" w:hAnsi="宋体" w:eastAsia="楷体_GB2312"/>
          <w:b w:val="0"/>
          <w:bCs w:val="0"/>
          <w:lang w:val="en-US" w:eastAsia="zh-CN"/>
        </w:rPr>
        <w:t>项</w:t>
      </w:r>
      <w:r>
        <w:rPr>
          <w:rFonts w:hint="eastAsia" w:ascii="仿宋_GB2312" w:hAnsi="宋体" w:cs="Times New Roman"/>
          <w:lang w:val="zh-CN"/>
        </w:rPr>
        <w:t>目</w:t>
      </w:r>
      <w:r>
        <w:rPr>
          <w:rFonts w:hint="eastAsia" w:ascii="仿宋_GB2312" w:hAnsi="宋体"/>
          <w:lang w:val="zh-CN"/>
        </w:rPr>
        <w:t>经费支出严格执行各项制度和要求，严格执行财务管理制度，规范项目资金的使用，确保资金的支出使用合法合规，节约资金使用，避免经费的浪费和过度支出，发挥资金使用效益。按照施工单位报送的项目进度情况，截至</w:t>
      </w:r>
      <w:r>
        <w:rPr>
          <w:rFonts w:hint="eastAsia" w:ascii="仿宋_GB2312" w:hAnsi="宋体"/>
          <w:lang w:val="en-US" w:eastAsia="zh-CN"/>
        </w:rPr>
        <w:t>2023年12月底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/>
          <w:spacing w:val="-4"/>
          <w:sz w:val="32"/>
          <w:szCs w:val="32"/>
          <w:lang w:val="zh-CN" w:eastAsia="zh-CN"/>
        </w:rPr>
        <w:t>累计支付项目资金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608.6</w:t>
      </w:r>
      <w:r>
        <w:rPr>
          <w:rFonts w:hint="eastAsia" w:ascii="仿宋_GB2312"/>
          <w:spacing w:val="-4"/>
          <w:sz w:val="32"/>
          <w:szCs w:val="32"/>
          <w:lang w:val="zh-CN" w:eastAsia="zh-CN"/>
        </w:rPr>
        <w:t>万元，其中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2023年支付222万元</w:t>
      </w:r>
      <w:r>
        <w:rPr>
          <w:rFonts w:hint="eastAsia" w:ascii="仿宋_GB2312"/>
          <w:spacing w:val="-4"/>
          <w:sz w:val="32"/>
          <w:szCs w:val="32"/>
          <w:lang w:val="zh-CN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根据财政资金管理办法的有关规定，项目</w:t>
      </w:r>
      <w:r>
        <w:rPr>
          <w:lang w:val="zh-CN"/>
        </w:rPr>
        <w:t>项目实施单位财务管理制度是健全</w:t>
      </w:r>
      <w:r>
        <w:rPr>
          <w:rFonts w:hint="eastAsia"/>
          <w:lang w:val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资金严格执行财务制度和考核制度，实行报账制，层层审核。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项目由区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林业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局会同区财政局、格里坪镇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、攀枝花苏铁自然保护区中心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通过研究协商和实地调查，指标下达后由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区林业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局牵头组织实施，格里坪镇和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苏保区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协助项目实施，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该项目由市林业局审批实施，通过公开招投标确定施工单位，同时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区林业局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负责项目质量管理和检查验收，项目竣工验收后区财政局负责资金拨付。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_GB2312" w:hAnsi="宋体" w:eastAsia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项目总投资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通过对苏保区周边生态恶劣区域进行清理、堡坎、覆土、挖穴、施肥、栽植、水池、管网、浇水、管护等措施，栽植凤凰树、宫粉紫荆、小叶榕、三角梅、仙人掌、清香木等苗木20000余株，实现生态修复面积150亩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设计费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为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万元，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监理费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为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17.6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施工</w:t>
      </w:r>
      <w:r>
        <w:rPr>
          <w:rFonts w:hint="eastAsia" w:ascii="仿宋_GB2312" w:hAnsi="宋体"/>
          <w:sz w:val="32"/>
          <w:szCs w:val="32"/>
          <w:lang w:eastAsia="zh-CN"/>
        </w:rPr>
        <w:t>费用</w:t>
      </w:r>
      <w:r>
        <w:rPr>
          <w:rFonts w:hint="eastAsia" w:ascii="仿宋_GB2312" w:hAnsi="宋体"/>
          <w:sz w:val="32"/>
          <w:szCs w:val="32"/>
          <w:lang w:val="en-US" w:eastAsia="zh-CN"/>
        </w:rPr>
        <w:t>894</w:t>
      </w:r>
      <w:r>
        <w:rPr>
          <w:rFonts w:hint="eastAsia" w:ascii="仿宋_GB2312" w:hAnsi="宋体" w:eastAsia="仿宋_GB2312"/>
          <w:sz w:val="32"/>
          <w:szCs w:val="32"/>
        </w:rPr>
        <w:t>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2021年4月20日开工，2021年10月29日竣工，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并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通过</w:t>
      </w:r>
      <w:bookmarkStart w:id="3" w:name="_GoBack"/>
      <w:bookmarkEnd w:id="3"/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了初步竣工验收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进入管护期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。</w:t>
      </w:r>
      <w:r>
        <w:rPr>
          <w:rFonts w:hint="eastAsia" w:ascii="仿宋_GB2312" w:hAnsi="宋体"/>
          <w:color w:val="auto"/>
          <w:spacing w:val="-4"/>
          <w:sz w:val="32"/>
          <w:szCs w:val="32"/>
          <w:lang w:val="en-US" w:eastAsia="zh-CN"/>
        </w:rPr>
        <w:t>2024年1月11日通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过管护成效验收，进入竣工结算阶段。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7" w:firstLineChars="200"/>
        <w:textAlignment w:val="auto"/>
        <w:rPr>
          <w:rFonts w:ascii="仿宋_GB2312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/>
          <w:b/>
          <w:bCs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pacing w:val="-4"/>
          <w:sz w:val="32"/>
          <w:szCs w:val="32"/>
        </w:rPr>
        <w:t>生态效益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/>
          <w:spacing w:val="-4"/>
          <w:sz w:val="32"/>
          <w:szCs w:val="32"/>
          <w:lang w:eastAsia="zh-CN"/>
        </w:rPr>
        <w:t>项目的实施</w:t>
      </w:r>
      <w:r>
        <w:rPr>
          <w:rFonts w:hint="eastAsia" w:ascii="仿宋_GB2312" w:eastAsia="仿宋_GB2312"/>
          <w:spacing w:val="-4"/>
          <w:sz w:val="32"/>
          <w:szCs w:val="32"/>
        </w:rPr>
        <w:t>为西区的生态和旅游环境带来明显的改善，主要表现在吸收多种有毒气体、改良土壤、涵养水源、防止水土流失、阻滞粉尘、调节小气候、净化空气、改善生态环境等方面，有利于苏保区观光、科普、旅游开发和西区阳光康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/>
          <w:spacing w:val="-4"/>
          <w:sz w:val="32"/>
          <w:szCs w:val="32"/>
        </w:rPr>
        <w:t>养产业的发展。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before="240" w:after="0" w:line="540" w:lineRule="exact"/>
        <w:ind w:firstLine="627" w:firstLineChars="200"/>
        <w:textAlignment w:val="auto"/>
        <w:rPr>
          <w:rFonts w:ascii="仿宋_GB2312" w:hAnsi="Times New Roman" w:eastAsia="仿宋_GB2312"/>
          <w:b/>
          <w:bCs/>
          <w:spacing w:val="-4"/>
        </w:rPr>
      </w:pPr>
      <w:bookmarkStart w:id="0" w:name="_Toc413238474"/>
      <w:bookmarkStart w:id="1" w:name="_Toc338474218"/>
      <w:r>
        <w:rPr>
          <w:rFonts w:hint="eastAsia" w:ascii="仿宋_GB2312" w:hAnsi="Times New Roman"/>
          <w:b/>
          <w:bCs/>
          <w:spacing w:val="-4"/>
          <w:lang w:val="en-US" w:eastAsia="zh-CN"/>
        </w:rPr>
        <w:t>2.</w:t>
      </w:r>
      <w:r>
        <w:rPr>
          <w:rFonts w:hint="eastAsia" w:ascii="仿宋_GB2312" w:hAnsi="Times New Roman" w:eastAsia="仿宋_GB2312"/>
          <w:b/>
          <w:bCs/>
          <w:spacing w:val="-4"/>
        </w:rPr>
        <w:t>社会效益</w:t>
      </w:r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</w:rPr>
      </w:pPr>
      <w:bookmarkStart w:id="2" w:name="_Toc413238475"/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用于支付该项目进度款，巩固了项目建设成效，保障了社会稳定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before="240" w:after="0" w:line="540" w:lineRule="exact"/>
        <w:ind w:firstLine="627" w:firstLineChars="200"/>
        <w:textAlignment w:val="auto"/>
        <w:rPr>
          <w:rFonts w:ascii="仿宋_GB2312" w:hAnsi="Times New Roman" w:eastAsia="仿宋_GB2312"/>
          <w:b/>
          <w:bCs/>
          <w:spacing w:val="-4"/>
        </w:rPr>
      </w:pPr>
      <w:r>
        <w:rPr>
          <w:rFonts w:hint="eastAsia" w:ascii="仿宋_GB2312" w:hAnsi="Times New Roman"/>
          <w:b/>
          <w:bCs/>
          <w:spacing w:val="-4"/>
          <w:lang w:val="en-US" w:eastAsia="zh-CN"/>
        </w:rPr>
        <w:t>3.</w:t>
      </w:r>
      <w:r>
        <w:rPr>
          <w:rFonts w:hint="eastAsia" w:ascii="仿宋_GB2312" w:hAnsi="Times New Roman" w:eastAsia="仿宋_GB2312"/>
          <w:b/>
          <w:bCs/>
          <w:spacing w:val="-4"/>
        </w:rPr>
        <w:t>经济效益</w:t>
      </w:r>
      <w:bookmarkEnd w:id="1"/>
      <w:bookmarkEnd w:id="2"/>
      <w:r>
        <w:rPr>
          <w:rFonts w:hint="eastAsia" w:ascii="仿宋_GB2312" w:hAnsi="Times New Roman" w:eastAsia="仿宋_GB2312"/>
          <w:b/>
          <w:bCs/>
          <w:spacing w:val="-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rFonts w:hint="eastAsia" w:ascii="黑体" w:hAnsi="宋体" w:eastAsia="黑体"/>
        </w:rPr>
      </w:pPr>
      <w:r>
        <w:rPr>
          <w:rFonts w:hint="eastAsia" w:ascii="仿宋_GB2312"/>
          <w:spacing w:val="-4"/>
          <w:sz w:val="32"/>
          <w:szCs w:val="32"/>
          <w:lang w:eastAsia="zh-CN"/>
        </w:rPr>
        <w:t>项目的实施</w:t>
      </w:r>
      <w:r>
        <w:rPr>
          <w:rFonts w:hint="eastAsia" w:ascii="仿宋_GB2312" w:eastAsia="仿宋_GB2312"/>
          <w:spacing w:val="-4"/>
          <w:sz w:val="32"/>
          <w:szCs w:val="32"/>
        </w:rPr>
        <w:t>，对促进西区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实现产业转型和</w:t>
      </w:r>
      <w:r>
        <w:rPr>
          <w:rFonts w:hint="eastAsia" w:ascii="仿宋_GB2312" w:eastAsia="仿宋_GB2312"/>
          <w:spacing w:val="-4"/>
          <w:sz w:val="32"/>
          <w:szCs w:val="32"/>
        </w:rPr>
        <w:t>社会经济又好又快的发展、对攀枝花苏铁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阳光谷</w:t>
      </w:r>
      <w:r>
        <w:rPr>
          <w:rFonts w:hint="eastAsia" w:ascii="仿宋_GB2312" w:eastAsia="仿宋_GB2312"/>
          <w:spacing w:val="-4"/>
          <w:sz w:val="32"/>
          <w:szCs w:val="32"/>
        </w:rPr>
        <w:t>旅游开发、对西区康养森林旅游</w:t>
      </w:r>
      <w:r>
        <w:rPr>
          <w:rFonts w:hint="eastAsia" w:ascii="仿宋_GB2312"/>
          <w:spacing w:val="-4"/>
          <w:sz w:val="32"/>
          <w:szCs w:val="32"/>
          <w:lang w:eastAsia="zh-CN"/>
        </w:rPr>
        <w:t>具有</w:t>
      </w:r>
      <w:r>
        <w:rPr>
          <w:rFonts w:hint="eastAsia" w:ascii="仿宋_GB2312" w:eastAsia="仿宋_GB2312"/>
          <w:spacing w:val="-4"/>
          <w:sz w:val="32"/>
          <w:szCs w:val="32"/>
        </w:rPr>
        <w:t>长远的潜在效益。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960" w:firstLineChars="3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b w:val="0"/>
          <w:bCs/>
          <w:lang w:val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zh-CN" w:eastAsia="zh-CN"/>
        </w:rPr>
        <w:t>资金支付进度滞后。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720" w:left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二）</w:t>
      </w: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eastAsia="仿宋_GB2312"/>
          <w:spacing w:val="-4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zh-CN" w:eastAsia="zh-CN"/>
        </w:rPr>
        <w:t>积极与区财政协调，加快项目资金支付进度。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eastAsia="仿宋_GB2312"/>
          <w:spacing w:val="-4"/>
          <w:sz w:val="32"/>
          <w:szCs w:val="32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A8F74"/>
    <w:multiLevelType w:val="singleLevel"/>
    <w:tmpl w:val="C8CA8F7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1572C62"/>
    <w:rsid w:val="030E452D"/>
    <w:rsid w:val="0CEF563F"/>
    <w:rsid w:val="0EDB478C"/>
    <w:rsid w:val="119026F2"/>
    <w:rsid w:val="1F0F127B"/>
    <w:rsid w:val="274D3E1C"/>
    <w:rsid w:val="291C455A"/>
    <w:rsid w:val="36926D0C"/>
    <w:rsid w:val="40046CBA"/>
    <w:rsid w:val="4A091ED0"/>
    <w:rsid w:val="4D0C59B8"/>
    <w:rsid w:val="4DAF2BCF"/>
    <w:rsid w:val="4DDB6F66"/>
    <w:rsid w:val="58E02605"/>
    <w:rsid w:val="5AA8591B"/>
    <w:rsid w:val="62490D5A"/>
    <w:rsid w:val="748C38C1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2024-05-21T07:52:13Z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