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2021年省级林业草原改革发展专项资金</w:t>
      </w: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暨西区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21年干旱河谷生态综合治理项目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支出绩效自评报告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《四川省林业和草原局办公室关于做好2021年脆弱区生态治理项目工作的通知》（川林办〔2021〕77号）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市财政局《关于下达2021年省级林业草原改革发展专项资金的通知》（攀财资环资〔2021〕59号）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，下达西区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2021省级林业草原改革发展专项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万元</w:t>
      </w:r>
      <w:r>
        <w:rPr>
          <w:rFonts w:hint="eastAsia" w:ascii="Times New Roman" w:hAnsi="Times New Roman" w:cs="Times New Roman"/>
          <w:spacing w:val="-4"/>
          <w:sz w:val="32"/>
          <w:szCs w:val="32"/>
          <w:lang w:eastAsia="zh-CN"/>
        </w:rPr>
        <w:t>，用于开展西区干旱河谷生态综合治理项目</w:t>
      </w:r>
      <w:r>
        <w:rPr>
          <w:rFonts w:hint="eastAsia" w:ascii="Times New Roman" w:hAnsi="Times New Roman" w:cs="Times New Roman"/>
          <w:spacing w:val="-4"/>
          <w:sz w:val="32"/>
          <w:szCs w:val="32"/>
          <w:lang w:val="en-US" w:eastAsia="zh-CN"/>
        </w:rPr>
        <w:t>1000亩。2022年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区林业局上报区政府</w:t>
      </w:r>
      <w:r>
        <w:rPr>
          <w:rFonts w:hint="eastAsia" w:ascii="仿宋_GB2312"/>
          <w:spacing w:val="-4"/>
          <w:sz w:val="32"/>
          <w:szCs w:val="32"/>
          <w:lang w:eastAsia="zh-CN"/>
        </w:rPr>
        <w:t>申请将该资金</w:t>
      </w:r>
      <w:r>
        <w:rPr>
          <w:rFonts w:hint="eastAsia" w:ascii="仿宋_GB2312" w:eastAsia="仿宋_GB2312"/>
          <w:spacing w:val="-4"/>
          <w:sz w:val="32"/>
          <w:szCs w:val="32"/>
        </w:rPr>
        <w:t>用于</w:t>
      </w:r>
      <w:r>
        <w:rPr>
          <w:rFonts w:hint="eastAsia" w:ascii="仿宋_GB2312"/>
          <w:spacing w:val="-4"/>
          <w:sz w:val="32"/>
          <w:szCs w:val="32"/>
          <w:lang w:eastAsia="zh-CN"/>
        </w:rPr>
        <w:t>西区</w:t>
      </w:r>
      <w:r>
        <w:rPr>
          <w:rFonts w:hint="eastAsia" w:ascii="仿宋_GB2312" w:eastAsia="仿宋_GB2312"/>
          <w:spacing w:val="-4"/>
          <w:sz w:val="32"/>
          <w:szCs w:val="32"/>
        </w:rPr>
        <w:t>20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pacing w:val="-4"/>
          <w:sz w:val="32"/>
          <w:szCs w:val="32"/>
        </w:rPr>
        <w:t>年干旱河谷生态综合治理项目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，同时</w:t>
      </w:r>
      <w:r>
        <w:rPr>
          <w:rFonts w:hint="eastAsia"/>
          <w:color w:val="auto"/>
          <w:lang w:val="en-US" w:eastAsia="zh-CN"/>
        </w:rPr>
        <w:t>负责和组织对项目的监督和管理工作。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lang w:val="zh-CN"/>
        </w:rPr>
        <w:t>2.</w:t>
      </w:r>
      <w:r>
        <w:rPr>
          <w:rFonts w:hint="eastAsia"/>
          <w:color w:val="auto"/>
          <w:lang w:val="en-US" w:eastAsia="zh-CN"/>
        </w:rPr>
        <w:t>根据上级主管部门下达任务进行项目预算和执行。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color w:val="auto"/>
          <w:lang w:val="en-US" w:eastAsia="zh-CN"/>
        </w:rPr>
        <w:t>严格项目资金管理，结合项目特点不断完善资金监管措施，完善相关资金管理办法，保障项目资金的安全运行、合规使用、合理使用，促进项目资金使用效益的充分发挥。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tabs>
          <w:tab w:val="left" w:pos="1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lang w:val="zh-CN"/>
        </w:rPr>
      </w:pPr>
      <w:r>
        <w:rPr>
          <w:lang w:val="zh-CN"/>
        </w:rPr>
        <w:t>1. 项目主要内容</w:t>
      </w:r>
      <w:r>
        <w:rPr>
          <w:rFonts w:hint="eastAsia"/>
          <w:lang w:val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总投资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面积1000亩，通过覆土、大穴整地、施足底肥、节水灌溉、除草管护等措施，完成人工造林面积155亩，主要品种为柑橘、石榴、鸡蛋花、地涌金莲、刺桐、树玫瑰，新造林地抚育、管护面积395亩，封山育林面积450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修建防火通道500米，水肥池一口，完善配套灌溉管网设施</w:t>
      </w:r>
      <w:r>
        <w:rPr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lang w:val="zh-CN"/>
        </w:rPr>
        <w:t xml:space="preserve">2. </w:t>
      </w:r>
      <w:r>
        <w:rPr>
          <w:rFonts w:hint="eastAsia"/>
          <w:color w:val="auto"/>
          <w:lang w:val="en-US" w:eastAsia="zh-CN"/>
        </w:rPr>
        <w:t>项目设立依据充分，进度安排合理，具有良好的社会效益，可持续影响明显，工作开展成效明显。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color w:val="auto"/>
          <w:lang w:val="zh-CN"/>
        </w:rPr>
        <w:t>申报内容与实际相符，申报目标合理可行。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43" w:firstLineChars="200"/>
        <w:jc w:val="left"/>
        <w:textAlignment w:val="auto"/>
        <w:rPr>
          <w:rFonts w:hint="eastAsia" w:ascii="仿宋_GB2312"/>
          <w:spacing w:val="-4"/>
          <w:sz w:val="32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bCs/>
          <w:lang w:val="zh-CN"/>
        </w:rPr>
        <w:t>1</w:t>
      </w:r>
      <w:r>
        <w:rPr>
          <w:rFonts w:hint="eastAsia" w:ascii="楷体_GB2312" w:hAnsi="宋体" w:eastAsia="楷体_GB2312"/>
          <w:b/>
          <w:bCs/>
          <w:lang w:val="en-US" w:eastAsia="zh-CN"/>
        </w:rPr>
        <w:t>.</w:t>
      </w:r>
      <w:r>
        <w:rPr>
          <w:rFonts w:hint="eastAsia" w:ascii="楷体_GB2312" w:hAnsi="宋体" w:eastAsia="楷体_GB2312"/>
          <w:b/>
          <w:bCs/>
          <w:lang w:val="zh-CN"/>
        </w:rPr>
        <w:t>资金计划及到位。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2021年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市财政局《关于下达2021年省级林业草原改革发展专项资金的通知》（攀财资环资〔2021〕59号）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，下达西区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2021省级林业草原改革发展专项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万元</w:t>
      </w:r>
      <w:r>
        <w:rPr>
          <w:rFonts w:hint="eastAsia" w:ascii="Times New Roman" w:hAnsi="Times New Roman" w:cs="Times New Roman"/>
          <w:spacing w:val="-4"/>
          <w:sz w:val="32"/>
          <w:szCs w:val="32"/>
          <w:lang w:eastAsia="zh-CN"/>
        </w:rPr>
        <w:t>，用于开展西区干旱河谷生态综合治理项目</w:t>
      </w:r>
      <w:r>
        <w:rPr>
          <w:rFonts w:hint="eastAsia" w:ascii="Times New Roman" w:hAnsi="Times New Roman" w:cs="Times New Roman"/>
          <w:spacing w:val="-4"/>
          <w:sz w:val="32"/>
          <w:szCs w:val="32"/>
          <w:lang w:val="en-US" w:eastAsia="zh-CN"/>
        </w:rPr>
        <w:t>1000亩，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区林业局上报区政府</w:t>
      </w:r>
      <w:r>
        <w:rPr>
          <w:rFonts w:hint="eastAsia" w:ascii="仿宋_GB2312"/>
          <w:spacing w:val="-4"/>
          <w:sz w:val="32"/>
          <w:szCs w:val="32"/>
          <w:lang w:eastAsia="zh-CN"/>
        </w:rPr>
        <w:t>申请将该资金</w:t>
      </w:r>
      <w:r>
        <w:rPr>
          <w:rFonts w:hint="eastAsia" w:ascii="仿宋_GB2312" w:eastAsia="仿宋_GB2312"/>
          <w:spacing w:val="-4"/>
          <w:sz w:val="32"/>
          <w:szCs w:val="32"/>
        </w:rPr>
        <w:t>用于2019年干旱河谷生态综合治理项目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，项目地址金家村竹林坡。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2023年该项目追加资金144.4万元，实际到位资金144.4万元，支付144.4万元</w:t>
      </w:r>
      <w:r>
        <w:rPr>
          <w:rFonts w:hint="eastAsia" w:ascii="仿宋_GB2312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楷体_GB2312" w:hAnsi="宋体" w:eastAsia="楷体_GB2312"/>
          <w:b/>
          <w:bCs/>
          <w:lang w:val="zh-CN"/>
        </w:rPr>
      </w:pPr>
      <w:r>
        <w:rPr>
          <w:rFonts w:hint="eastAsia" w:ascii="楷体_GB2312" w:hAnsi="宋体" w:eastAsia="楷体_GB2312"/>
          <w:b/>
          <w:bCs/>
          <w:lang w:val="en-US" w:eastAsia="zh-CN"/>
        </w:rPr>
        <w:t>2.</w:t>
      </w:r>
      <w:r>
        <w:rPr>
          <w:rFonts w:hint="eastAsia" w:ascii="楷体_GB2312" w:hAnsi="宋体" w:eastAsia="楷体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/>
          <w:spacing w:val="-4"/>
          <w:sz w:val="32"/>
          <w:szCs w:val="32"/>
          <w:lang w:val="zh-CN" w:eastAsia="zh-CN"/>
        </w:rPr>
      </w:pPr>
      <w:r>
        <w:rPr>
          <w:rFonts w:hint="eastAsia" w:ascii="仿宋_GB2312" w:hAnsi="宋体" w:cs="Times New Roman"/>
          <w:lang w:val="zh-CN"/>
        </w:rPr>
        <w:t>项目</w:t>
      </w:r>
      <w:r>
        <w:rPr>
          <w:rFonts w:hint="eastAsia" w:ascii="仿宋_GB2312" w:hAnsi="宋体"/>
          <w:lang w:val="zh-CN"/>
        </w:rPr>
        <w:t>经费支出严格执行各项制度和要求，严格执行财务管理制度，规范项目资金的使用，确保资金的支出使用合法合规，节约资金使用，避免经费的浪费和过度支出，发挥资金使用效益。按照施工单位报送的项目进度情况，</w:t>
      </w:r>
      <w:r>
        <w:rPr>
          <w:rFonts w:hint="eastAsia" w:ascii="仿宋_GB2312"/>
          <w:spacing w:val="-4"/>
          <w:sz w:val="32"/>
          <w:szCs w:val="32"/>
          <w:lang w:val="zh-CN" w:eastAsia="zh-CN"/>
        </w:rPr>
        <w:t>截至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2023年12月底</w:t>
      </w:r>
      <w:r>
        <w:rPr>
          <w:rFonts w:hint="eastAsia" w:ascii="仿宋_GB2312"/>
          <w:spacing w:val="-4"/>
          <w:sz w:val="32"/>
          <w:szCs w:val="32"/>
          <w:lang w:val="zh-CN" w:eastAsia="zh-CN"/>
        </w:rPr>
        <w:t>累计支付项目资金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220.6</w:t>
      </w:r>
      <w:r>
        <w:rPr>
          <w:rFonts w:hint="eastAsia" w:ascii="仿宋_GB2312"/>
          <w:spacing w:val="-4"/>
          <w:sz w:val="32"/>
          <w:szCs w:val="32"/>
          <w:lang w:val="zh-CN" w:eastAsia="zh-CN"/>
        </w:rPr>
        <w:t>万元，其中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2023年支付144.4万元</w:t>
      </w:r>
      <w:r>
        <w:rPr>
          <w:rFonts w:hint="eastAsia" w:ascii="仿宋_GB2312"/>
          <w:spacing w:val="-4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根据财政资金管理办法的有关规定，</w:t>
      </w:r>
      <w:r>
        <w:rPr>
          <w:lang w:val="zh-CN"/>
        </w:rPr>
        <w:t>项目实施单位财务管理制度是健全</w:t>
      </w:r>
      <w:r>
        <w:rPr>
          <w:rFonts w:hint="eastAsia"/>
          <w:lang w:val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资金严格执行财务制度和考核制度，实行报账制，层层审核。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项目由区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林业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局会同区财政局、格里坪镇通过研究协商和实地调查，指标下达后由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区林业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局牵头组织实施，格里坪镇和村社协助项目实施，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该项目采用政府采购形式，在四川省政府采购网通过公开招投标确定施工单位，同时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区林业局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负责项目质量管理和检查验收，项目竣工验收后区财政局负责资金拨付。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jc w:val="left"/>
        <w:textAlignment w:val="auto"/>
        <w:rPr>
          <w:lang w:val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总投资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面积1000亩，通过覆土、大穴整地、施足底肥、节水灌溉、除草管护等措施，完成人工造林面积155亩，主要品种为柑橘、石榴、鸡蛋花、地涌金莲、刺桐、树玫瑰，新造林地抚育、管护面积395亩，封山育林面积450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修建防火通道500米，水肥池一口，完善配套灌溉管网设施</w:t>
      </w:r>
      <w:r>
        <w:rPr>
          <w:lang w:val="zh-CN"/>
        </w:rPr>
        <w:t>。</w:t>
      </w:r>
      <w:r>
        <w:rPr>
          <w:rFonts w:hint="eastAsia" w:ascii="仿宋_GB2312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设计费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为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9.6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万元，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监理费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为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.8万元，</w:t>
      </w:r>
      <w:r>
        <w:rPr>
          <w:rFonts w:hint="eastAsia" w:ascii="仿宋_GB2312" w:hAnsi="宋体" w:eastAsia="仿宋_GB2312"/>
          <w:sz w:val="32"/>
          <w:szCs w:val="32"/>
        </w:rPr>
        <w:t>项目施工</w:t>
      </w:r>
      <w:r>
        <w:rPr>
          <w:rFonts w:hint="eastAsia" w:ascii="仿宋_GB2312" w:hAnsi="宋体"/>
          <w:sz w:val="32"/>
          <w:szCs w:val="32"/>
          <w:lang w:eastAsia="zh-CN"/>
        </w:rPr>
        <w:t>费</w:t>
      </w:r>
      <w:r>
        <w:rPr>
          <w:rFonts w:hint="eastAsia" w:ascii="仿宋_GB2312" w:hAnsi="宋体"/>
          <w:sz w:val="32"/>
          <w:szCs w:val="32"/>
          <w:lang w:val="en-US" w:eastAsia="zh-CN"/>
        </w:rPr>
        <w:t>324.4</w:t>
      </w:r>
      <w:r>
        <w:rPr>
          <w:rFonts w:hint="eastAsia" w:ascii="仿宋_GB2312" w:hAnsi="宋体" w:eastAsia="仿宋_GB2312"/>
          <w:sz w:val="32"/>
          <w:szCs w:val="32"/>
        </w:rPr>
        <w:t>万</w:t>
      </w:r>
      <w:r>
        <w:rPr>
          <w:rFonts w:hint="eastAsia" w:ascii="仿宋_GB2312" w:hAnsi="宋体"/>
          <w:sz w:val="32"/>
          <w:szCs w:val="32"/>
          <w:lang w:eastAsia="zh-CN"/>
        </w:rPr>
        <w:t>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于20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19日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开工，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2023年9月27日完工并通过初验进入管护期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640"/>
        <w:textAlignment w:val="auto"/>
        <w:rPr>
          <w:rFonts w:hint="default" w:ascii="仿宋_GB2312" w:hAnsi="楷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楷体"/>
          <w:b/>
          <w:bCs/>
          <w:spacing w:val="-4"/>
          <w:sz w:val="32"/>
          <w:szCs w:val="32"/>
          <w:lang w:val="en-US" w:eastAsia="zh-CN"/>
        </w:rPr>
        <w:t>1.经济效益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rFonts w:hint="eastAsia" w:ascii="仿宋_GB2312" w:hAnsi="楷体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楷体"/>
          <w:spacing w:val="-4"/>
          <w:sz w:val="32"/>
          <w:szCs w:val="32"/>
          <w:lang w:val="en-US" w:eastAsia="zh-CN"/>
        </w:rPr>
        <w:t>通过项目的实施，可有效解决周边农民就业问题，增加周边农户经济收入。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640"/>
        <w:textAlignment w:val="auto"/>
        <w:rPr>
          <w:rFonts w:ascii="仿宋_GB2312" w:hAnsi="楷体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楷体"/>
          <w:b/>
          <w:bCs/>
          <w:spacing w:val="-4"/>
          <w:sz w:val="32"/>
          <w:szCs w:val="32"/>
          <w:lang w:val="en-US" w:eastAsia="zh-CN"/>
        </w:rPr>
        <w:t>2.</w:t>
      </w: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通过项目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spacing w:val="-4"/>
          <w:sz w:val="32"/>
          <w:szCs w:val="32"/>
        </w:rPr>
        <w:t>，</w:t>
      </w:r>
      <w:r>
        <w:rPr>
          <w:rFonts w:hint="eastAsia" w:ascii="仿宋_GB2312"/>
          <w:spacing w:val="-4"/>
          <w:sz w:val="32"/>
          <w:szCs w:val="32"/>
          <w:lang w:eastAsia="zh-CN"/>
        </w:rPr>
        <w:t>恢复森林植被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1000</w:t>
      </w:r>
      <w:r>
        <w:rPr>
          <w:rFonts w:hint="eastAsia" w:ascii="仿宋_GB2312" w:eastAsia="仿宋_GB2312"/>
          <w:spacing w:val="-4"/>
          <w:sz w:val="32"/>
          <w:szCs w:val="32"/>
        </w:rPr>
        <w:t>余亩，同时还具有调节气候、涵养水源、改良土壤、防沙固土、降尘减污等方面作用，改善区域生态和人居环境，提高人居生活质量。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7" w:firstLineChars="200"/>
        <w:textAlignment w:val="auto"/>
        <w:rPr>
          <w:rFonts w:ascii="仿宋_GB2312" w:hAnsi="楷体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楷体"/>
          <w:b/>
          <w:bCs/>
          <w:spacing w:val="-4"/>
          <w:sz w:val="32"/>
          <w:szCs w:val="32"/>
          <w:lang w:val="en-US" w:eastAsia="zh-CN"/>
        </w:rPr>
        <w:t>3.</w:t>
      </w: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24" w:firstLineChars="200"/>
        <w:textAlignment w:val="auto"/>
        <w:rPr>
          <w:rFonts w:hint="eastAsia" w:ascii="黑体" w:hAnsi="宋体" w:eastAsia="黑体"/>
        </w:rPr>
      </w:pPr>
      <w:bookmarkStart w:id="0" w:name="_GoBack"/>
      <w:r>
        <w:rPr>
          <w:rFonts w:hint="eastAsia" w:ascii="仿宋_GB2312"/>
          <w:spacing w:val="-4"/>
          <w:sz w:val="32"/>
          <w:szCs w:val="32"/>
          <w:lang w:val="en-US" w:eastAsia="zh-CN"/>
        </w:rPr>
        <w:t>用于支付该项目进度款，巩固了项目建设成效，保障了社会稳定。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仿宋_GB2312" w:eastAsia="仿宋_GB2312" w:cs="仿宋_GB2312"/>
          <w:b w:val="0"/>
          <w:bCs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lang w:val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720" w:left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二）</w:t>
      </w:r>
      <w:r>
        <w:rPr>
          <w:rFonts w:hint="eastAsia" w:ascii="楷体_GB2312" w:hAnsi="宋体" w:eastAsia="楷体_GB2312"/>
          <w:b w:val="0"/>
          <w:bCs/>
          <w:lang w:val="zh-CN"/>
        </w:rPr>
        <w:t>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仿宋_GB2312" w:eastAsia="仿宋_GB2312" w:cs="仿宋_GB2312"/>
          <w:b w:val="0"/>
          <w:bCs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lang w:val="zh-CN"/>
        </w:rPr>
        <w:t>无</w:t>
      </w:r>
    </w:p>
    <w:p>
      <w:pPr>
        <w:pStyle w:val="2"/>
        <w:numPr>
          <w:ilvl w:val="0"/>
          <w:numId w:val="0"/>
        </w:numPr>
        <w:ind w:left="720" w:leftChars="0"/>
        <w:rPr>
          <w:rFonts w:hint="eastAsia" w:eastAsia="黑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6E938"/>
    <w:multiLevelType w:val="singleLevel"/>
    <w:tmpl w:val="3DE6E93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EDB478C"/>
    <w:rsid w:val="1596539A"/>
    <w:rsid w:val="188818C0"/>
    <w:rsid w:val="20F27FFE"/>
    <w:rsid w:val="274D3E1C"/>
    <w:rsid w:val="291C455A"/>
    <w:rsid w:val="31DF1C69"/>
    <w:rsid w:val="36926D0C"/>
    <w:rsid w:val="36A908A4"/>
    <w:rsid w:val="3EEF773A"/>
    <w:rsid w:val="4A091ED0"/>
    <w:rsid w:val="4DAF2BCF"/>
    <w:rsid w:val="4DDB6F66"/>
    <w:rsid w:val="6A880D63"/>
    <w:rsid w:val="6AF12ED0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260" w:after="260" w:line="416" w:lineRule="auto"/>
      <w:outlineLvl w:val="1"/>
    </w:pPr>
    <w:rPr>
      <w:rFonts w:asci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dcterms:modified xsi:type="dcterms:W3CDTF">2024-05-21T03:33:12Z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