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2019年干旱河谷生态综合治理项目进度经费支出绩效自评报告</w:t>
      </w:r>
    </w:p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2019年2月《四川省财政厅 四川省林业和草原局关于下达2019年省级财政林业生态保护恢复资金的通知》（川财农〔2019〕17号）下达西区干旱河谷生态治理项目1个，项目资金300万元，治理面积不低于750亩。区林业局上报区政府</w:t>
      </w:r>
      <w:r>
        <w:rPr>
          <w:rFonts w:hint="eastAsia" w:ascii="仿宋_GB2312"/>
          <w:spacing w:val="-4"/>
          <w:sz w:val="32"/>
          <w:szCs w:val="32"/>
          <w:lang w:eastAsia="zh-CN"/>
        </w:rPr>
        <w:t>申请将该资金</w:t>
      </w:r>
      <w:r>
        <w:rPr>
          <w:rFonts w:hint="eastAsia" w:ascii="仿宋_GB2312" w:eastAsia="仿宋_GB2312"/>
          <w:spacing w:val="-4"/>
          <w:sz w:val="32"/>
          <w:szCs w:val="32"/>
        </w:rPr>
        <w:t>用于2019年干旱河谷生态综合治理项目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，同时</w:t>
      </w:r>
      <w:r>
        <w:rPr>
          <w:rFonts w:hint="eastAsia"/>
          <w:color w:val="auto"/>
          <w:lang w:val="en-US" w:eastAsia="zh-CN"/>
        </w:rPr>
        <w:t>负责和组织对项目的监督和管理工作。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lang w:val="zh-CN"/>
        </w:rPr>
        <w:t>2.</w:t>
      </w:r>
      <w:r>
        <w:rPr>
          <w:rFonts w:hint="eastAsia"/>
          <w:color w:val="auto"/>
          <w:lang w:val="en-US" w:eastAsia="zh-CN"/>
        </w:rPr>
        <w:t>根据上级主管部门下达任务进行项目预算和执行。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color w:val="auto"/>
          <w:lang w:val="en-US" w:eastAsia="zh-CN"/>
        </w:rPr>
        <w:t>严格项目资金管理，结合项目特点不断完善资金监管措施，完善相关资金管理办法，保障项目资金的安全运行、合规使用、合理使用，促进项目资金使用效益的充分发挥。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1.</w:t>
      </w:r>
      <w:r>
        <w:rPr>
          <w:lang w:val="zh-CN"/>
        </w:rPr>
        <w:t>项目主要内容</w:t>
      </w:r>
      <w:r>
        <w:rPr>
          <w:rFonts w:hint="eastAsia"/>
          <w:lang w:val="zh-CN"/>
        </w:rPr>
        <w:t>：</w:t>
      </w:r>
      <w:r>
        <w:rPr>
          <w:rFonts w:hint="eastAsia" w:ascii="仿宋_GB2312"/>
          <w:sz w:val="32"/>
          <w:szCs w:val="32"/>
          <w:lang w:eastAsia="zh-CN"/>
        </w:rPr>
        <w:t>总投资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万元，通过对金家村现有荒山、荒坡、停耕地进行生态综合治理，栽植凤凰木、清香木以及鸡蛋花等耐火植物，并合理配置树种和整地、施肥、节水灌溉、精心养护，对荒山、荒坡、停耕地进行人工造林，对低质低效灌木林地、有林地进行改造和补植，重建森林植被，恢复森林面积750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lang w:val="zh-CN"/>
        </w:rPr>
        <w:t xml:space="preserve">2. </w:t>
      </w:r>
      <w:r>
        <w:rPr>
          <w:rFonts w:hint="eastAsia"/>
          <w:color w:val="auto"/>
          <w:lang w:val="en-US" w:eastAsia="zh-CN"/>
        </w:rPr>
        <w:t>项目设立依据充分，进度安排合理，具有良好的社会效益，可持续影响明显，工作开展成效明显。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color w:val="auto"/>
          <w:lang w:val="zh-CN"/>
        </w:rPr>
        <w:t>该项目</w:t>
      </w:r>
      <w:r>
        <w:rPr>
          <w:color w:val="auto"/>
          <w:lang w:val="zh-CN"/>
        </w:rPr>
        <w:t>申报内容与实际相符，申报目标合理可行。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0" w:firstLineChars="200"/>
        <w:jc w:val="left"/>
        <w:textAlignment w:val="auto"/>
        <w:rPr>
          <w:rFonts w:hint="eastAsia" w:ascii="仿宋_GB2312" w:eastAsia="仿宋_GB2312"/>
          <w:spacing w:val="-4"/>
          <w:sz w:val="32"/>
          <w:szCs w:val="3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2019年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《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四川省财政厅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 xml:space="preserve"> 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四川省林业和草原局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关于下达2019年省级财政林业生态保护恢复资金的通知》（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川财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农〔2019〕</w:t>
      </w:r>
      <w:r>
        <w:rPr>
          <w:rFonts w:hint="eastAsia" w:eastAsia="仿宋_GB2312" w:cs="Times New Roman"/>
          <w:spacing w:val="-4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号）下达西区干旱河谷生态治理项目1个，项目资金300万元，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区林业局上报区政府</w:t>
      </w:r>
      <w:r>
        <w:rPr>
          <w:rFonts w:hint="eastAsia" w:ascii="仿宋_GB2312"/>
          <w:spacing w:val="-4"/>
          <w:sz w:val="32"/>
          <w:szCs w:val="32"/>
          <w:lang w:eastAsia="zh-CN"/>
        </w:rPr>
        <w:t>申请将该资金</w:t>
      </w:r>
      <w:r>
        <w:rPr>
          <w:rFonts w:hint="eastAsia" w:ascii="仿宋_GB2312" w:eastAsia="仿宋_GB2312"/>
          <w:spacing w:val="-4"/>
          <w:sz w:val="32"/>
          <w:szCs w:val="32"/>
        </w:rPr>
        <w:t>用于2019年干旱河谷生态综合治理项目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，项目地址金家村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2023年该项目追加资金85.15万元，实际到位资金85.15万元，支付85.15万元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_GB2312" w:eastAsia="仿宋_GB2312"/>
          <w:spacing w:val="-4"/>
          <w:sz w:val="32"/>
          <w:szCs w:val="32"/>
          <w:lang w:val="zh-CN" w:eastAsia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 w:cs="Times New Roman"/>
          <w:lang w:val="zh-CN"/>
        </w:rPr>
        <w:t>项目</w:t>
      </w:r>
      <w:r>
        <w:rPr>
          <w:rFonts w:hint="eastAsia" w:ascii="仿宋_GB2312" w:hAnsi="宋体"/>
          <w:lang w:val="zh-CN"/>
        </w:rPr>
        <w:t>经费支出严格执行各项制度和要求，严格执行财务管理制度，规范项目资金的使用，确保资金的支出使用合法合规，节约资金使用，避免经费的浪费和过度支出，发挥资金使用效益。按照施工单位报送的项目进度情况，截至</w:t>
      </w:r>
      <w:r>
        <w:rPr>
          <w:rFonts w:hint="eastAsia" w:ascii="仿宋_GB2312" w:hAnsi="宋体"/>
          <w:lang w:val="en-US" w:eastAsia="zh-CN"/>
        </w:rPr>
        <w:t>2023年12月底</w:t>
      </w:r>
      <w:r>
        <w:rPr>
          <w:rFonts w:hint="eastAsia" w:ascii="仿宋_GB2312" w:eastAsia="仿宋_GB2312"/>
          <w:spacing w:val="-4"/>
          <w:sz w:val="32"/>
          <w:szCs w:val="32"/>
          <w:lang w:val="zh-CN" w:eastAsia="zh-CN"/>
        </w:rPr>
        <w:t>，累计支付项目资金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120.35</w:t>
      </w:r>
      <w:r>
        <w:rPr>
          <w:rFonts w:hint="eastAsia" w:ascii="仿宋_GB2312" w:eastAsia="仿宋_GB2312"/>
          <w:spacing w:val="-4"/>
          <w:sz w:val="32"/>
          <w:szCs w:val="32"/>
          <w:lang w:val="zh-CN" w:eastAsia="zh-CN"/>
        </w:rPr>
        <w:t>万元，其中2023年支付资金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85.15</w:t>
      </w:r>
      <w:r>
        <w:rPr>
          <w:rFonts w:hint="eastAsia" w:ascii="仿宋_GB2312" w:eastAsia="仿宋_GB2312"/>
          <w:spacing w:val="-4"/>
          <w:sz w:val="32"/>
          <w:szCs w:val="32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根据财政资金管理办法的有关规定，</w:t>
      </w:r>
      <w:r>
        <w:rPr>
          <w:lang w:val="zh-CN"/>
        </w:rPr>
        <w:t>项目实施单位财务管理制度是健全</w:t>
      </w:r>
      <w:r>
        <w:rPr>
          <w:rFonts w:hint="eastAsia"/>
          <w:lang w:val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资金严格执行财务制度和考核制度，实行报账制，层层审核。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项目由区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林业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局会同区财政局、格里坪镇通过研究协商和实地调查，指标下达后由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区林业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局牵头组织实施，格里坪镇和村社协助项目实施，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该项目采用政府采购形式，在四川省政府采购网通过公开招投标确定施工单位，同时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区林业局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负责项目质量管理和检查验收，项目竣工验收后区财政局负责资金拨付。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zh-CN"/>
        </w:rPr>
        <w:t>总投资</w:t>
      </w:r>
      <w:r>
        <w:rPr>
          <w:rFonts w:hint="eastAsia" w:ascii="仿宋_GB2312" w:hAnsi="宋体"/>
          <w:lang w:val="en-US" w:eastAsia="zh-CN"/>
        </w:rPr>
        <w:t>300万元，</w:t>
      </w:r>
      <w:r>
        <w:rPr>
          <w:rFonts w:hint="eastAsia" w:ascii="仿宋_GB2312" w:eastAsia="仿宋_GB2312"/>
          <w:sz w:val="32"/>
          <w:szCs w:val="32"/>
        </w:rPr>
        <w:t>通过对金家村现有荒山、荒坡、停耕地进行生态综合治理，栽植凤凰木、清香木以及鸡蛋花等耐火植物，并合理配置树种和整地、施肥、节水灌溉、精心养护，对荒山、荒坡、停耕地进行人工造林，对低质低效灌木林地、有林地进行改造和补植，重建森林植被，恢复森林面积750亩。</w:t>
      </w:r>
      <w:r>
        <w:rPr>
          <w:rFonts w:hint="eastAsia" w:ascii="仿宋_GB2312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设计费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为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7.3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万元，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监理费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为5.8万元，</w:t>
      </w:r>
      <w:r>
        <w:rPr>
          <w:rFonts w:hint="eastAsia" w:ascii="仿宋_GB2312" w:hAnsi="宋体" w:eastAsia="仿宋_GB2312"/>
          <w:sz w:val="32"/>
          <w:szCs w:val="32"/>
        </w:rPr>
        <w:t>项目施工</w:t>
      </w:r>
      <w:r>
        <w:rPr>
          <w:rFonts w:hint="eastAsia" w:ascii="仿宋_GB2312" w:hAnsi="宋体"/>
          <w:sz w:val="32"/>
          <w:szCs w:val="32"/>
          <w:lang w:eastAsia="zh-CN"/>
        </w:rPr>
        <w:t>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220.3</w:t>
      </w:r>
      <w:r>
        <w:rPr>
          <w:rFonts w:hint="eastAsia" w:ascii="仿宋_GB2312" w:hAnsi="宋体" w:eastAsia="仿宋_GB2312"/>
          <w:sz w:val="32"/>
          <w:szCs w:val="32"/>
        </w:rPr>
        <w:t>万。</w:t>
      </w:r>
      <w:r>
        <w:rPr>
          <w:rFonts w:hint="eastAsia" w:ascii="仿宋_GB2312" w:hAnsi="宋体"/>
          <w:sz w:val="32"/>
          <w:szCs w:val="32"/>
          <w:lang w:eastAsia="zh-CN"/>
        </w:rPr>
        <w:t>该项目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于20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18日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开工，</w:t>
      </w:r>
      <w:r>
        <w:rPr>
          <w:rFonts w:hint="eastAsia" w:ascii="仿宋_GB2312" w:hAnsi="宋体"/>
          <w:spacing w:val="-4"/>
          <w:sz w:val="32"/>
          <w:szCs w:val="32"/>
          <w:lang w:val="en-US" w:eastAsia="zh-CN"/>
        </w:rPr>
        <w:t>2023年11月初验，目前该项目正在补植整改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640"/>
        <w:textAlignment w:val="auto"/>
        <w:rPr>
          <w:rFonts w:ascii="仿宋_GB2312" w:hAnsi="楷体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1</w:t>
      </w: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通过项目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spacing w:val="-4"/>
          <w:sz w:val="32"/>
          <w:szCs w:val="32"/>
        </w:rPr>
        <w:t>，</w:t>
      </w:r>
      <w:r>
        <w:rPr>
          <w:rFonts w:hint="eastAsia" w:ascii="仿宋_GB2312"/>
          <w:spacing w:val="-4"/>
          <w:sz w:val="32"/>
          <w:szCs w:val="32"/>
          <w:lang w:eastAsia="zh-CN"/>
        </w:rPr>
        <w:t>恢复森林植被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750</w:t>
      </w:r>
      <w:r>
        <w:rPr>
          <w:rFonts w:hint="eastAsia" w:ascii="仿宋_GB2312" w:eastAsia="仿宋_GB2312"/>
          <w:spacing w:val="-4"/>
          <w:sz w:val="32"/>
          <w:szCs w:val="32"/>
        </w:rPr>
        <w:t>余亩，同时还具有调节气候、涵养水源、改良土壤、防沙固土、降尘减污等方面作用，改善区域生态和人居环境，提高人居生活质量。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7" w:firstLineChars="200"/>
        <w:textAlignment w:val="auto"/>
        <w:rPr>
          <w:rFonts w:ascii="仿宋_GB2312" w:hAnsi="楷体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2</w:t>
      </w: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0" w:firstLineChars="200"/>
        <w:textAlignment w:val="auto"/>
        <w:rPr>
          <w:rFonts w:ascii="仿宋_GB2312" w:hAnsi="楷体" w:eastAsia="仿宋_GB2312"/>
          <w:color w:val="FF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用于支付该项目进度款，巩固了项目建设成效，保障了社会</w:t>
      </w:r>
      <w:bookmarkStart w:id="0" w:name="_GoBack"/>
      <w:r>
        <w:rPr>
          <w:rFonts w:hint="eastAsia" w:ascii="仿宋_GB2312"/>
          <w:spacing w:val="-4"/>
          <w:sz w:val="32"/>
          <w:szCs w:val="32"/>
          <w:lang w:eastAsia="zh-CN"/>
        </w:rPr>
        <w:t>稳定。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36" w:firstLineChars="3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720" w:left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二）</w:t>
      </w: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36" w:firstLineChars="3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zh-CN"/>
        </w:rPr>
        <w:t>无</w:t>
      </w:r>
    </w:p>
    <w:p>
      <w:pPr>
        <w:pStyle w:val="2"/>
        <w:numPr>
          <w:ilvl w:val="0"/>
          <w:numId w:val="0"/>
        </w:numPr>
        <w:ind w:left="72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0B05C"/>
    <w:multiLevelType w:val="singleLevel"/>
    <w:tmpl w:val="11A0B0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122FD3"/>
    <w:rsid w:val="003414A3"/>
    <w:rsid w:val="00515A0C"/>
    <w:rsid w:val="00866E99"/>
    <w:rsid w:val="06667460"/>
    <w:rsid w:val="06C66186"/>
    <w:rsid w:val="0EDB478C"/>
    <w:rsid w:val="1AFB66A3"/>
    <w:rsid w:val="274D3E1C"/>
    <w:rsid w:val="291C455A"/>
    <w:rsid w:val="291F1C59"/>
    <w:rsid w:val="29FA16F9"/>
    <w:rsid w:val="36926D0C"/>
    <w:rsid w:val="480A1E5A"/>
    <w:rsid w:val="4949693C"/>
    <w:rsid w:val="4A091ED0"/>
    <w:rsid w:val="4C430375"/>
    <w:rsid w:val="4DAF2BCF"/>
    <w:rsid w:val="4DDB6F66"/>
    <w:rsid w:val="5F787539"/>
    <w:rsid w:val="60E66728"/>
    <w:rsid w:val="62C618D1"/>
    <w:rsid w:val="792F2AEE"/>
    <w:rsid w:val="7BB06B08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260" w:after="260" w:line="416" w:lineRule="auto"/>
      <w:outlineLvl w:val="1"/>
    </w:pPr>
    <w:rPr>
      <w:rFonts w:asci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2024-05-21T03:30:45Z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